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5397" w14:textId="09003CCB" w:rsidR="00222C5D" w:rsidRDefault="003111E6" w:rsidP="00DE24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22-23 </w:t>
      </w:r>
      <w:r w:rsidR="00DE247B" w:rsidRPr="00DE247B">
        <w:rPr>
          <w:sz w:val="36"/>
          <w:szCs w:val="36"/>
        </w:rPr>
        <w:t>Audit Re</w:t>
      </w:r>
      <w:r w:rsidR="007300D2">
        <w:rPr>
          <w:sz w:val="36"/>
          <w:szCs w:val="36"/>
        </w:rPr>
        <w:t>port</w:t>
      </w:r>
      <w:r w:rsidR="00DE247B" w:rsidRPr="00DE247B">
        <w:rPr>
          <w:sz w:val="36"/>
          <w:szCs w:val="36"/>
        </w:rPr>
        <w:t xml:space="preserve"> Summary</w:t>
      </w:r>
      <w:r w:rsidR="004A07F2">
        <w:rPr>
          <w:sz w:val="36"/>
          <w:szCs w:val="36"/>
        </w:rPr>
        <w:t xml:space="preserve"> and Responses</w:t>
      </w:r>
    </w:p>
    <w:p w14:paraId="2C49692D" w14:textId="25953976" w:rsidR="00DE247B" w:rsidRDefault="00DE247B" w:rsidP="00DE247B">
      <w:r>
        <w:rPr>
          <w:sz w:val="28"/>
          <w:szCs w:val="28"/>
        </w:rPr>
        <w:t xml:space="preserve">Purpose of Audit: </w:t>
      </w:r>
      <w:r>
        <w:t xml:space="preserve">To form opinion on the financial </w:t>
      </w:r>
      <w:r w:rsidR="000F6D5F">
        <w:t>statements and</w:t>
      </w:r>
      <w:r w:rsidR="004A07F2">
        <w:t xml:space="preserve"> compliance</w:t>
      </w:r>
      <w:r w:rsidR="000F6D5F">
        <w:t xml:space="preserve"> of </w:t>
      </w:r>
      <w:proofErr w:type="gramStart"/>
      <w:r w:rsidR="000F6D5F">
        <w:t>RSL</w:t>
      </w:r>
      <w:r w:rsidR="004A07F2">
        <w:t xml:space="preserve"> </w:t>
      </w:r>
      <w:r>
        <w:t>as a whole</w:t>
      </w:r>
      <w:proofErr w:type="gramEnd"/>
      <w:r>
        <w:t xml:space="preserve">. </w:t>
      </w:r>
    </w:p>
    <w:p w14:paraId="1F0980E8" w14:textId="77777777" w:rsidR="00F249C9" w:rsidRPr="00EE7E57" w:rsidRDefault="00F249C9" w:rsidP="00F249C9">
      <w:pPr>
        <w:rPr>
          <w:b/>
          <w:bCs/>
          <w:u w:val="single"/>
        </w:rPr>
      </w:pPr>
      <w:r w:rsidRPr="00EE7E57">
        <w:rPr>
          <w:b/>
          <w:bCs/>
          <w:u w:val="single"/>
        </w:rPr>
        <w:t>ASSETS</w:t>
      </w:r>
    </w:p>
    <w:p w14:paraId="4AA304F2" w14:textId="77777777" w:rsidR="00F249C9" w:rsidRDefault="00F249C9" w:rsidP="009B789B">
      <w:pPr>
        <w:ind w:firstLine="720"/>
      </w:pPr>
      <w:r>
        <w:t>Current Assets:</w:t>
      </w:r>
    </w:p>
    <w:p w14:paraId="6B018862" w14:textId="7A128A77" w:rsidR="00F249C9" w:rsidRDefault="00F249C9" w:rsidP="009B789B">
      <w:pPr>
        <w:ind w:left="720" w:firstLine="720"/>
      </w:pPr>
      <w:r>
        <w:t>Cash and cash equivalents</w:t>
      </w:r>
      <w:r w:rsidR="004A07F2">
        <w:t xml:space="preserve">                                                  </w:t>
      </w:r>
      <w:r>
        <w:t xml:space="preserve"> $ 1,419,669</w:t>
      </w:r>
    </w:p>
    <w:p w14:paraId="34DA1AF4" w14:textId="2B78CF66" w:rsidR="00F249C9" w:rsidRDefault="00F249C9" w:rsidP="009B789B">
      <w:pPr>
        <w:ind w:left="1440"/>
      </w:pPr>
      <w:r>
        <w:t xml:space="preserve">Grants receivable, net </w:t>
      </w:r>
      <w:r w:rsidR="004A07F2">
        <w:t xml:space="preserve">                                                             $ </w:t>
      </w:r>
      <w:r>
        <w:t>3,678,656</w:t>
      </w:r>
    </w:p>
    <w:p w14:paraId="2E48C627" w14:textId="5FB1B349" w:rsidR="00F249C9" w:rsidRDefault="00F249C9" w:rsidP="009B789B">
      <w:pPr>
        <w:ind w:left="720" w:firstLine="720"/>
      </w:pPr>
      <w:r>
        <w:t xml:space="preserve">Prepaid items Due from affiliates </w:t>
      </w:r>
      <w:r w:rsidR="004A07F2">
        <w:t xml:space="preserve">                                      </w:t>
      </w:r>
      <w:r w:rsidR="004A07F2" w:rsidRPr="000F6D5F">
        <w:rPr>
          <w:u w:val="single"/>
        </w:rPr>
        <w:t xml:space="preserve">$ </w:t>
      </w:r>
      <w:r w:rsidRPr="000F6D5F">
        <w:rPr>
          <w:u w:val="single"/>
        </w:rPr>
        <w:t>208,665</w:t>
      </w:r>
      <w:r>
        <w:t xml:space="preserve"> </w:t>
      </w:r>
    </w:p>
    <w:p w14:paraId="38E692E5" w14:textId="13A7A47C" w:rsidR="00F249C9" w:rsidRDefault="00F249C9" w:rsidP="009B789B">
      <w:pPr>
        <w:ind w:left="720" w:firstLine="720"/>
      </w:pPr>
      <w:r>
        <w:t>Total Current Assets</w:t>
      </w:r>
      <w:r w:rsidR="004A07F2">
        <w:t xml:space="preserve">                                                                  $</w:t>
      </w:r>
      <w:r>
        <w:t xml:space="preserve"> 5,306,990</w:t>
      </w:r>
    </w:p>
    <w:p w14:paraId="009E3509" w14:textId="77777777" w:rsidR="00F249C9" w:rsidRDefault="00F249C9" w:rsidP="009B789B">
      <w:pPr>
        <w:ind w:firstLine="720"/>
      </w:pPr>
      <w:r>
        <w:t>Other Assets:</w:t>
      </w:r>
    </w:p>
    <w:p w14:paraId="50654594" w14:textId="4DF380BC" w:rsidR="00F249C9" w:rsidRDefault="00F249C9" w:rsidP="009B789B">
      <w:pPr>
        <w:ind w:left="720" w:firstLine="720"/>
      </w:pPr>
      <w:r>
        <w:t>Lease - Right-of-use</w:t>
      </w:r>
      <w:r w:rsidR="000F6D5F">
        <w:t xml:space="preserve">                                                                  </w:t>
      </w:r>
      <w:r w:rsidR="000F6D5F" w:rsidRPr="000F6D5F">
        <w:rPr>
          <w:u w:val="single"/>
        </w:rPr>
        <w:t>$</w:t>
      </w:r>
      <w:r w:rsidRPr="000F6D5F">
        <w:rPr>
          <w:u w:val="single"/>
        </w:rPr>
        <w:t xml:space="preserve"> 51,161</w:t>
      </w:r>
    </w:p>
    <w:p w14:paraId="2F8B9E72" w14:textId="017BD2AB" w:rsidR="00F249C9" w:rsidRDefault="00F249C9" w:rsidP="009B789B">
      <w:pPr>
        <w:ind w:firstLine="720"/>
      </w:pPr>
      <w:r>
        <w:t>TOTAL ASSETS</w:t>
      </w:r>
      <w:r w:rsidR="009B789B">
        <w:t>:</w:t>
      </w:r>
      <w:r w:rsidR="000F6D5F">
        <w:t xml:space="preserve">                                                                                            </w:t>
      </w:r>
      <w:r>
        <w:t xml:space="preserve"> $ 5,358,151</w:t>
      </w:r>
    </w:p>
    <w:p w14:paraId="7B2EDB23" w14:textId="324CEB63" w:rsidR="00F249C9" w:rsidRPr="00EE7E57" w:rsidRDefault="00F249C9" w:rsidP="00F249C9">
      <w:pPr>
        <w:rPr>
          <w:b/>
          <w:bCs/>
          <w:u w:val="single"/>
        </w:rPr>
      </w:pPr>
      <w:r w:rsidRPr="00EE7E57">
        <w:rPr>
          <w:b/>
          <w:bCs/>
          <w:u w:val="single"/>
        </w:rPr>
        <w:t>NOTES</w:t>
      </w:r>
    </w:p>
    <w:p w14:paraId="62C9FE62" w14:textId="77777777" w:rsidR="009B789B" w:rsidRDefault="00F249C9" w:rsidP="00F249C9">
      <w:r>
        <w:t>Note 11 - Concentration of Support Source</w:t>
      </w:r>
    </w:p>
    <w:p w14:paraId="2C20A50D" w14:textId="7A30CDF0" w:rsidR="00F249C9" w:rsidRDefault="00F249C9" w:rsidP="009B789B">
      <w:pPr>
        <w:ind w:left="720"/>
      </w:pPr>
      <w:r>
        <w:t xml:space="preserve">RSL receives primarily </w:t>
      </w:r>
      <w:proofErr w:type="gramStart"/>
      <w:r>
        <w:t>all of</w:t>
      </w:r>
      <w:proofErr w:type="gramEnd"/>
      <w:r>
        <w:t xml:space="preserve"> its support from public funds. If the amount of support </w:t>
      </w:r>
      <w:proofErr w:type="gramStart"/>
      <w:r>
        <w:t>received should</w:t>
      </w:r>
      <w:proofErr w:type="gramEnd"/>
      <w:r>
        <w:t xml:space="preserve"> fall below award budgeted levels, RSL's operating results could be adversely affected. </w:t>
      </w:r>
    </w:p>
    <w:p w14:paraId="02548A5A" w14:textId="42CF2CC9" w:rsidR="00740FD6" w:rsidRDefault="00740FD6" w:rsidP="009B789B">
      <w:pPr>
        <w:ind w:left="720"/>
      </w:pPr>
      <w:r w:rsidRPr="00DA2705">
        <w:rPr>
          <w:b/>
          <w:bCs/>
        </w:rPr>
        <w:t>Response:</w:t>
      </w:r>
      <w:r w:rsidR="00BA143B">
        <w:t xml:space="preserve"> </w:t>
      </w:r>
      <w:r w:rsidR="007300D2">
        <w:t xml:space="preserve">  </w:t>
      </w:r>
      <w:r w:rsidR="00460B5A">
        <w:t xml:space="preserve">We are aware that the budget will </w:t>
      </w:r>
      <w:r w:rsidR="00D44695">
        <w:t xml:space="preserve">receive </w:t>
      </w:r>
      <w:r w:rsidR="00460B5A">
        <w:t xml:space="preserve">less </w:t>
      </w:r>
      <w:r w:rsidR="00F74720">
        <w:t xml:space="preserve">support from public funds in </w:t>
      </w:r>
      <w:proofErr w:type="gramStart"/>
      <w:r w:rsidR="00F74720">
        <w:t>the  near</w:t>
      </w:r>
      <w:proofErr w:type="gramEnd"/>
      <w:r w:rsidR="00F74720">
        <w:t xml:space="preserve"> future.</w:t>
      </w:r>
      <w:r w:rsidR="00D44695">
        <w:t xml:space="preserve"> Our response is to follow a</w:t>
      </w:r>
      <w:r w:rsidR="00F74720">
        <w:t xml:space="preserve"> </w:t>
      </w:r>
      <w:r w:rsidR="007B5240">
        <w:t>twofold</w:t>
      </w:r>
      <w:r w:rsidR="00BA143B">
        <w:t xml:space="preserve"> process</w:t>
      </w:r>
      <w:r w:rsidR="00D44695">
        <w:t>:</w:t>
      </w:r>
      <w:r w:rsidR="00BA143B">
        <w:t xml:space="preserve"> </w:t>
      </w:r>
      <w:r w:rsidR="007B5240">
        <w:t>t</w:t>
      </w:r>
      <w:r w:rsidR="00BA143B">
        <w:t xml:space="preserve">o increase enrollment and decrease costs. We continue to </w:t>
      </w:r>
      <w:r w:rsidR="00D44695">
        <w:t xml:space="preserve">strategize ways to </w:t>
      </w:r>
      <w:r w:rsidR="00BA143B">
        <w:t xml:space="preserve">increase enrollment for next year and subsequent years. We will </w:t>
      </w:r>
      <w:r w:rsidR="00013609">
        <w:t>also consider</w:t>
      </w:r>
      <w:r w:rsidR="00BA143B">
        <w:t xml:space="preserve"> </w:t>
      </w:r>
      <w:r w:rsidR="00013609">
        <w:t>other funding sources such as</w:t>
      </w:r>
      <w:r w:rsidR="00BA143B">
        <w:t xml:space="preserve"> private donations and grant fundin</w:t>
      </w:r>
      <w:r w:rsidR="00013609">
        <w:t xml:space="preserve">g. </w:t>
      </w:r>
    </w:p>
    <w:p w14:paraId="2C1C93EF" w14:textId="77777777" w:rsidR="009B789B" w:rsidRDefault="00F249C9" w:rsidP="00F249C9">
      <w:r>
        <w:t xml:space="preserve">Note 12 - Concentration of Credit Risk Financial </w:t>
      </w:r>
    </w:p>
    <w:p w14:paraId="139AB227" w14:textId="047AC5EF" w:rsidR="00F249C9" w:rsidRDefault="009B789B" w:rsidP="009B789B">
      <w:pPr>
        <w:ind w:left="720"/>
      </w:pPr>
      <w:r>
        <w:t>I</w:t>
      </w:r>
      <w:r w:rsidR="00F249C9">
        <w:t>nstruments which potentially subject RSL to concentrations of credit risk consist</w:t>
      </w:r>
      <w:r>
        <w:tab/>
      </w:r>
      <w:r w:rsidR="00F249C9">
        <w:t xml:space="preserve"> principally of cash. See note 2 for additional discussion</w:t>
      </w:r>
      <w:r>
        <w:t>.</w:t>
      </w:r>
    </w:p>
    <w:p w14:paraId="51B39BC9" w14:textId="7E86C20B" w:rsidR="00DE247B" w:rsidRDefault="00F249C9" w:rsidP="00F249C9">
      <w:pPr>
        <w:ind w:left="720"/>
      </w:pPr>
      <w:r>
        <w:t xml:space="preserve">Note 2 -Cash balances held in banks are insured up to $250,000 by the Federal Deposit Insurance Corporation (FDIC). RSL maintains its cash in bank deposit accounts that at times may exceed federally insured limits. RSL does not have a deposit policy and has not experienced any losses in such accounts. </w:t>
      </w:r>
      <w:proofErr w:type="gramStart"/>
      <w:r>
        <w:t>At</w:t>
      </w:r>
      <w:proofErr w:type="gramEnd"/>
      <w:r>
        <w:t xml:space="preserve"> June 30, 2023, RSL has a total collected bank balance of $1,168,279 in excess of the FDIC insured limit.</w:t>
      </w:r>
    </w:p>
    <w:p w14:paraId="350E1C75" w14:textId="2E68ABEA" w:rsidR="00740FD6" w:rsidRDefault="00740FD6" w:rsidP="00F249C9">
      <w:pPr>
        <w:ind w:left="720"/>
      </w:pPr>
      <w:r w:rsidRPr="007B5240">
        <w:rPr>
          <w:b/>
          <w:bCs/>
        </w:rPr>
        <w:t>Response:</w:t>
      </w:r>
      <w:r w:rsidR="001774AB" w:rsidRPr="007B5240">
        <w:rPr>
          <w:b/>
          <w:bCs/>
        </w:rPr>
        <w:t xml:space="preserve"> </w:t>
      </w:r>
      <w:r w:rsidR="000E3018" w:rsidRPr="007B5240">
        <w:rPr>
          <w:b/>
          <w:bCs/>
        </w:rPr>
        <w:t xml:space="preserve"> </w:t>
      </w:r>
      <w:r w:rsidR="000E3018">
        <w:t xml:space="preserve">Our plan is to work with </w:t>
      </w:r>
      <w:r w:rsidR="00BD2366">
        <w:t>our financ</w:t>
      </w:r>
      <w:r w:rsidR="006F3222">
        <w:t xml:space="preserve">ial </w:t>
      </w:r>
      <w:r w:rsidR="00BD2366">
        <w:t xml:space="preserve">vendor, </w:t>
      </w:r>
      <w:proofErr w:type="spellStart"/>
      <w:proofErr w:type="gramStart"/>
      <w:r w:rsidR="00BD2366">
        <w:t>EdOps</w:t>
      </w:r>
      <w:proofErr w:type="spellEnd"/>
      <w:proofErr w:type="gramEnd"/>
      <w:r w:rsidR="00BD2366">
        <w:t xml:space="preserve"> to select alternative banks or banking methods.</w:t>
      </w:r>
      <w:r w:rsidR="007D6A61">
        <w:t xml:space="preserve"> This may require transfer of funds and</w:t>
      </w:r>
      <w:r w:rsidR="005939AF">
        <w:t>/or</w:t>
      </w:r>
      <w:r w:rsidR="007D6A61">
        <w:t xml:space="preserve"> altering current </w:t>
      </w:r>
      <w:r w:rsidR="00E96930">
        <w:t xml:space="preserve">financial </w:t>
      </w:r>
      <w:r w:rsidR="007D6A61">
        <w:t>processes</w:t>
      </w:r>
      <w:r w:rsidR="001774AB">
        <w:t xml:space="preserve">. Will </w:t>
      </w:r>
      <w:r w:rsidR="006F3222">
        <w:t xml:space="preserve">continue to </w:t>
      </w:r>
      <w:r w:rsidR="001774AB">
        <w:t xml:space="preserve">work with </w:t>
      </w:r>
      <w:proofErr w:type="spellStart"/>
      <w:r w:rsidR="001774AB">
        <w:t>EdOps</w:t>
      </w:r>
      <w:proofErr w:type="spellEnd"/>
      <w:r w:rsidR="001774AB">
        <w:t xml:space="preserve"> to </w:t>
      </w:r>
      <w:r w:rsidR="006F3222">
        <w:t xml:space="preserve">begin the adjustment. </w:t>
      </w:r>
    </w:p>
    <w:p w14:paraId="2C994C33" w14:textId="2435BA59" w:rsidR="00F249C9" w:rsidRPr="00EE7E57" w:rsidRDefault="00F249C9" w:rsidP="00F249C9">
      <w:pPr>
        <w:rPr>
          <w:b/>
          <w:bCs/>
          <w:u w:val="single"/>
        </w:rPr>
      </w:pPr>
      <w:r w:rsidRPr="00EE7E57">
        <w:rPr>
          <w:b/>
          <w:bCs/>
          <w:u w:val="single"/>
        </w:rPr>
        <w:lastRenderedPageBreak/>
        <w:t>FINDINGS</w:t>
      </w:r>
    </w:p>
    <w:p w14:paraId="125AA207" w14:textId="17356E80" w:rsidR="00F249C9" w:rsidRPr="00F249C9" w:rsidRDefault="00F249C9" w:rsidP="00F249C9">
      <w:r w:rsidRPr="00F249C9">
        <w:t>RE:</w:t>
      </w:r>
      <w:r w:rsidR="009B789B">
        <w:t xml:space="preserve"> General Fund Instructional and Support Expenditures</w:t>
      </w:r>
    </w:p>
    <w:p w14:paraId="2F5B672A" w14:textId="0FCA8174" w:rsidR="00F249C9" w:rsidRDefault="009B789B" w:rsidP="009B789B">
      <w:pPr>
        <w:ind w:left="720"/>
      </w:pPr>
      <w:r>
        <w:t>A check of 25 randomly</w:t>
      </w:r>
      <w:r w:rsidR="00F249C9">
        <w:t xml:space="preserve"> selected instructional and support expenses revealed that the twenty-five (25) sampled transactions were correctly classified and reported</w:t>
      </w:r>
      <w:r>
        <w:t>.</w:t>
      </w:r>
    </w:p>
    <w:p w14:paraId="1515AA6C" w14:textId="7DFCFCED" w:rsidR="009B789B" w:rsidRDefault="009B789B" w:rsidP="00F249C9">
      <w:r>
        <w:t>RE: Class Size Characteristics</w:t>
      </w:r>
    </w:p>
    <w:p w14:paraId="6351DF10" w14:textId="51F51ED8" w:rsidR="009B789B" w:rsidRDefault="009B789B" w:rsidP="009B789B">
      <w:pPr>
        <w:ind w:left="720"/>
      </w:pPr>
      <w:r>
        <w:t>For the ten (10) classes selected to check for proper classification on Schedule 2, it was revealed that the sampled transactions were correctly classified and reported.</w:t>
      </w:r>
    </w:p>
    <w:p w14:paraId="62625A87" w14:textId="5F241087" w:rsidR="009B789B" w:rsidRDefault="009B789B" w:rsidP="009B789B">
      <w:r>
        <w:t>RE:</w:t>
      </w:r>
      <w:r w:rsidR="003251EE">
        <w:t xml:space="preserve"> Education Levels/Experience of </w:t>
      </w:r>
      <w:r w:rsidR="00E96930">
        <w:t>Public-School</w:t>
      </w:r>
      <w:r w:rsidR="003251EE">
        <w:t xml:space="preserve"> Staff</w:t>
      </w:r>
    </w:p>
    <w:p w14:paraId="43DF1F13" w14:textId="52165FED" w:rsidR="003251EE" w:rsidRDefault="003251EE" w:rsidP="003251EE">
      <w:pPr>
        <w:ind w:left="720"/>
      </w:pPr>
      <w:r>
        <w:t xml:space="preserve">Out of random selection of 25 employees, 2 out of 25 employees had education level reflected on October 2023 Profile of Educational Personnel (PEP) and 3 out of 25 employees had education level not accurately reported on the October PEP report. </w:t>
      </w:r>
    </w:p>
    <w:p w14:paraId="3153DA7C" w14:textId="3E1066E7" w:rsidR="003251EE" w:rsidRDefault="003251EE" w:rsidP="003251EE">
      <w:pPr>
        <w:ind w:left="720"/>
      </w:pPr>
      <w:r w:rsidRPr="00E96930">
        <w:rPr>
          <w:b/>
          <w:bCs/>
        </w:rPr>
        <w:t>Response:</w:t>
      </w:r>
      <w:r w:rsidRPr="00E96930">
        <w:t xml:space="preserve"> RSL will implement procedures so that when staff education is changed and updates are made in PowerSchool, we contact Ed Ops </w:t>
      </w:r>
      <w:r w:rsidR="00EE051D">
        <w:t xml:space="preserve">to ensure </w:t>
      </w:r>
      <w:r w:rsidRPr="00E96930">
        <w:t>check and balances before reports are submitted</w:t>
      </w:r>
    </w:p>
    <w:p w14:paraId="62E1BD81" w14:textId="52FA8306" w:rsidR="007D38BD" w:rsidRDefault="007D38BD" w:rsidP="007D38BD">
      <w:r>
        <w:t xml:space="preserve">RE: Public School Staff Data: Average Salaries </w:t>
      </w:r>
    </w:p>
    <w:p w14:paraId="6BBE6015" w14:textId="685C1D78" w:rsidR="00EE7E57" w:rsidRDefault="00EE7E57" w:rsidP="00EE7E57">
      <w:pPr>
        <w:ind w:left="720"/>
      </w:pPr>
      <w:r>
        <w:t xml:space="preserve">Auditor selected a sample of twenty-five (25) individuals, traced to </w:t>
      </w:r>
      <w:proofErr w:type="gramStart"/>
      <w:r>
        <w:t>each individual’s</w:t>
      </w:r>
      <w:proofErr w:type="gramEnd"/>
      <w:r>
        <w:t xml:space="preserve"> personnel file, and observed that each individual’s salary, extra compensation, and full-time equivalents were properly included in the PEP data.</w:t>
      </w:r>
    </w:p>
    <w:p w14:paraId="52BFEC49" w14:textId="3D58DF5C" w:rsidR="007D38BD" w:rsidRDefault="007D38BD" w:rsidP="007D38BD">
      <w:r>
        <w:tab/>
      </w:r>
      <w:r w:rsidR="00EE7E57">
        <w:t>There were n</w:t>
      </w:r>
      <w:r>
        <w:t>o finding</w:t>
      </w:r>
      <w:r w:rsidR="00EE7E57">
        <w:t>s.</w:t>
      </w:r>
    </w:p>
    <w:p w14:paraId="20993712" w14:textId="317BB8B9" w:rsidR="007D38BD" w:rsidRPr="00EE7E57" w:rsidRDefault="00EE7E57" w:rsidP="007D38BD">
      <w:pPr>
        <w:rPr>
          <w:b/>
          <w:bCs/>
          <w:u w:val="single"/>
        </w:rPr>
      </w:pPr>
      <w:r w:rsidRPr="00EE7E57">
        <w:rPr>
          <w:b/>
          <w:bCs/>
          <w:u w:val="single"/>
        </w:rPr>
        <w:t>INTERNAL CONTROL OVER FINANCIAL REPORTING</w:t>
      </w:r>
    </w:p>
    <w:p w14:paraId="03EE6A30" w14:textId="7776EEA8" w:rsidR="00657899" w:rsidRDefault="007D38BD" w:rsidP="007D38BD">
      <w:proofErr w:type="gramStart"/>
      <w:r>
        <w:t>Auditor</w:t>
      </w:r>
      <w:proofErr w:type="gramEnd"/>
      <w:r>
        <w:t xml:space="preserve"> did not identify any deficiencies in internal control that </w:t>
      </w:r>
      <w:proofErr w:type="gramStart"/>
      <w:r w:rsidR="001E0630">
        <w:t>are</w:t>
      </w:r>
      <w:r>
        <w:t xml:space="preserve"> consider</w:t>
      </w:r>
      <w:r w:rsidR="001E0630">
        <w:t>ed</w:t>
      </w:r>
      <w:r>
        <w:t xml:space="preserve"> to be</w:t>
      </w:r>
      <w:proofErr w:type="gramEnd"/>
      <w:r>
        <w:t xml:space="preserve"> material weaknesses. </w:t>
      </w:r>
    </w:p>
    <w:p w14:paraId="7FE54663" w14:textId="3F66DD6D" w:rsidR="00657899" w:rsidRDefault="00EE7E57" w:rsidP="007D38BD">
      <w:pPr>
        <w:rPr>
          <w:b/>
          <w:bCs/>
          <w:u w:val="single"/>
        </w:rPr>
      </w:pPr>
      <w:r w:rsidRPr="00EE7E57">
        <w:rPr>
          <w:b/>
          <w:bCs/>
          <w:u w:val="single"/>
        </w:rPr>
        <w:t xml:space="preserve">REPORT ON COMPLIANCE FOR EACH MAJOR FEDERAL PROGRAM </w:t>
      </w:r>
    </w:p>
    <w:p w14:paraId="1096C78F" w14:textId="22798D2C" w:rsidR="00EE7E57" w:rsidRPr="00EE7E57" w:rsidRDefault="00740FD6" w:rsidP="007D38BD">
      <w:pPr>
        <w:rPr>
          <w:b/>
          <w:bCs/>
          <w:u w:val="single"/>
        </w:rPr>
      </w:pPr>
      <w:r>
        <w:t xml:space="preserve">No </w:t>
      </w:r>
      <w:r w:rsidR="00EE7E57">
        <w:t xml:space="preserve">audit </w:t>
      </w:r>
      <w:r w:rsidR="00E96930">
        <w:t>findings that</w:t>
      </w:r>
      <w:r w:rsidR="00EE7E57">
        <w:t xml:space="preserve"> are required to be reported in accordance with Uniform Guidance</w:t>
      </w:r>
      <w:r>
        <w:t>.</w:t>
      </w:r>
    </w:p>
    <w:p w14:paraId="64D229ED" w14:textId="2D953686" w:rsidR="00EE7E57" w:rsidRPr="00EE7E57" w:rsidRDefault="00EE7E57" w:rsidP="009B789B">
      <w:pPr>
        <w:rPr>
          <w:b/>
          <w:bCs/>
          <w:u w:val="single"/>
        </w:rPr>
      </w:pPr>
      <w:r w:rsidRPr="00EE7E57">
        <w:rPr>
          <w:b/>
          <w:bCs/>
          <w:u w:val="single"/>
        </w:rPr>
        <w:t>EXCEPTIONALITIES</w:t>
      </w:r>
    </w:p>
    <w:p w14:paraId="14A94267" w14:textId="3148C923" w:rsidR="00EE7E57" w:rsidRPr="00EE7E57" w:rsidRDefault="00EE7E57" w:rsidP="009B789B">
      <w:r w:rsidRPr="00EE7E57">
        <w:t xml:space="preserve">No </w:t>
      </w:r>
      <w:r>
        <w:t>exceptions noted in the following area</w:t>
      </w:r>
      <w:r w:rsidR="00740FD6">
        <w:t>s</w:t>
      </w:r>
      <w:r>
        <w:t>:</w:t>
      </w:r>
    </w:p>
    <w:p w14:paraId="04F48BCC" w14:textId="6D9F55BE" w:rsidR="003251EE" w:rsidRPr="00EE7E57" w:rsidRDefault="00E37376" w:rsidP="00EE7E57">
      <w:pPr>
        <w:pStyle w:val="ListParagraph"/>
        <w:numPr>
          <w:ilvl w:val="0"/>
          <w:numId w:val="1"/>
        </w:numPr>
      </w:pPr>
      <w:r w:rsidRPr="00EE7E57">
        <w:t>Written Policies and Procedures</w:t>
      </w:r>
    </w:p>
    <w:p w14:paraId="26ACEA5F" w14:textId="77777777" w:rsidR="00EE7E57" w:rsidRDefault="00E37376" w:rsidP="009B789B">
      <w:pPr>
        <w:pStyle w:val="ListParagraph"/>
        <w:numPr>
          <w:ilvl w:val="0"/>
          <w:numId w:val="1"/>
        </w:numPr>
      </w:pPr>
      <w:r w:rsidRPr="00EE7E57">
        <w:t>Board and Finance Committee</w:t>
      </w:r>
    </w:p>
    <w:p w14:paraId="3A68D101" w14:textId="77777777" w:rsidR="00EE7E57" w:rsidRDefault="00E37376" w:rsidP="009B789B">
      <w:pPr>
        <w:pStyle w:val="ListParagraph"/>
        <w:numPr>
          <w:ilvl w:val="0"/>
          <w:numId w:val="1"/>
        </w:numPr>
      </w:pPr>
      <w:r>
        <w:t>Bank Reconciliations</w:t>
      </w:r>
    </w:p>
    <w:p w14:paraId="0D96D004" w14:textId="77777777" w:rsidR="00EE7E57" w:rsidRDefault="00E37376" w:rsidP="009B789B">
      <w:pPr>
        <w:pStyle w:val="ListParagraph"/>
        <w:numPr>
          <w:ilvl w:val="0"/>
          <w:numId w:val="1"/>
        </w:numPr>
      </w:pPr>
      <w:r>
        <w:t>Collections</w:t>
      </w:r>
    </w:p>
    <w:p w14:paraId="70E8CB18" w14:textId="77777777" w:rsidR="00EE7E57" w:rsidRDefault="00E37376" w:rsidP="009B789B">
      <w:pPr>
        <w:pStyle w:val="ListParagraph"/>
        <w:numPr>
          <w:ilvl w:val="0"/>
          <w:numId w:val="1"/>
        </w:numPr>
      </w:pPr>
      <w:proofErr w:type="gramStart"/>
      <w:r>
        <w:t>Non Payroll</w:t>
      </w:r>
      <w:proofErr w:type="gramEnd"/>
      <w:r>
        <w:t xml:space="preserve"> Disbursements</w:t>
      </w:r>
    </w:p>
    <w:p w14:paraId="23204337" w14:textId="77777777" w:rsidR="00EE7E57" w:rsidRDefault="00E37376" w:rsidP="009B789B">
      <w:pPr>
        <w:pStyle w:val="ListParagraph"/>
        <w:numPr>
          <w:ilvl w:val="0"/>
          <w:numId w:val="1"/>
        </w:numPr>
      </w:pPr>
      <w:r>
        <w:t>Credit Cards/Debit Cards/Fuel Cards/Purchase Cards</w:t>
      </w:r>
    </w:p>
    <w:p w14:paraId="47023922" w14:textId="77777777" w:rsidR="00EE7E57" w:rsidRDefault="00E37376" w:rsidP="009B789B">
      <w:pPr>
        <w:pStyle w:val="ListParagraph"/>
        <w:numPr>
          <w:ilvl w:val="0"/>
          <w:numId w:val="1"/>
        </w:numPr>
      </w:pPr>
      <w:r>
        <w:t>Travel and Travel-Related Expense Reimbursements</w:t>
      </w:r>
    </w:p>
    <w:p w14:paraId="26BA358D" w14:textId="77777777" w:rsidR="00EE7E57" w:rsidRDefault="00E37376" w:rsidP="009B789B">
      <w:pPr>
        <w:pStyle w:val="ListParagraph"/>
        <w:numPr>
          <w:ilvl w:val="0"/>
          <w:numId w:val="1"/>
        </w:numPr>
      </w:pPr>
      <w:r>
        <w:t>Contracts</w:t>
      </w:r>
    </w:p>
    <w:p w14:paraId="723052D6" w14:textId="77777777" w:rsidR="00EE7E57" w:rsidRDefault="00E37376" w:rsidP="009B789B">
      <w:pPr>
        <w:pStyle w:val="ListParagraph"/>
        <w:numPr>
          <w:ilvl w:val="0"/>
          <w:numId w:val="1"/>
        </w:numPr>
      </w:pPr>
      <w:r>
        <w:lastRenderedPageBreak/>
        <w:t>Payroll and Personnel</w:t>
      </w:r>
    </w:p>
    <w:p w14:paraId="1939CAF5" w14:textId="77777777" w:rsidR="00EE7E57" w:rsidRDefault="00E37376" w:rsidP="009B789B">
      <w:pPr>
        <w:pStyle w:val="ListParagraph"/>
        <w:numPr>
          <w:ilvl w:val="0"/>
          <w:numId w:val="1"/>
        </w:numPr>
      </w:pPr>
      <w:r>
        <w:t>Ethics</w:t>
      </w:r>
    </w:p>
    <w:p w14:paraId="606FBBD4" w14:textId="77777777" w:rsidR="00EE7E57" w:rsidRDefault="00E37376" w:rsidP="009B789B">
      <w:pPr>
        <w:pStyle w:val="ListParagraph"/>
        <w:numPr>
          <w:ilvl w:val="0"/>
          <w:numId w:val="1"/>
        </w:numPr>
      </w:pPr>
      <w:r>
        <w:t>Fraud Notice</w:t>
      </w:r>
    </w:p>
    <w:p w14:paraId="6936E7CC" w14:textId="77777777" w:rsidR="00EE7E57" w:rsidRDefault="00E37376" w:rsidP="009B789B">
      <w:pPr>
        <w:pStyle w:val="ListParagraph"/>
        <w:numPr>
          <w:ilvl w:val="0"/>
          <w:numId w:val="1"/>
        </w:numPr>
      </w:pPr>
      <w:r>
        <w:t>Information Technology Disaster Recovery/Business Continuity</w:t>
      </w:r>
    </w:p>
    <w:p w14:paraId="379B7C6C" w14:textId="34621E30" w:rsidR="00F249C9" w:rsidRPr="00F14123" w:rsidRDefault="00E37376" w:rsidP="00F249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Prevention of Sexual Harassment</w:t>
      </w:r>
    </w:p>
    <w:sectPr w:rsidR="00F249C9" w:rsidRPr="00F1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D2357"/>
    <w:multiLevelType w:val="hybridMultilevel"/>
    <w:tmpl w:val="55AA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87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7B"/>
    <w:rsid w:val="00006F32"/>
    <w:rsid w:val="00013609"/>
    <w:rsid w:val="000E3018"/>
    <w:rsid w:val="000F6D5F"/>
    <w:rsid w:val="001774AB"/>
    <w:rsid w:val="001E0630"/>
    <w:rsid w:val="00222C5D"/>
    <w:rsid w:val="003111E6"/>
    <w:rsid w:val="003251EE"/>
    <w:rsid w:val="00460B5A"/>
    <w:rsid w:val="004A07F2"/>
    <w:rsid w:val="005939AF"/>
    <w:rsid w:val="00657899"/>
    <w:rsid w:val="006F3222"/>
    <w:rsid w:val="007300D2"/>
    <w:rsid w:val="00740FD6"/>
    <w:rsid w:val="007B4C37"/>
    <w:rsid w:val="007B5240"/>
    <w:rsid w:val="007D38BD"/>
    <w:rsid w:val="007D6A61"/>
    <w:rsid w:val="00833CE6"/>
    <w:rsid w:val="009B789B"/>
    <w:rsid w:val="00BA143B"/>
    <w:rsid w:val="00BD2366"/>
    <w:rsid w:val="00D44695"/>
    <w:rsid w:val="00DA2705"/>
    <w:rsid w:val="00DE247B"/>
    <w:rsid w:val="00E37376"/>
    <w:rsid w:val="00E96930"/>
    <w:rsid w:val="00EE051D"/>
    <w:rsid w:val="00EE7E57"/>
    <w:rsid w:val="00F14123"/>
    <w:rsid w:val="00F249C9"/>
    <w:rsid w:val="00F43932"/>
    <w:rsid w:val="00F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64BF"/>
  <w15:docId w15:val="{66D74DFB-9CC4-4752-A52B-D94CD80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ofPD xmlns="aa8d7016-b0d5-446e-a497-dd4bf794540e" xsi:nil="true"/>
    <TaxCatchAll xmlns="063486b1-01c4-4bbc-89ff-41a1c79f0826" xsi:nil="true"/>
    <lcf76f155ced4ddcb4097134ff3c332f xmlns="aa8d7016-b0d5-446e-a497-dd4bf794540e">
      <Terms xmlns="http://schemas.microsoft.com/office/infopath/2007/PartnerControls"/>
    </lcf76f155ced4ddcb4097134ff3c332f>
    <PersonorTeam xmlns="aa8d7016-b0d5-446e-a497-dd4bf794540e">
      <UserInfo>
        <DisplayName/>
        <AccountId xsi:nil="true"/>
        <AccountType/>
      </UserInfo>
    </PersonorTea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AA4CE8821AB4EB8FACB44AB4397EB" ma:contentTypeVersion="20" ma:contentTypeDescription="Create a new document." ma:contentTypeScope="" ma:versionID="fa5cd81545108573c1d31052adf50ac6">
  <xsd:schema xmlns:xsd="http://www.w3.org/2001/XMLSchema" xmlns:xs="http://www.w3.org/2001/XMLSchema" xmlns:p="http://schemas.microsoft.com/office/2006/metadata/properties" xmlns:ns2="aa8d7016-b0d5-446e-a497-dd4bf794540e" xmlns:ns3="063486b1-01c4-4bbc-89ff-41a1c79f0826" targetNamespace="http://schemas.microsoft.com/office/2006/metadata/properties" ma:root="true" ma:fieldsID="39cabbadf5d41521fb48da4dbf89988b" ns2:_="" ns3:_="">
    <xsd:import namespace="aa8d7016-b0d5-446e-a497-dd4bf794540e"/>
    <xsd:import namespace="063486b1-01c4-4bbc-89ff-41a1c79f0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ameofPD" minOccurs="0"/>
                <xsd:element ref="ns2:PersonorTeam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d7016-b0d5-446e-a497-dd4bf7945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d5c254-81b1-401c-a455-90313ece39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ofPD" ma:index="22" nillable="true" ma:displayName="Name of PD" ma:description="Add the specific title of the PD.  There are many streams of SELF PD for this year." ma:format="Dropdown" ma:internalName="NameofPD">
      <xsd:simpleType>
        <xsd:restriction base="dms:Text">
          <xsd:maxLength value="255"/>
        </xsd:restriction>
      </xsd:simpleType>
    </xsd:element>
    <xsd:element name="PersonorTeam" ma:index="23" nillable="true" ma:displayName="Person or Team " ma:description="Name the person or team engaged in the PD.  For example, leadership (principals and Network), ESS teachers, etc." ma:format="Dropdown" ma:list="UserInfo" ma:SharePointGroup="0" ma:internalName="PersonorTea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486b1-01c4-4bbc-89ff-41a1c79f0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f963b0-a7c5-462a-bdce-739efb007934}" ma:internalName="TaxCatchAll" ma:showField="CatchAllData" ma:web="063486b1-01c4-4bbc-89ff-41a1c79f0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F74A0-42EA-4FF3-812B-20331AE2D2D0}">
  <ds:schemaRefs>
    <ds:schemaRef ds:uri="http://schemas.microsoft.com/office/2006/metadata/properties"/>
    <ds:schemaRef ds:uri="http://schemas.microsoft.com/office/infopath/2007/PartnerControls"/>
    <ds:schemaRef ds:uri="aa8d7016-b0d5-446e-a497-dd4bf794540e"/>
    <ds:schemaRef ds:uri="063486b1-01c4-4bbc-89ff-41a1c79f0826"/>
  </ds:schemaRefs>
</ds:datastoreItem>
</file>

<file path=customXml/itemProps2.xml><?xml version="1.0" encoding="utf-8"?>
<ds:datastoreItem xmlns:ds="http://schemas.openxmlformats.org/officeDocument/2006/customXml" ds:itemID="{19165235-9131-4DEC-9684-4EA76DD8A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59145-ED56-4F8B-BDFA-729F29F83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d7016-b0d5-446e-a497-dd4bf794540e"/>
    <ds:schemaRef ds:uri="063486b1-01c4-4bbc-89ff-41a1c79f0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Lucas</dc:creator>
  <cp:keywords/>
  <dc:description/>
  <cp:lastModifiedBy>Candace Lucas</cp:lastModifiedBy>
  <cp:revision>3</cp:revision>
  <dcterms:created xsi:type="dcterms:W3CDTF">2024-01-24T17:47:00Z</dcterms:created>
  <dcterms:modified xsi:type="dcterms:W3CDTF">2024-01-24T17:49:00Z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0x010100183AA4CE8821AB4EB8FACB44AB4397EB</vt:lpwstr>
  </property>
</Properties>
</file>