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College Readiness Grant Spending Plan - Oct. 25,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plan to use the $75K in grant money, made available to us by the state, will follow the basic outline of the LCAP. Because our school population is small it is difficult to target specific unduplicated groups. Most of our students will fall into an unduplicated group or be attached in some way. It would be more harmful and costly to separate these groups, therefore, it is our opinion that it would be more efficient and effective to use this money to focus on all of the students in the High School Class and provide services or support for the 25 students in these classes. Our LCAP focuses on EL and RTI supportive programs; parent and community outreach programs; and providing support for both emotional and social needs. We will continue those services using this money in the following manner: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Tutoring and support for high course levels particularly for math and science. $20K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RTI support: $20K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College Counseling and Assistance: $20K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College Curriculum Review and Summary Courses: $5K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College Level courses and testing: $10K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