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DA4C7" w14:textId="77777777" w:rsidR="009928E0" w:rsidRDefault="009928E0" w:rsidP="00072BC2">
      <w:pPr>
        <w:widowControl w:val="0"/>
        <w:autoSpaceDE w:val="0"/>
        <w:autoSpaceDN w:val="0"/>
        <w:adjustRightInd w:val="0"/>
        <w:rPr>
          <w:rFonts w:cs="Helvetica Neue"/>
          <w:b/>
          <w:i/>
          <w:iCs/>
          <w:sz w:val="28"/>
          <w:szCs w:val="28"/>
        </w:rPr>
      </w:pPr>
    </w:p>
    <w:p w14:paraId="22372FE0" w14:textId="77777777" w:rsidR="009928E0" w:rsidRDefault="009928E0" w:rsidP="009928E0">
      <w:pPr>
        <w:pStyle w:val="ListParagraph"/>
        <w:widowControl w:val="0"/>
        <w:autoSpaceDE w:val="0"/>
        <w:autoSpaceDN w:val="0"/>
        <w:adjustRightInd w:val="0"/>
        <w:jc w:val="center"/>
        <w:rPr>
          <w:rFonts w:cs="Helvetica Neue"/>
          <w:i/>
          <w:iCs/>
          <w:sz w:val="28"/>
          <w:szCs w:val="28"/>
          <w:u w:val="single"/>
        </w:rPr>
      </w:pPr>
      <w:r w:rsidRPr="009928E0">
        <w:rPr>
          <w:rFonts w:cs="Helvetica Neue"/>
          <w:i/>
          <w:iCs/>
          <w:sz w:val="28"/>
          <w:szCs w:val="28"/>
          <w:u w:val="single"/>
        </w:rPr>
        <w:t>Courses of Action for Truancy</w:t>
      </w:r>
      <w:r>
        <w:rPr>
          <w:rFonts w:cs="Helvetica Neue"/>
          <w:i/>
          <w:iCs/>
          <w:sz w:val="28"/>
          <w:szCs w:val="28"/>
          <w:u w:val="single"/>
        </w:rPr>
        <w:t xml:space="preserve"> (Part of TRCS Policy 5.01)</w:t>
      </w:r>
    </w:p>
    <w:p w14:paraId="3A346616" w14:textId="77777777" w:rsidR="009928E0" w:rsidRPr="009928E0" w:rsidRDefault="009928E0" w:rsidP="009928E0">
      <w:pPr>
        <w:pStyle w:val="ListParagraph"/>
        <w:widowControl w:val="0"/>
        <w:autoSpaceDE w:val="0"/>
        <w:autoSpaceDN w:val="0"/>
        <w:adjustRightInd w:val="0"/>
        <w:jc w:val="center"/>
        <w:rPr>
          <w:rFonts w:cs="Helvetica Neue"/>
          <w:i/>
          <w:iCs/>
          <w:sz w:val="28"/>
          <w:szCs w:val="28"/>
          <w:u w:val="single"/>
        </w:rPr>
      </w:pPr>
    </w:p>
    <w:p w14:paraId="073D3F4D" w14:textId="77777777" w:rsidR="00523701" w:rsidRPr="00072BC2" w:rsidRDefault="00546F20" w:rsidP="00072B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Helvetica Neue"/>
          <w:b/>
          <w:i/>
          <w:iCs/>
          <w:sz w:val="28"/>
          <w:szCs w:val="28"/>
        </w:rPr>
      </w:pPr>
      <w:r w:rsidRPr="00072BC2">
        <w:rPr>
          <w:rFonts w:cs="Helvetica Neue"/>
          <w:b/>
          <w:i/>
          <w:iCs/>
          <w:sz w:val="28"/>
          <w:szCs w:val="28"/>
        </w:rPr>
        <w:t xml:space="preserve">Truancy: 3 times absent or tardy </w:t>
      </w:r>
      <w:r w:rsidR="00885BC3" w:rsidRPr="00072BC2">
        <w:rPr>
          <w:rFonts w:cs="Helvetica Neue"/>
          <w:b/>
          <w:i/>
          <w:iCs/>
          <w:sz w:val="28"/>
          <w:szCs w:val="28"/>
        </w:rPr>
        <w:t xml:space="preserve">over 30 minutes without a valid excuse. </w:t>
      </w:r>
    </w:p>
    <w:p w14:paraId="53B21043" w14:textId="77777777" w:rsidR="00885BC3" w:rsidRPr="00072BC2" w:rsidRDefault="00885BC3" w:rsidP="00072B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Helvetica Neue"/>
          <w:b/>
          <w:i/>
          <w:iCs/>
          <w:sz w:val="28"/>
          <w:szCs w:val="28"/>
        </w:rPr>
      </w:pPr>
      <w:r w:rsidRPr="00072BC2">
        <w:rPr>
          <w:rFonts w:cs="Helvetica Neue"/>
          <w:b/>
          <w:i/>
          <w:iCs/>
          <w:sz w:val="28"/>
          <w:szCs w:val="28"/>
        </w:rPr>
        <w:t>Chronically Truant: 3 times truant</w:t>
      </w:r>
    </w:p>
    <w:p w14:paraId="7126C962" w14:textId="77777777" w:rsidR="00885BC3" w:rsidRPr="00072BC2" w:rsidRDefault="00885BC3" w:rsidP="00072B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Helvetica Neue"/>
          <w:b/>
          <w:i/>
          <w:iCs/>
          <w:sz w:val="28"/>
          <w:szCs w:val="28"/>
        </w:rPr>
      </w:pPr>
      <w:r w:rsidRPr="00072BC2">
        <w:rPr>
          <w:rFonts w:cs="Helvetica Neue"/>
          <w:b/>
          <w:i/>
          <w:iCs/>
          <w:sz w:val="28"/>
          <w:szCs w:val="28"/>
        </w:rPr>
        <w:t xml:space="preserve">Habitually Truant: 10% (18 days) without a valid excuse within the school year. </w:t>
      </w:r>
    </w:p>
    <w:p w14:paraId="780895C8" w14:textId="77777777" w:rsidR="00072BC2" w:rsidRDefault="00072BC2" w:rsidP="00072BC2">
      <w:pPr>
        <w:widowControl w:val="0"/>
        <w:autoSpaceDE w:val="0"/>
        <w:autoSpaceDN w:val="0"/>
        <w:adjustRightInd w:val="0"/>
        <w:ind w:left="820" w:hanging="820"/>
        <w:rPr>
          <w:rFonts w:cs="Helvetica Neue"/>
          <w:i/>
          <w:iCs/>
          <w:sz w:val="28"/>
          <w:szCs w:val="28"/>
        </w:rPr>
      </w:pPr>
    </w:p>
    <w:p w14:paraId="7C670A1F" w14:textId="77777777" w:rsidR="00523701" w:rsidRPr="00072BC2" w:rsidRDefault="00523701" w:rsidP="00072BC2">
      <w:pPr>
        <w:widowControl w:val="0"/>
        <w:autoSpaceDE w:val="0"/>
        <w:autoSpaceDN w:val="0"/>
        <w:adjustRightInd w:val="0"/>
        <w:ind w:left="820" w:hanging="820"/>
        <w:rPr>
          <w:rFonts w:cs="Helvetica Neue"/>
          <w:i/>
          <w:iCs/>
          <w:sz w:val="28"/>
          <w:szCs w:val="28"/>
        </w:rPr>
      </w:pPr>
      <w:r w:rsidRPr="00072BC2">
        <w:rPr>
          <w:rFonts w:cs="Helvetica Neue"/>
          <w:i/>
          <w:iCs/>
          <w:sz w:val="28"/>
          <w:szCs w:val="28"/>
        </w:rPr>
        <w:t xml:space="preserve">First </w:t>
      </w:r>
      <w:proofErr w:type="gramStart"/>
      <w:r w:rsidRPr="00072BC2">
        <w:rPr>
          <w:rFonts w:cs="Helvetica Neue"/>
          <w:i/>
          <w:iCs/>
          <w:sz w:val="28"/>
          <w:szCs w:val="28"/>
        </w:rPr>
        <w:t>Truancy :</w:t>
      </w:r>
      <w:proofErr w:type="gramEnd"/>
    </w:p>
    <w:p w14:paraId="17FC39D4" w14:textId="77777777" w:rsidR="00523701" w:rsidRPr="00072BC2" w:rsidRDefault="00523701" w:rsidP="00072BC2">
      <w:pPr>
        <w:widowControl w:val="0"/>
        <w:autoSpaceDE w:val="0"/>
        <w:autoSpaceDN w:val="0"/>
        <w:adjustRightInd w:val="0"/>
        <w:ind w:left="820" w:hanging="820"/>
        <w:rPr>
          <w:rFonts w:cs="Helvetica Neue"/>
          <w:sz w:val="28"/>
          <w:szCs w:val="28"/>
        </w:rPr>
      </w:pPr>
      <w:r w:rsidRPr="00072BC2">
        <w:rPr>
          <w:rFonts w:cs="Helvetica Neue"/>
          <w:i/>
          <w:iCs/>
          <w:sz w:val="28"/>
          <w:szCs w:val="28"/>
        </w:rPr>
        <w:t>1.</w:t>
      </w:r>
      <w:r w:rsidRPr="00072BC2">
        <w:rPr>
          <w:rFonts w:cs="Helvetica Neue"/>
          <w:i/>
          <w:iCs/>
          <w:sz w:val="28"/>
          <w:szCs w:val="28"/>
        </w:rPr>
        <w:t xml:space="preserve">EC </w:t>
      </w:r>
      <w:r w:rsidRPr="00072BC2">
        <w:rPr>
          <w:rFonts w:cs="Helvetica Neue"/>
          <w:sz w:val="28"/>
          <w:szCs w:val="28"/>
        </w:rPr>
        <w:t>Section 48260.5: Upon a pupil's initial classification as a truant, the school district shall notify the pupil's parent or guardian, by using the most cost-effective method possible, which may include electronic mail or a telephone call:</w:t>
      </w:r>
    </w:p>
    <w:p w14:paraId="42434984" w14:textId="77777777" w:rsidR="00523701" w:rsidRPr="00072BC2" w:rsidRDefault="00523701" w:rsidP="00523701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  <w:r w:rsidRPr="00072BC2">
        <w:rPr>
          <w:rFonts w:cs="Helvetica Neue"/>
          <w:sz w:val="28"/>
          <w:szCs w:val="28"/>
        </w:rPr>
        <w:t xml:space="preserve">(a) That the pupil is a truant. </w:t>
      </w:r>
    </w:p>
    <w:p w14:paraId="2A681C14" w14:textId="77777777" w:rsidR="00523701" w:rsidRPr="00072BC2" w:rsidRDefault="00523701" w:rsidP="00523701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  <w:r w:rsidRPr="00072BC2">
        <w:rPr>
          <w:rFonts w:cs="Helvetica Neue"/>
          <w:sz w:val="28"/>
          <w:szCs w:val="28"/>
        </w:rPr>
        <w:t xml:space="preserve">(b) That the parent or guardian is obligated to compel the attendance of the pupil at school. </w:t>
      </w:r>
    </w:p>
    <w:p w14:paraId="7709FDE9" w14:textId="77777777" w:rsidR="00523701" w:rsidRPr="00072BC2" w:rsidRDefault="00523701" w:rsidP="00523701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  <w:r w:rsidRPr="00072BC2">
        <w:rPr>
          <w:rFonts w:cs="Helvetica Neue"/>
          <w:sz w:val="28"/>
          <w:szCs w:val="28"/>
        </w:rPr>
        <w:t xml:space="preserve">(c) That parents or guardians who fail to meet this obligation may be guilty of an infraction and subject to prosecution pursuant to Article 6 (commencing with Section 48290) of Chapter 2 of Part 27. </w:t>
      </w:r>
    </w:p>
    <w:p w14:paraId="555EBAE5" w14:textId="77777777" w:rsidR="00523701" w:rsidRPr="00072BC2" w:rsidRDefault="00523701" w:rsidP="00523701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  <w:r w:rsidRPr="00072BC2">
        <w:rPr>
          <w:rFonts w:cs="Helvetica Neue"/>
          <w:sz w:val="28"/>
          <w:szCs w:val="28"/>
        </w:rPr>
        <w:t xml:space="preserve">(d) That alternative educational programs are available in the district. </w:t>
      </w:r>
    </w:p>
    <w:p w14:paraId="2E34C8B8" w14:textId="77777777" w:rsidR="00523701" w:rsidRPr="00072BC2" w:rsidRDefault="00523701" w:rsidP="00523701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  <w:r w:rsidRPr="00072BC2">
        <w:rPr>
          <w:rFonts w:cs="Helvetica Neue"/>
          <w:sz w:val="28"/>
          <w:szCs w:val="28"/>
        </w:rPr>
        <w:t xml:space="preserve">(e) That the parent or guardian has the right to meet with appropriate school personnel to discuss solutions to the pupil's truancy. </w:t>
      </w:r>
    </w:p>
    <w:p w14:paraId="3A051967" w14:textId="77777777" w:rsidR="00523701" w:rsidRPr="00072BC2" w:rsidRDefault="00523701" w:rsidP="00523701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  <w:r w:rsidRPr="00072BC2">
        <w:rPr>
          <w:rFonts w:cs="Helvetica Neue"/>
          <w:sz w:val="28"/>
          <w:szCs w:val="28"/>
        </w:rPr>
        <w:t xml:space="preserve">(f) That the pupil may be subject to prosecution under Section 48264. </w:t>
      </w:r>
    </w:p>
    <w:p w14:paraId="70AC6719" w14:textId="77777777" w:rsidR="00523701" w:rsidRPr="00072BC2" w:rsidRDefault="00523701" w:rsidP="00523701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  <w:r w:rsidRPr="00072BC2">
        <w:rPr>
          <w:rFonts w:cs="Helvetica Neue"/>
          <w:sz w:val="28"/>
          <w:szCs w:val="28"/>
        </w:rPr>
        <w:t xml:space="preserve">(g) That the pupil may be subject to suspension, restriction, or delay of the pupil's driving privilege pursuant to Section 13202.7 of the </w:t>
      </w:r>
      <w:r w:rsidRPr="00072BC2">
        <w:rPr>
          <w:rFonts w:cs="Helvetica Neue"/>
          <w:i/>
          <w:iCs/>
          <w:sz w:val="28"/>
          <w:szCs w:val="28"/>
        </w:rPr>
        <w:t>Vehicle Code</w:t>
      </w:r>
      <w:r w:rsidRPr="00072BC2">
        <w:rPr>
          <w:rFonts w:cs="Helvetica Neue"/>
          <w:sz w:val="28"/>
          <w:szCs w:val="28"/>
        </w:rPr>
        <w:t xml:space="preserve">. </w:t>
      </w:r>
    </w:p>
    <w:p w14:paraId="20FC0C64" w14:textId="77777777" w:rsidR="00AA2836" w:rsidRPr="00072BC2" w:rsidRDefault="00523701" w:rsidP="00523701">
      <w:pPr>
        <w:rPr>
          <w:rFonts w:cs="Helvetica Neue"/>
          <w:sz w:val="28"/>
          <w:szCs w:val="28"/>
        </w:rPr>
      </w:pPr>
      <w:r w:rsidRPr="00072BC2">
        <w:rPr>
          <w:rFonts w:cs="Helvetica Neue"/>
          <w:sz w:val="28"/>
          <w:szCs w:val="28"/>
        </w:rPr>
        <w:t>(h) That it is recommended the parent or guardian accompany the pupil to school and attend classes with the pupil for one day.</w:t>
      </w:r>
    </w:p>
    <w:p w14:paraId="007417CC" w14:textId="77777777" w:rsidR="00523701" w:rsidRPr="00072BC2" w:rsidRDefault="00523701" w:rsidP="00523701">
      <w:pPr>
        <w:rPr>
          <w:rFonts w:cs="Helvetica Neue"/>
          <w:sz w:val="28"/>
          <w:szCs w:val="28"/>
        </w:rPr>
      </w:pPr>
    </w:p>
    <w:p w14:paraId="00C19AD2" w14:textId="77777777" w:rsidR="00885BC3" w:rsidRPr="00072BC2" w:rsidRDefault="00885BC3" w:rsidP="00523701">
      <w:pPr>
        <w:rPr>
          <w:rFonts w:cs="Helvetica Neue"/>
          <w:sz w:val="28"/>
          <w:szCs w:val="28"/>
        </w:rPr>
      </w:pPr>
      <w:r w:rsidRPr="00072BC2">
        <w:rPr>
          <w:rFonts w:cs="Helvetica Neue"/>
          <w:sz w:val="28"/>
          <w:szCs w:val="28"/>
        </w:rPr>
        <w:t>2. 2nd Truancy: Director meet</w:t>
      </w:r>
      <w:r w:rsidR="009928E0">
        <w:rPr>
          <w:rFonts w:cs="Helvetica Neue"/>
          <w:sz w:val="28"/>
          <w:szCs w:val="28"/>
        </w:rPr>
        <w:t xml:space="preserve">s or attempts to meet, </w:t>
      </w:r>
      <w:r w:rsidRPr="00072BC2">
        <w:rPr>
          <w:rFonts w:cs="Helvetica Neue"/>
          <w:sz w:val="28"/>
          <w:szCs w:val="28"/>
        </w:rPr>
        <w:t>with parents.</w:t>
      </w:r>
    </w:p>
    <w:p w14:paraId="1E5D1620" w14:textId="77777777" w:rsidR="00885BC3" w:rsidRPr="00072BC2" w:rsidRDefault="00885BC3" w:rsidP="00523701">
      <w:pPr>
        <w:rPr>
          <w:rFonts w:cs="Helvetica Neue"/>
          <w:sz w:val="28"/>
          <w:szCs w:val="28"/>
        </w:rPr>
      </w:pPr>
    </w:p>
    <w:p w14:paraId="74269290" w14:textId="77777777" w:rsidR="00523701" w:rsidRPr="00072BC2" w:rsidRDefault="00523701" w:rsidP="00072BC2">
      <w:pPr>
        <w:tabs>
          <w:tab w:val="left" w:pos="270"/>
          <w:tab w:val="left" w:pos="540"/>
          <w:tab w:val="left" w:pos="1080"/>
        </w:tabs>
        <w:rPr>
          <w:rFonts w:cs="Helvetica Neue"/>
          <w:sz w:val="28"/>
          <w:szCs w:val="28"/>
        </w:rPr>
      </w:pPr>
      <w:r w:rsidRPr="00072BC2">
        <w:rPr>
          <w:rFonts w:cs="Helvetica Neue"/>
          <w:i/>
          <w:iCs/>
          <w:sz w:val="28"/>
          <w:szCs w:val="28"/>
        </w:rPr>
        <w:t>3.</w:t>
      </w:r>
      <w:r w:rsidR="00885BC3" w:rsidRPr="00072BC2">
        <w:rPr>
          <w:rFonts w:cs="Helvetica Neue"/>
          <w:i/>
          <w:iCs/>
          <w:sz w:val="28"/>
          <w:szCs w:val="28"/>
        </w:rPr>
        <w:t>3</w:t>
      </w:r>
      <w:r w:rsidR="00885BC3" w:rsidRPr="00072BC2">
        <w:rPr>
          <w:rFonts w:cs="Helvetica Neue"/>
          <w:i/>
          <w:iCs/>
          <w:sz w:val="28"/>
          <w:szCs w:val="28"/>
          <w:vertAlign w:val="superscript"/>
        </w:rPr>
        <w:t>rd</w:t>
      </w:r>
      <w:r w:rsidR="00885BC3" w:rsidRPr="00072BC2">
        <w:rPr>
          <w:rFonts w:cs="Helvetica Neue"/>
          <w:i/>
          <w:iCs/>
          <w:sz w:val="28"/>
          <w:szCs w:val="28"/>
        </w:rPr>
        <w:t xml:space="preserve"> Truancy: </w:t>
      </w:r>
      <w:r w:rsidRPr="00072BC2">
        <w:rPr>
          <w:rFonts w:cs="Helvetica Neue"/>
          <w:i/>
          <w:iCs/>
          <w:sz w:val="28"/>
          <w:szCs w:val="28"/>
        </w:rPr>
        <w:t xml:space="preserve">EC </w:t>
      </w:r>
      <w:r w:rsidRPr="00072BC2">
        <w:rPr>
          <w:rFonts w:cs="Helvetica Neue"/>
          <w:sz w:val="28"/>
          <w:szCs w:val="28"/>
        </w:rPr>
        <w:t>Secti</w:t>
      </w:r>
      <w:r w:rsidRPr="00072BC2">
        <w:rPr>
          <w:rFonts w:cs="Helvetica Neue"/>
          <w:sz w:val="28"/>
          <w:szCs w:val="28"/>
        </w:rPr>
        <w:t>on 48262: Any pupil is deemed a</w:t>
      </w:r>
      <w:r w:rsidRPr="00072BC2">
        <w:rPr>
          <w:rFonts w:cs="Helvetica Neue"/>
          <w:sz w:val="28"/>
          <w:szCs w:val="28"/>
        </w:rPr>
        <w:t xml:space="preserve"> habitual truant who has been reported as a truant three or more times per school year, provided </w:t>
      </w:r>
      <w:r w:rsidRPr="00072BC2">
        <w:rPr>
          <w:rFonts w:cs="Helvetica Neue"/>
          <w:sz w:val="28"/>
          <w:szCs w:val="28"/>
        </w:rPr>
        <w:t>that no pupil shall be deemed a</w:t>
      </w:r>
      <w:r w:rsidRPr="00072BC2">
        <w:rPr>
          <w:rFonts w:cs="Helvetica Neue"/>
          <w:sz w:val="28"/>
          <w:szCs w:val="28"/>
        </w:rPr>
        <w:t xml:space="preserve"> habitual truant unless an appropriate district officer or employee has made a conscientious effort to hold at least one conference with a parent or guardian of the pupil and the pupil himself, after the filing of either of the reports required by Section 48260 or Section 48261. For the purposes of this </w:t>
      </w:r>
      <w:r w:rsidRPr="00072BC2">
        <w:rPr>
          <w:rFonts w:cs="Helvetica Neue"/>
          <w:sz w:val="28"/>
          <w:szCs w:val="28"/>
        </w:rPr>
        <w:lastRenderedPageBreak/>
        <w:t>section, a conscientious effort means attempting to communicate with the parents of the pupil at least once using the most cost-effective method possible, which may include electronic mail or a telephone call.</w:t>
      </w:r>
    </w:p>
    <w:p w14:paraId="06D19411" w14:textId="77777777" w:rsidR="00523701" w:rsidRPr="00072BC2" w:rsidRDefault="00523701" w:rsidP="00523701">
      <w:pPr>
        <w:rPr>
          <w:rFonts w:cs="Helvetica Neue"/>
          <w:sz w:val="28"/>
          <w:szCs w:val="28"/>
        </w:rPr>
      </w:pPr>
    </w:p>
    <w:p w14:paraId="312A01B4" w14:textId="77777777" w:rsidR="00523701" w:rsidRPr="00072BC2" w:rsidRDefault="00523701" w:rsidP="00523701">
      <w:pPr>
        <w:rPr>
          <w:rFonts w:cs="Helvetica Neue"/>
          <w:sz w:val="28"/>
          <w:szCs w:val="28"/>
        </w:rPr>
      </w:pPr>
      <w:r w:rsidRPr="00072BC2">
        <w:rPr>
          <w:rFonts w:cs="Helvetica Neue"/>
          <w:sz w:val="28"/>
          <w:szCs w:val="28"/>
        </w:rPr>
        <w:t xml:space="preserve">4.After deemed a Habitual Truant, a student shall be referred to a School Attendance Review Board. </w:t>
      </w:r>
      <w:r w:rsidR="00546F20" w:rsidRPr="00072BC2">
        <w:rPr>
          <w:rFonts w:cs="Helvetica Neue"/>
          <w:sz w:val="28"/>
          <w:szCs w:val="28"/>
        </w:rPr>
        <w:t>The School Attend</w:t>
      </w:r>
      <w:r w:rsidR="00885BC3" w:rsidRPr="00072BC2">
        <w:rPr>
          <w:rFonts w:cs="Helvetica Neue"/>
          <w:sz w:val="28"/>
          <w:szCs w:val="28"/>
        </w:rPr>
        <w:t>a</w:t>
      </w:r>
      <w:r w:rsidR="00546F20" w:rsidRPr="00072BC2">
        <w:rPr>
          <w:rFonts w:cs="Helvetica Neue"/>
          <w:sz w:val="28"/>
          <w:szCs w:val="28"/>
        </w:rPr>
        <w:t>nce Review Board shall be made up</w:t>
      </w:r>
      <w:r w:rsidR="00885BC3" w:rsidRPr="00072BC2">
        <w:rPr>
          <w:rFonts w:cs="Helvetica Neue"/>
          <w:sz w:val="28"/>
          <w:szCs w:val="28"/>
        </w:rPr>
        <w:t xml:space="preserve"> of at least one Board Member, t</w:t>
      </w:r>
      <w:r w:rsidR="00546F20" w:rsidRPr="00072BC2">
        <w:rPr>
          <w:rFonts w:cs="Helvetica Neue"/>
          <w:sz w:val="28"/>
          <w:szCs w:val="28"/>
        </w:rPr>
        <w:t>he School Director, and the student’</w:t>
      </w:r>
      <w:r w:rsidR="00885BC3" w:rsidRPr="00072BC2">
        <w:rPr>
          <w:rFonts w:cs="Helvetica Neue"/>
          <w:sz w:val="28"/>
          <w:szCs w:val="28"/>
        </w:rPr>
        <w:t>s t</w:t>
      </w:r>
      <w:r w:rsidR="00546F20" w:rsidRPr="00072BC2">
        <w:rPr>
          <w:rFonts w:cs="Helvetica Neue"/>
          <w:sz w:val="28"/>
          <w:szCs w:val="28"/>
        </w:rPr>
        <w:t xml:space="preserve">eacher. The School Attendance Review Board shall develop a plan for the student </w:t>
      </w:r>
      <w:r w:rsidR="00885BC3" w:rsidRPr="00072BC2">
        <w:rPr>
          <w:rFonts w:cs="Helvetica Neue"/>
          <w:sz w:val="28"/>
          <w:szCs w:val="28"/>
        </w:rPr>
        <w:t>with</w:t>
      </w:r>
      <w:r w:rsidR="00546F20" w:rsidRPr="00072BC2">
        <w:rPr>
          <w:rFonts w:cs="Helvetica Neue"/>
          <w:sz w:val="28"/>
          <w:szCs w:val="28"/>
        </w:rPr>
        <w:t xml:space="preserve"> the parent</w:t>
      </w:r>
      <w:r w:rsidR="00885BC3" w:rsidRPr="00072BC2">
        <w:rPr>
          <w:rFonts w:cs="Helvetica Neue"/>
          <w:sz w:val="28"/>
          <w:szCs w:val="28"/>
        </w:rPr>
        <w:t>’s cooperation</w:t>
      </w:r>
      <w:r w:rsidR="00546F20" w:rsidRPr="00072BC2">
        <w:rPr>
          <w:rFonts w:cs="Helvetica Neue"/>
          <w:sz w:val="28"/>
          <w:szCs w:val="28"/>
        </w:rPr>
        <w:t xml:space="preserve"> which may include a combination of these following actions:</w:t>
      </w:r>
    </w:p>
    <w:p w14:paraId="339032B4" w14:textId="77777777" w:rsidR="00546F20" w:rsidRPr="00072BC2" w:rsidRDefault="00546F20" w:rsidP="00523701">
      <w:pPr>
        <w:rPr>
          <w:rFonts w:cs="Helvetica Neue"/>
          <w:sz w:val="28"/>
          <w:szCs w:val="28"/>
        </w:rPr>
      </w:pPr>
    </w:p>
    <w:p w14:paraId="3DF5F4D7" w14:textId="77777777" w:rsidR="00546F20" w:rsidRPr="00072BC2" w:rsidRDefault="00546F20" w:rsidP="00546F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2BC2">
        <w:rPr>
          <w:sz w:val="28"/>
          <w:szCs w:val="28"/>
        </w:rPr>
        <w:t>Make-up</w:t>
      </w:r>
      <w:r w:rsidR="00885BC3" w:rsidRPr="00072BC2">
        <w:rPr>
          <w:sz w:val="28"/>
          <w:szCs w:val="28"/>
        </w:rPr>
        <w:t xml:space="preserve"> classes, including detention, Saturday S</w:t>
      </w:r>
      <w:r w:rsidRPr="00072BC2">
        <w:rPr>
          <w:sz w:val="28"/>
          <w:szCs w:val="28"/>
        </w:rPr>
        <w:t xml:space="preserve">chool, or after school study sessions. </w:t>
      </w:r>
    </w:p>
    <w:p w14:paraId="1FBEA098" w14:textId="77777777" w:rsidR="00885BC3" w:rsidRPr="00072BC2" w:rsidRDefault="00885BC3" w:rsidP="00546F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2BC2">
        <w:rPr>
          <w:sz w:val="28"/>
          <w:szCs w:val="28"/>
        </w:rPr>
        <w:t>Summer sessions</w:t>
      </w:r>
    </w:p>
    <w:p w14:paraId="6F239B71" w14:textId="77777777" w:rsidR="00885BC3" w:rsidRDefault="00072BC2" w:rsidP="00546F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Recommended Retention if a significant amount of the work is incomplete and it is determined the student cannot make it up. </w:t>
      </w:r>
    </w:p>
    <w:p w14:paraId="440F2F0B" w14:textId="77777777" w:rsidR="00072BC2" w:rsidRDefault="00072BC2" w:rsidP="00546F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Parents attending school with the student</w:t>
      </w:r>
    </w:p>
    <w:p w14:paraId="158C8F8B" w14:textId="77777777" w:rsidR="00072BC2" w:rsidRDefault="00072BC2" w:rsidP="00072BC2">
      <w:pPr>
        <w:pStyle w:val="ListParagraph"/>
        <w:rPr>
          <w:sz w:val="28"/>
          <w:szCs w:val="28"/>
        </w:rPr>
      </w:pPr>
    </w:p>
    <w:p w14:paraId="4C6B731B" w14:textId="77777777" w:rsidR="00072BC2" w:rsidRDefault="00072BC2" w:rsidP="00072BC2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A Student Attendance Review Board follow-up meeting should be set to determine if the student has corrected his/her behavior in regards to attendance. If not, then the Student Attendance Review Board will make a recommendation as to the next step, which may be:</w:t>
      </w:r>
    </w:p>
    <w:p w14:paraId="512BA1B5" w14:textId="77777777" w:rsidR="00072BC2" w:rsidRDefault="00072BC2" w:rsidP="00072BC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Recommend a plan to be implemented at school or</w:t>
      </w:r>
    </w:p>
    <w:p w14:paraId="11E780DC" w14:textId="77777777" w:rsidR="00072BC2" w:rsidRPr="00072BC2" w:rsidRDefault="00072BC2" w:rsidP="00072BC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Refer the matter </w:t>
      </w:r>
      <w:r w:rsidR="009928E0">
        <w:rPr>
          <w:sz w:val="28"/>
          <w:szCs w:val="28"/>
        </w:rPr>
        <w:t>to the County Office of Education, the County Probation Officer or the District Att</w:t>
      </w:r>
      <w:bookmarkStart w:id="0" w:name="_GoBack"/>
      <w:bookmarkEnd w:id="0"/>
      <w:r w:rsidR="009928E0">
        <w:rPr>
          <w:sz w:val="28"/>
          <w:szCs w:val="28"/>
        </w:rPr>
        <w:t>orney.</w:t>
      </w:r>
    </w:p>
    <w:sectPr w:rsidR="00072BC2" w:rsidRPr="00072BC2" w:rsidSect="001813D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3A79E" w14:textId="77777777" w:rsidR="00892629" w:rsidRDefault="00892629" w:rsidP="009928E0">
      <w:r>
        <w:separator/>
      </w:r>
    </w:p>
  </w:endnote>
  <w:endnote w:type="continuationSeparator" w:id="0">
    <w:p w14:paraId="7B30FB73" w14:textId="77777777" w:rsidR="00892629" w:rsidRDefault="00892629" w:rsidP="0099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792A2" w14:textId="77777777" w:rsidR="009928E0" w:rsidRDefault="009928E0">
    <w:pPr>
      <w:pStyle w:val="Footer"/>
    </w:pPr>
  </w:p>
  <w:p w14:paraId="46110A2C" w14:textId="77777777" w:rsidR="009928E0" w:rsidRDefault="009928E0" w:rsidP="009928E0">
    <w:pPr>
      <w:pStyle w:val="Footer"/>
      <w:jc w:val="center"/>
    </w:pPr>
    <w:r>
      <w:t>Roger Coy, School Director</w:t>
    </w:r>
  </w:p>
  <w:p w14:paraId="16C0121A" w14:textId="77777777" w:rsidR="009928E0" w:rsidRDefault="009928E0" w:rsidP="009928E0">
    <w:pPr>
      <w:pStyle w:val="Footer"/>
      <w:jc w:val="center"/>
    </w:pPr>
    <w:r>
      <w:t>Amendment to Policy 5.01</w:t>
    </w:r>
  </w:p>
  <w:p w14:paraId="61833A4C" w14:textId="77777777" w:rsidR="009928E0" w:rsidRDefault="009928E0" w:rsidP="009928E0">
    <w:pPr>
      <w:pStyle w:val="Footer"/>
      <w:jc w:val="center"/>
    </w:pPr>
    <w:r>
      <w:t>Revised: 7//19/16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79637" w14:textId="77777777" w:rsidR="00892629" w:rsidRDefault="00892629" w:rsidP="009928E0">
      <w:r>
        <w:separator/>
      </w:r>
    </w:p>
  </w:footnote>
  <w:footnote w:type="continuationSeparator" w:id="0">
    <w:p w14:paraId="0507B47A" w14:textId="77777777" w:rsidR="00892629" w:rsidRDefault="00892629" w:rsidP="00992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F793B"/>
    <w:multiLevelType w:val="hybridMultilevel"/>
    <w:tmpl w:val="B78C2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A580D"/>
    <w:multiLevelType w:val="hybridMultilevel"/>
    <w:tmpl w:val="74460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B5216"/>
    <w:multiLevelType w:val="hybridMultilevel"/>
    <w:tmpl w:val="CCBE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01"/>
    <w:rsid w:val="00013A02"/>
    <w:rsid w:val="00072BC2"/>
    <w:rsid w:val="001813D4"/>
    <w:rsid w:val="00523701"/>
    <w:rsid w:val="00546F20"/>
    <w:rsid w:val="00885BC3"/>
    <w:rsid w:val="00892629"/>
    <w:rsid w:val="0091463B"/>
    <w:rsid w:val="0099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F757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F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8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8E0"/>
  </w:style>
  <w:style w:type="paragraph" w:styleId="Footer">
    <w:name w:val="footer"/>
    <w:basedOn w:val="Normal"/>
    <w:link w:val="FooterChar"/>
    <w:uiPriority w:val="99"/>
    <w:unhideWhenUsed/>
    <w:rsid w:val="009928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484</Words>
  <Characters>2761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Coy</dc:creator>
  <cp:keywords/>
  <dc:description/>
  <cp:lastModifiedBy>Roger Coy</cp:lastModifiedBy>
  <cp:revision>1</cp:revision>
  <dcterms:created xsi:type="dcterms:W3CDTF">2016-06-21T20:42:00Z</dcterms:created>
  <dcterms:modified xsi:type="dcterms:W3CDTF">2016-06-21T21:34:00Z</dcterms:modified>
</cp:coreProperties>
</file>