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</w:rPr>
        <w:drawing>
          <wp:inline distB="114300" distT="114300" distL="114300" distR="114300">
            <wp:extent cx="3429000" cy="476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BESE Bulletin 126 Revision - Cash Management and Investments</w:t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Resource Links</w:t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sz w:val="20"/>
          <w:szCs w:val="20"/>
        </w:rPr>
      </w:pPr>
      <w:hyperlink r:id="rId7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BESE Bulletin 126 - Cash Management and Investments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SECTION A</w:t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  <w:sz w:val="20"/>
          <w:szCs w:val="20"/>
        </w:rPr>
      </w:pPr>
      <w:hyperlink r:id="rId8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Sample Organization Policy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SECTION B</w:t>
      </w:r>
    </w:p>
    <w:p w:rsidR="00000000" w:rsidDel="00000000" w:rsidP="00000000" w:rsidRDefault="00000000" w:rsidRPr="00000000" w14:paraId="0000000C">
      <w:pPr>
        <w:rPr>
          <w:rFonts w:ascii="Nunito" w:cs="Nunito" w:eastAsia="Nunito" w:hAnsi="Nunito"/>
          <w:sz w:val="20"/>
          <w:szCs w:val="20"/>
        </w:rPr>
      </w:pPr>
      <w:hyperlink r:id="rId9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R.S. 39:2955 - Investments by Local Political Subdivisions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sz w:val="20"/>
          <w:szCs w:val="20"/>
        </w:rPr>
      </w:pPr>
      <w:hyperlink r:id="rId10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R.S. 39:1211 - Banking Law for Political Subdivisions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SECTION D</w:t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sz w:val="20"/>
          <w:szCs w:val="20"/>
        </w:rPr>
      </w:pPr>
      <w:hyperlink r:id="rId11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Federal Financial Institutions Examination Council's (FFEIC) Uniform Bank Performance Review (UBPR)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SECTION E</w:t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sz w:val="20"/>
          <w:szCs w:val="20"/>
        </w:rPr>
      </w:pPr>
      <w:hyperlink r:id="rId12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Information on Collateralization of Deposits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sz w:val="20"/>
          <w:szCs w:val="20"/>
        </w:rPr>
      </w:pPr>
      <w:hyperlink r:id="rId13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Information on CD Laddering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sz w:val="20"/>
          <w:szCs w:val="20"/>
        </w:rPr>
      </w:pPr>
      <w:hyperlink r:id="rId14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Information on Louisiana Asset Management Program (LAMP)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sz w:val="20"/>
          <w:szCs w:val="20"/>
        </w:rPr>
      </w:pPr>
      <w:hyperlink r:id="rId15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Information of Certificate of Deposit Account Registry Service (CDARS) - FAQ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sz w:val="20"/>
          <w:szCs w:val="20"/>
        </w:rPr>
      </w:pPr>
      <w:hyperlink r:id="rId16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Information on Insured Cash Sweep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fiec.gov/ubpr.htm" TargetMode="External"/><Relationship Id="rId10" Type="http://schemas.openxmlformats.org/officeDocument/2006/relationships/hyperlink" Target="https://app.lla.state.la.us/llala.nsf/4420d4596b4cce8086257ab50074dc9a/$file/banking%20law%20faq.pdf" TargetMode="External"/><Relationship Id="rId13" Type="http://schemas.openxmlformats.org/officeDocument/2006/relationships/hyperlink" Target="https://www.nerdwallet.com/article/banking/what-is-a-cd-ladder" TargetMode="External"/><Relationship Id="rId12" Type="http://schemas.openxmlformats.org/officeDocument/2006/relationships/hyperlink" Target="https://www.gfoa.org/materials/collateralizing-public-deposi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lla.state.la.us/llala.nsf/A97C7AD2DC3FC98686257AB800681D19/$FILE/Investments%20FAQ.pdf" TargetMode="External"/><Relationship Id="rId15" Type="http://schemas.openxmlformats.org/officeDocument/2006/relationships/hyperlink" Target="https://www.bcbonline.com/home/fiFiles/static/documents/CDARS_FAQs.pdf" TargetMode="External"/><Relationship Id="rId14" Type="http://schemas.openxmlformats.org/officeDocument/2006/relationships/hyperlink" Target="https://www.lamppool.com/" TargetMode="External"/><Relationship Id="rId16" Type="http://schemas.openxmlformats.org/officeDocument/2006/relationships/hyperlink" Target="https://en.wikipedia.org/wiki/Insured_Cash_Sweep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go.boarddocs.com/la/bese/Board.nsf/files/C3N8BQ6A2DF7/$file/SIT_B126_Cash%20Management_June%202021.pdf" TargetMode="External"/><Relationship Id="rId8" Type="http://schemas.openxmlformats.org/officeDocument/2006/relationships/hyperlink" Target="https://docs.google.com/document/d/1cEKV612M7hV7U9W9ulyHxIoJqmMYzTbp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