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A04D" w14:textId="77777777" w:rsidR="00A91488" w:rsidRDefault="006041A7">
      <w:pPr>
        <w:pStyle w:val="BodyText"/>
        <w:ind w:left="3959"/>
        <w:rPr>
          <w:sz w:val="20"/>
        </w:rPr>
      </w:pPr>
      <w:r>
        <w:rPr>
          <w:noProof/>
          <w:sz w:val="20"/>
        </w:rPr>
        <w:drawing>
          <wp:inline distT="0" distB="0" distL="0" distR="0" wp14:anchorId="291377EE" wp14:editId="6AECA79F">
            <wp:extent cx="1209522" cy="10995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522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53EF" w14:textId="77777777" w:rsidR="00A91488" w:rsidRDefault="00A91488">
      <w:pPr>
        <w:pStyle w:val="BodyText"/>
        <w:spacing w:before="3"/>
        <w:rPr>
          <w:sz w:val="17"/>
        </w:rPr>
      </w:pPr>
    </w:p>
    <w:p w14:paraId="075DC6E1" w14:textId="77777777" w:rsidR="00A91488" w:rsidRDefault="006041A7" w:rsidP="006041A7">
      <w:pPr>
        <w:spacing w:before="83"/>
        <w:rPr>
          <w:sz w:val="40"/>
        </w:rPr>
      </w:pPr>
      <w:r>
        <w:rPr>
          <w:sz w:val="40"/>
        </w:rPr>
        <w:t xml:space="preserve">    AIMS Finance Committee Meeting Item Cover Letter</w:t>
      </w:r>
    </w:p>
    <w:p w14:paraId="33A34B0E" w14:textId="77777777" w:rsidR="00A91488" w:rsidRDefault="00A91488">
      <w:pPr>
        <w:pStyle w:val="BodyText"/>
      </w:pPr>
    </w:p>
    <w:p w14:paraId="1A831D19" w14:textId="0286E96F" w:rsidR="00A91488" w:rsidRPr="006B41FD" w:rsidRDefault="005B1558" w:rsidP="006B41FD">
      <w:pPr>
        <w:tabs>
          <w:tab w:val="left" w:pos="1721"/>
        </w:tabs>
        <w:spacing w:before="87"/>
        <w:ind w:left="278"/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3E76784" wp14:editId="2F7AE408">
                <wp:simplePos x="0" y="0"/>
                <wp:positionH relativeFrom="page">
                  <wp:posOffset>1606550</wp:posOffset>
                </wp:positionH>
                <wp:positionV relativeFrom="paragraph">
                  <wp:posOffset>27940</wp:posOffset>
                </wp:positionV>
                <wp:extent cx="1762125" cy="1714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714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F00F" id="Rectangle 3" o:spid="_x0000_s1026" style="position:absolute;margin-left:126.5pt;margin-top:2.2pt;width:138.75pt;height:13.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" fillcolor="#fcfcfc" stroked="f">
                <v:path arrowok="t"/>
                <w10:wrap anchorx="page"/>
              </v:rect>
            </w:pict>
          </mc:Fallback>
        </mc:AlternateContent>
      </w:r>
      <w:r w:rsidR="006041A7">
        <w:rPr>
          <w:sz w:val="32"/>
        </w:rPr>
        <w:t>Item:</w:t>
      </w:r>
      <w:r w:rsidR="006B41FD">
        <w:rPr>
          <w:sz w:val="32"/>
        </w:rPr>
        <w:tab/>
      </w:r>
      <w:r w:rsidR="009E1F9C">
        <w:rPr>
          <w:b/>
          <w:bCs/>
          <w:iCs/>
          <w:sz w:val="28"/>
          <w:szCs w:val="28"/>
        </w:rPr>
        <w:t>E-RATE/CTF Consultant Agreement HWC</w:t>
      </w:r>
      <w:r w:rsidRPr="005B1558">
        <w:rPr>
          <w:b/>
          <w:bCs/>
          <w:iCs/>
          <w:sz w:val="28"/>
          <w:szCs w:val="28"/>
        </w:rPr>
        <w:t xml:space="preserve"> </w:t>
      </w:r>
    </w:p>
    <w:p w14:paraId="330006B9" w14:textId="77777777" w:rsidR="00A91488" w:rsidRDefault="00A91488">
      <w:pPr>
        <w:pStyle w:val="BodyText"/>
        <w:spacing w:before="3"/>
        <w:rPr>
          <w:sz w:val="45"/>
        </w:rPr>
      </w:pPr>
    </w:p>
    <w:p w14:paraId="230EBB5B" w14:textId="0067C3B6" w:rsidR="00A91488" w:rsidRPr="006B41FD" w:rsidRDefault="006041A7">
      <w:pPr>
        <w:pStyle w:val="BodyText"/>
        <w:tabs>
          <w:tab w:val="left" w:pos="5364"/>
        </w:tabs>
        <w:ind w:left="278"/>
        <w:rPr>
          <w:i/>
        </w:rPr>
      </w:pPr>
      <w:r>
        <w:t>Presented</w:t>
      </w:r>
      <w:r>
        <w:rPr>
          <w:spacing w:val="-9"/>
        </w:rPr>
        <w:t xml:space="preserve"> </w:t>
      </w:r>
      <w:r>
        <w:t>B</w:t>
      </w:r>
      <w:r>
        <w:rPr>
          <w:shd w:val="clear" w:color="auto" w:fill="FCFCFC"/>
        </w:rPr>
        <w:t>y:</w:t>
      </w:r>
      <w:r w:rsidR="006B41FD">
        <w:rPr>
          <w:shd w:val="clear" w:color="auto" w:fill="FCFCFC"/>
        </w:rPr>
        <w:t xml:space="preserve"> </w:t>
      </w:r>
      <w:r w:rsidR="005B1558">
        <w:rPr>
          <w:shd w:val="clear" w:color="auto" w:fill="FCFCFC"/>
        </w:rPr>
        <w:t xml:space="preserve"> </w:t>
      </w:r>
      <w:r w:rsidR="005B1558">
        <w:rPr>
          <w:i/>
          <w:shd w:val="clear" w:color="auto" w:fill="FCFCFC"/>
        </w:rPr>
        <w:t>Tiffany Tung, Data, Accountability Operations Manager</w:t>
      </w:r>
      <w:r w:rsidRPr="006B41FD">
        <w:rPr>
          <w:i/>
          <w:shd w:val="clear" w:color="auto" w:fill="FCFCFC"/>
        </w:rPr>
        <w:tab/>
      </w:r>
    </w:p>
    <w:p w14:paraId="073644DD" w14:textId="77777777" w:rsidR="00A91488" w:rsidRPr="006B41FD" w:rsidRDefault="005B1558">
      <w:pPr>
        <w:pStyle w:val="BodyText"/>
        <w:spacing w:before="1"/>
        <w:rPr>
          <w:i/>
          <w:sz w:val="18"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8ADFC6" wp14:editId="22B772BE">
                <wp:simplePos x="0" y="0"/>
                <wp:positionH relativeFrom="page">
                  <wp:posOffset>2524125</wp:posOffset>
                </wp:positionH>
                <wp:positionV relativeFrom="paragraph">
                  <wp:posOffset>156845</wp:posOffset>
                </wp:positionV>
                <wp:extent cx="542925" cy="1714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714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6183B" id="Rectangle 2" o:spid="_x0000_s1026" style="position:absolute;margin-left:198.75pt;margin-top:12.35pt;width:42.75pt;height:1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" fillcolor="#fcfcfc" stroked="f">
                <v:path arrowok="t"/>
                <w10:wrap type="topAndBottom" anchorx="page"/>
              </v:rect>
            </w:pict>
          </mc:Fallback>
        </mc:AlternateContent>
      </w:r>
    </w:p>
    <w:p w14:paraId="47FC8B9B" w14:textId="0FF91508" w:rsidR="006B41FD" w:rsidRDefault="006041A7" w:rsidP="005B1558">
      <w:pPr>
        <w:pStyle w:val="BodyText"/>
        <w:spacing w:before="196"/>
      </w:pPr>
      <w:r>
        <w:t>Staff Recommenda</w:t>
      </w:r>
      <w:r>
        <w:rPr>
          <w:shd w:val="clear" w:color="auto" w:fill="FCFCFC"/>
        </w:rPr>
        <w:t>tio</w:t>
      </w:r>
      <w:r>
        <w:t>n:</w:t>
      </w:r>
      <w:r w:rsidR="006B41FD">
        <w:t xml:space="preserve"> </w:t>
      </w:r>
    </w:p>
    <w:p w14:paraId="198BBD1A" w14:textId="6E8D7007" w:rsidR="009E1F9C" w:rsidRDefault="009E1F9C" w:rsidP="005B1558">
      <w:pPr>
        <w:rPr>
          <w:sz w:val="28"/>
          <w:szCs w:val="28"/>
        </w:rPr>
      </w:pPr>
      <w:r>
        <w:rPr>
          <w:sz w:val="28"/>
          <w:szCs w:val="28"/>
        </w:rPr>
        <w:t xml:space="preserve">Consultant has already been approved in previous board meeting to complete E-Rate application. </w:t>
      </w:r>
    </w:p>
    <w:p w14:paraId="4931121A" w14:textId="77777777" w:rsidR="009E1F9C" w:rsidRDefault="009E1F9C" w:rsidP="005B1558">
      <w:pPr>
        <w:rPr>
          <w:sz w:val="28"/>
          <w:szCs w:val="28"/>
        </w:rPr>
      </w:pPr>
    </w:p>
    <w:p w14:paraId="7EF7A2D2" w14:textId="02772DEE" w:rsidR="005B1558" w:rsidRPr="005B1558" w:rsidRDefault="005B1558" w:rsidP="005B1558">
      <w:pPr>
        <w:rPr>
          <w:sz w:val="28"/>
          <w:szCs w:val="28"/>
        </w:rPr>
      </w:pPr>
      <w:r w:rsidRPr="005B1558">
        <w:rPr>
          <w:sz w:val="28"/>
          <w:szCs w:val="28"/>
        </w:rPr>
        <w:t xml:space="preserve">Staff recommends to accept </w:t>
      </w:r>
      <w:r w:rsidR="009E1F9C">
        <w:rPr>
          <w:sz w:val="28"/>
          <w:szCs w:val="28"/>
        </w:rPr>
        <w:t xml:space="preserve">consultant fee. Consultant will support with the E-Rate and California Tele connect Application (CTF). Additionally, consultant will ensure grantee AIMS completed deadlines for future applications for the duration of the 5-year grant opportunity. Consultant will ensure that all necessary paperwork is filled timely for reimbursement. </w:t>
      </w:r>
    </w:p>
    <w:p w14:paraId="663096D4" w14:textId="1171AC6D" w:rsidR="00A91488" w:rsidRDefault="00A91488" w:rsidP="005B1558">
      <w:pPr>
        <w:pStyle w:val="BodyText"/>
        <w:rPr>
          <w:sz w:val="24"/>
          <w:szCs w:val="24"/>
        </w:rPr>
      </w:pPr>
    </w:p>
    <w:p w14:paraId="52E37E56" w14:textId="77777777" w:rsidR="009E1F9C" w:rsidRPr="006B41FD" w:rsidRDefault="009E1F9C" w:rsidP="005B1558">
      <w:pPr>
        <w:pStyle w:val="BodyText"/>
        <w:rPr>
          <w:sz w:val="24"/>
          <w:szCs w:val="24"/>
        </w:rPr>
      </w:pPr>
    </w:p>
    <w:p w14:paraId="7117210C" w14:textId="77777777" w:rsidR="00A91488" w:rsidRDefault="00A91488">
      <w:pPr>
        <w:pStyle w:val="BodyText"/>
        <w:rPr>
          <w:sz w:val="20"/>
        </w:rPr>
      </w:pPr>
    </w:p>
    <w:p w14:paraId="5F642EF9" w14:textId="77777777" w:rsidR="00A91488" w:rsidRDefault="00A91488">
      <w:pPr>
        <w:sectPr w:rsidR="00A91488">
          <w:type w:val="continuous"/>
          <w:pgSz w:w="12240" w:h="15840"/>
          <w:pgMar w:top="220" w:right="1720" w:bottom="280" w:left="1340" w:header="720" w:footer="720" w:gutter="0"/>
          <w:cols w:space="720"/>
        </w:sectPr>
      </w:pPr>
    </w:p>
    <w:p w14:paraId="1DC3C2EB" w14:textId="5D1A3DEB" w:rsidR="00A91488" w:rsidRPr="005B1558" w:rsidRDefault="006041A7" w:rsidP="009E1F9C">
      <w:pPr>
        <w:pStyle w:val="BodyText"/>
        <w:spacing w:before="88"/>
        <w:ind w:left="101"/>
        <w:rPr>
          <w:rFonts w:ascii="Arial"/>
          <w:i/>
          <w:sz w:val="24"/>
        </w:rPr>
        <w:sectPr w:rsidR="00A91488" w:rsidRPr="005B1558">
          <w:type w:val="continuous"/>
          <w:pgSz w:w="12240" w:h="15840"/>
          <w:pgMar w:top="220" w:right="1720" w:bottom="280" w:left="1340" w:header="720" w:footer="720" w:gutter="0"/>
          <w:cols w:num="2" w:space="720" w:equalWidth="0">
            <w:col w:w="2591" w:space="762"/>
            <w:col w:w="5827"/>
          </w:cols>
        </w:sectPr>
      </w:pPr>
      <w:r>
        <w:t>Committee Approval:</w:t>
      </w:r>
      <w:r w:rsidR="009E1F9C">
        <w:t xml:space="preserve">  E-rate and </w:t>
      </w:r>
      <w:proofErr w:type="gramStart"/>
      <w:r w:rsidR="009E1F9C">
        <w:t>consultant  approved</w:t>
      </w:r>
      <w:proofErr w:type="gramEnd"/>
      <w:r w:rsidR="009E1F9C">
        <w:t xml:space="preserve"> in previous board meeting. </w:t>
      </w:r>
      <w:r>
        <w:br w:type="column"/>
      </w:r>
    </w:p>
    <w:p w14:paraId="7A198104" w14:textId="77777777" w:rsidR="00A91488" w:rsidRDefault="00A91488">
      <w:pPr>
        <w:pStyle w:val="BodyText"/>
        <w:spacing w:before="3"/>
        <w:rPr>
          <w:rFonts w:ascii="Arial"/>
        </w:rPr>
      </w:pPr>
    </w:p>
    <w:p w14:paraId="748782B5" w14:textId="77777777" w:rsidR="009E1F9C" w:rsidRDefault="006041A7" w:rsidP="009E1F9C">
      <w:pPr>
        <w:pStyle w:val="BodyText"/>
        <w:spacing w:before="88"/>
        <w:ind w:left="100"/>
      </w:pPr>
      <w:r>
        <w:t>Total Associated Cost:</w:t>
      </w:r>
      <w:r w:rsidR="006B41FD">
        <w:t xml:space="preserve"> </w:t>
      </w:r>
    </w:p>
    <w:p w14:paraId="75089A63" w14:textId="77777777" w:rsidR="009E1F9C" w:rsidRDefault="009E1F9C" w:rsidP="009E1F9C">
      <w:pPr>
        <w:pStyle w:val="BodyText"/>
        <w:spacing w:before="88"/>
        <w:ind w:left="100"/>
      </w:pPr>
    </w:p>
    <w:p w14:paraId="0D567EBF" w14:textId="6617B043" w:rsidR="009E1F9C" w:rsidRDefault="006B41FD" w:rsidP="009E1F9C">
      <w:pPr>
        <w:pStyle w:val="BodyText"/>
        <w:spacing w:before="88"/>
      </w:pPr>
      <w:r>
        <w:t xml:space="preserve"> </w:t>
      </w:r>
      <w:r w:rsidR="009E1F9C">
        <w:t xml:space="preserve">Category 1: $3,545.80  </w:t>
      </w:r>
    </w:p>
    <w:p w14:paraId="3F7779E1" w14:textId="6BBBA817" w:rsidR="00A91488" w:rsidRDefault="009E1F9C" w:rsidP="009E1F9C">
      <w:pPr>
        <w:pStyle w:val="BodyText"/>
        <w:spacing w:before="88"/>
        <w:ind w:left="100"/>
      </w:pPr>
      <w:r>
        <w:t>Category 2: Over five years $17,729.00</w:t>
      </w:r>
    </w:p>
    <w:p w14:paraId="149A6E9E" w14:textId="77777777" w:rsidR="009E1F9C" w:rsidRDefault="009E1F9C" w:rsidP="009E1F9C">
      <w:pPr>
        <w:pStyle w:val="BodyText"/>
        <w:rPr>
          <w:sz w:val="24"/>
          <w:szCs w:val="24"/>
        </w:rPr>
      </w:pPr>
    </w:p>
    <w:p w14:paraId="3FA8B8A2" w14:textId="7A89D417" w:rsidR="009E1F9C" w:rsidRPr="009E1F9C" w:rsidRDefault="009E1F9C" w:rsidP="009E1F9C">
      <w:pPr>
        <w:pStyle w:val="BodyText"/>
      </w:pPr>
      <w:r w:rsidRPr="009E1F9C">
        <w:t xml:space="preserve">Category 1 Estimate: $28,171 20% = $5,623.00 leaves school w/ $22,494. Every year that AIMS applies. Adjust if internet expenses adjust or change. </w:t>
      </w:r>
    </w:p>
    <w:p w14:paraId="46BFF22C" w14:textId="77777777" w:rsidR="009E1F9C" w:rsidRPr="009E1F9C" w:rsidRDefault="009E1F9C" w:rsidP="009E1F9C">
      <w:pPr>
        <w:pStyle w:val="BodyText"/>
      </w:pPr>
    </w:p>
    <w:p w14:paraId="4CBA5B39" w14:textId="77777777" w:rsidR="009E1F9C" w:rsidRPr="009E1F9C" w:rsidRDefault="009E1F9C" w:rsidP="009E1F9C">
      <w:pPr>
        <w:pStyle w:val="BodyText"/>
      </w:pPr>
      <w:r w:rsidRPr="009E1F9C">
        <w:t xml:space="preserve">Category 2 Estimate: 5- year period of reimbursement takes total student population 1327 students x 167= $221,609 over five years, reimbursed 80% 177,287.00 fee 10% what is reimbursed: $17,729.00 over years. </w:t>
      </w:r>
    </w:p>
    <w:p w14:paraId="244A805C" w14:textId="77777777" w:rsidR="009E1F9C" w:rsidRPr="009E1F9C" w:rsidRDefault="009E1F9C" w:rsidP="009E1F9C">
      <w:pPr>
        <w:pStyle w:val="BodyText"/>
      </w:pPr>
    </w:p>
    <w:p w14:paraId="592B1D6A" w14:textId="77777777" w:rsidR="009E1F9C" w:rsidRPr="009E1F9C" w:rsidRDefault="009E1F9C" w:rsidP="009E1F9C">
      <w:pPr>
        <w:pStyle w:val="BodyText"/>
      </w:pPr>
    </w:p>
    <w:p w14:paraId="66145D19" w14:textId="77777777" w:rsidR="009E1F9C" w:rsidRPr="009E1F9C" w:rsidRDefault="009E1F9C" w:rsidP="009E1F9C">
      <w:pPr>
        <w:pStyle w:val="BodyText"/>
      </w:pPr>
      <w:r w:rsidRPr="009E1F9C">
        <w:t>Category 1: can be used for WI-FI and internet expenses</w:t>
      </w:r>
    </w:p>
    <w:p w14:paraId="36447002" w14:textId="77777777" w:rsidR="009E1F9C" w:rsidRPr="009E1F9C" w:rsidRDefault="009E1F9C" w:rsidP="009E1F9C">
      <w:pPr>
        <w:pStyle w:val="BodyText"/>
      </w:pPr>
      <w:r w:rsidRPr="009E1F9C">
        <w:t xml:space="preserve">Category 2: WI-FI equipment, wireless access points, cabling of WI-FI network, </w:t>
      </w:r>
      <w:r w:rsidRPr="009E1F9C">
        <w:lastRenderedPageBreak/>
        <w:t xml:space="preserve">managed services for IT support (Clive IT Support expenses). </w:t>
      </w:r>
    </w:p>
    <w:p w14:paraId="3F872BD1" w14:textId="77777777" w:rsidR="009E1F9C" w:rsidRPr="009E1F9C" w:rsidRDefault="009E1F9C" w:rsidP="009E1F9C">
      <w:pPr>
        <w:pStyle w:val="BodyText"/>
        <w:spacing w:before="88"/>
        <w:ind w:left="100"/>
      </w:pPr>
    </w:p>
    <w:p w14:paraId="658B774A" w14:textId="77777777" w:rsidR="00A91488" w:rsidRDefault="00A91488">
      <w:pPr>
        <w:pStyle w:val="BodyText"/>
        <w:spacing w:before="6"/>
        <w:rPr>
          <w:sz w:val="40"/>
        </w:rPr>
      </w:pPr>
    </w:p>
    <w:p w14:paraId="326C47D2" w14:textId="37E6CCB6" w:rsidR="00A91488" w:rsidRDefault="006041A7">
      <w:pPr>
        <w:pStyle w:val="BodyText"/>
        <w:ind w:left="100"/>
      </w:pPr>
      <w:r>
        <w:t>Included in Budget?</w:t>
      </w:r>
      <w:r w:rsidR="006B41FD">
        <w:t xml:space="preserve">          </w:t>
      </w:r>
      <w:r w:rsidR="009E1F9C" w:rsidRPr="009E1F9C">
        <w:rPr>
          <w:i/>
          <w:iCs/>
        </w:rPr>
        <w:t>State</w:t>
      </w:r>
      <w:r w:rsidR="006B41FD">
        <w:t xml:space="preserve"> </w:t>
      </w:r>
      <w:r w:rsidR="009E1F9C">
        <w:rPr>
          <w:i/>
        </w:rPr>
        <w:t>Reimbursement</w:t>
      </w:r>
    </w:p>
    <w:p w14:paraId="7F0C1961" w14:textId="77777777" w:rsidR="00A91488" w:rsidRDefault="00A91488">
      <w:pPr>
        <w:pStyle w:val="BodyText"/>
        <w:spacing w:before="10"/>
        <w:rPr>
          <w:sz w:val="33"/>
        </w:rPr>
      </w:pPr>
    </w:p>
    <w:p w14:paraId="0E369321" w14:textId="576DBC0B" w:rsidR="00A91488" w:rsidRDefault="006041A7">
      <w:pPr>
        <w:pStyle w:val="BodyText"/>
        <w:ind w:left="100"/>
      </w:pPr>
      <w:r>
        <w:t>Source:</w:t>
      </w:r>
      <w:r w:rsidR="006B41FD">
        <w:t xml:space="preserve">               </w:t>
      </w:r>
      <w:r w:rsidR="009E1F9C" w:rsidRPr="009E1F9C">
        <w:rPr>
          <w:i/>
          <w:iCs/>
        </w:rPr>
        <w:t>State</w:t>
      </w:r>
      <w:r w:rsidR="006B41FD">
        <w:t xml:space="preserve"> </w:t>
      </w:r>
      <w:r w:rsidR="009E1F9C">
        <w:rPr>
          <w:i/>
        </w:rPr>
        <w:t>Reimbursement</w:t>
      </w:r>
    </w:p>
    <w:p w14:paraId="5EB71A40" w14:textId="77777777" w:rsidR="00A91488" w:rsidRDefault="00A91488">
      <w:pPr>
        <w:pStyle w:val="BodyText"/>
        <w:rPr>
          <w:sz w:val="20"/>
        </w:rPr>
      </w:pPr>
    </w:p>
    <w:p w14:paraId="3176EB1C" w14:textId="77777777" w:rsidR="00A91488" w:rsidRDefault="00A91488">
      <w:pPr>
        <w:pStyle w:val="BodyText"/>
        <w:spacing w:before="2"/>
        <w:rPr>
          <w:sz w:val="22"/>
        </w:rPr>
      </w:pPr>
    </w:p>
    <w:p w14:paraId="3A264D31" w14:textId="77777777" w:rsidR="00A91488" w:rsidRDefault="006041A7">
      <w:pPr>
        <w:pStyle w:val="BodyText"/>
        <w:tabs>
          <w:tab w:val="left" w:pos="4430"/>
        </w:tabs>
        <w:spacing w:before="92"/>
        <w:ind w:left="608"/>
      </w:pPr>
      <w:r>
        <w:t>Over/Under</w:t>
      </w:r>
      <w:r>
        <w:rPr>
          <w:spacing w:val="-4"/>
        </w:rPr>
        <w:t xml:space="preserve"> </w:t>
      </w:r>
      <w:r>
        <w:t>Budget?</w:t>
      </w:r>
      <w:r>
        <w:tab/>
      </w:r>
      <w:r>
        <w:rPr>
          <w:position w:val="1"/>
        </w:rPr>
        <w:t>Amount Over/Under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Budget?</w:t>
      </w:r>
    </w:p>
    <w:p w14:paraId="4FC428BF" w14:textId="1C4E6EE6" w:rsidR="00A91488" w:rsidRPr="005B1558" w:rsidRDefault="005B1558">
      <w:pPr>
        <w:pStyle w:val="BodyText"/>
      </w:pPr>
      <w:r>
        <w:t xml:space="preserve">     </w:t>
      </w:r>
      <w:r w:rsidRPr="005B1558">
        <w:t>N/A</w:t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  <w:t>N/A</w:t>
      </w:r>
    </w:p>
    <w:p w14:paraId="335BF9F5" w14:textId="77777777" w:rsidR="00A91488" w:rsidRDefault="00A91488">
      <w:pPr>
        <w:pStyle w:val="BodyText"/>
        <w:spacing w:before="1"/>
        <w:rPr>
          <w:sz w:val="16"/>
        </w:rPr>
      </w:pPr>
    </w:p>
    <w:p w14:paraId="32D22E11" w14:textId="27932EFB" w:rsidR="006B41FD" w:rsidRDefault="006041A7" w:rsidP="005B1558">
      <w:pPr>
        <w:pStyle w:val="BodyText"/>
        <w:spacing w:before="89" w:line="643" w:lineRule="auto"/>
        <w:ind w:left="841" w:right="6143" w:hanging="2"/>
      </w:pPr>
      <w:r>
        <w:t>Included in LCAP?</w:t>
      </w:r>
    </w:p>
    <w:p w14:paraId="547E0B01" w14:textId="78BD8A38" w:rsidR="005B1558" w:rsidRPr="005B1558" w:rsidRDefault="005B1558" w:rsidP="005B1558">
      <w:pPr>
        <w:pStyle w:val="BodyText"/>
        <w:spacing w:before="89" w:line="643" w:lineRule="auto"/>
        <w:ind w:left="841" w:right="6143" w:hanging="2"/>
      </w:pPr>
      <w:r w:rsidRPr="005B1558">
        <w:t>No</w:t>
      </w:r>
    </w:p>
    <w:p w14:paraId="443E0A42" w14:textId="77777777" w:rsidR="00A91488" w:rsidRDefault="006041A7">
      <w:pPr>
        <w:pStyle w:val="BodyText"/>
        <w:spacing w:before="89" w:line="643" w:lineRule="auto"/>
        <w:ind w:left="841" w:right="6143" w:hanging="2"/>
      </w:pPr>
      <w:r>
        <w:t xml:space="preserve"> Which LCAP?</w:t>
      </w:r>
    </w:p>
    <w:p w14:paraId="1B1C55C7" w14:textId="5B0C9F89" w:rsidR="006B41FD" w:rsidRDefault="006B41FD" w:rsidP="006041A7">
      <w:pPr>
        <w:pStyle w:val="BodyText"/>
      </w:pPr>
      <w:r>
        <w:t xml:space="preserve">           </w:t>
      </w:r>
      <w:r w:rsidR="009E1F9C" w:rsidRPr="009E1F9C">
        <w:rPr>
          <w:i/>
          <w:iCs/>
        </w:rPr>
        <w:t xml:space="preserve">State </w:t>
      </w:r>
      <w:r w:rsidR="009E1F9C">
        <w:rPr>
          <w:i/>
        </w:rPr>
        <w:t>Reimbursement</w:t>
      </w:r>
    </w:p>
    <w:sectPr w:rsidR="006B41FD">
      <w:type w:val="continuous"/>
      <w:pgSz w:w="12240" w:h="15840"/>
      <w:pgMar w:top="2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12AB"/>
    <w:multiLevelType w:val="hybridMultilevel"/>
    <w:tmpl w:val="C2107A94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3E285569"/>
    <w:multiLevelType w:val="hybridMultilevel"/>
    <w:tmpl w:val="95F6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8"/>
    <w:rsid w:val="005B1558"/>
    <w:rsid w:val="006041A7"/>
    <w:rsid w:val="006B41FD"/>
    <w:rsid w:val="007A3F1A"/>
    <w:rsid w:val="009E1F9C"/>
    <w:rsid w:val="00A91488"/>
    <w:rsid w:val="00C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C4B2"/>
  <w15:docId w15:val="{BE676D8A-0271-4631-8366-C2B29C0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B41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2022-02-24T22:38:00Z</dcterms:created>
  <dcterms:modified xsi:type="dcterms:W3CDTF">2022-02-24T22:38:00Z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LastSaved">
    <vt:filetime>2020-11-16T00:00:00Z</vt:filetime>
  </property>
</Properties>
</file>