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977091" w:rsidRPr="00480A19" w:rsidRDefault="00977091" w:rsidP="00977091">
      <w:pPr>
        <w:pStyle w:val="NoSpacing"/>
        <w:jc w:val="center"/>
        <w:rPr>
          <w:b/>
          <w:sz w:val="32"/>
          <w:szCs w:val="32"/>
        </w:rPr>
      </w:pPr>
      <w:r w:rsidRPr="00480A19">
        <w:rPr>
          <w:b/>
          <w:sz w:val="32"/>
          <w:szCs w:val="32"/>
        </w:rPr>
        <w:t>American Indian Model Schools</w:t>
      </w:r>
    </w:p>
    <w:p w:rsidR="00977091" w:rsidRPr="001218A3" w:rsidRDefault="00977091" w:rsidP="00977091">
      <w:pPr>
        <w:pStyle w:val="NoSpacing"/>
        <w:pBdr>
          <w:bottom w:val="single" w:sz="4" w:space="1" w:color="auto"/>
        </w:pBdr>
        <w:jc w:val="center"/>
        <w:rPr>
          <w:sz w:val="32"/>
          <w:szCs w:val="32"/>
        </w:rPr>
      </w:pPr>
      <w:r>
        <w:rPr>
          <w:sz w:val="32"/>
          <w:szCs w:val="32"/>
        </w:rPr>
        <w:t>2021-2022 Adoption Budget Executive Summary</w:t>
      </w:r>
    </w:p>
    <w:p w:rsidR="00977091" w:rsidRDefault="00977091" w:rsidP="00977091">
      <w:pPr>
        <w:jc w:val="both"/>
        <w:rPr>
          <w:sz w:val="28"/>
          <w:szCs w:val="28"/>
        </w:rPr>
      </w:pPr>
    </w:p>
    <w:p w:rsidR="00977091" w:rsidRPr="00977091" w:rsidRDefault="00977091" w:rsidP="00977091">
      <w:pPr>
        <w:jc w:val="both"/>
        <w:rPr>
          <w:rFonts w:ascii="Times New Roman" w:hAnsi="Times New Roman" w:cs="Times New Roman"/>
          <w:sz w:val="24"/>
          <w:szCs w:val="24"/>
        </w:rPr>
      </w:pPr>
      <w:r w:rsidRPr="00977091">
        <w:rPr>
          <w:rFonts w:ascii="Times New Roman" w:hAnsi="Times New Roman" w:cs="Times New Roman"/>
          <w:sz w:val="24"/>
          <w:szCs w:val="24"/>
        </w:rPr>
        <w:t xml:space="preserve">American Indian Public Charter School was incorporated in the State of California in 1996 as a Nonprofit Public Benefit Corporation (501(c)(3)).  The American Indian Model Schools Charter District was formed in 2006 with the expansion of schools, adding American Indian Public High School and American Indian Public Charter II, (K-8).  The Charter is located in Oakland of Alameda County. </w:t>
      </w:r>
    </w:p>
    <w:p w:rsidR="00977091" w:rsidRPr="00977091" w:rsidRDefault="00977091" w:rsidP="00977091">
      <w:pPr>
        <w:jc w:val="both"/>
        <w:rPr>
          <w:rFonts w:ascii="Times New Roman" w:hAnsi="Times New Roman" w:cs="Times New Roman"/>
          <w:sz w:val="24"/>
          <w:szCs w:val="24"/>
        </w:rPr>
      </w:pPr>
      <w:r w:rsidRPr="00977091">
        <w:rPr>
          <w:rFonts w:ascii="Times New Roman" w:hAnsi="Times New Roman" w:cs="Times New Roman"/>
          <w:sz w:val="24"/>
          <w:szCs w:val="24"/>
        </w:rPr>
        <w:t xml:space="preserve"> American Indian Model Schools is a Charter District comprised of 3 schools. As of Second Interim, American Indian Model Schools currently enrolls 1,371 students among the schools; One K-8, One Middle School (6-8) and One High School.  AIMS currently employs 114 full and 6 part-time staff to serve our students. </w:t>
      </w:r>
    </w:p>
    <w:p w:rsidR="00977091" w:rsidRPr="00231984" w:rsidRDefault="00977091" w:rsidP="00977091">
      <w:pPr>
        <w:jc w:val="both"/>
        <w:rPr>
          <w:rFonts w:ascii="Times New Roman" w:hAnsi="Times New Roman" w:cs="Times New Roman"/>
          <w:b/>
          <w:sz w:val="28"/>
          <w:szCs w:val="28"/>
          <w:u w:val="single"/>
        </w:rPr>
      </w:pPr>
      <w:r w:rsidRPr="00231984">
        <w:rPr>
          <w:rFonts w:ascii="Times New Roman" w:hAnsi="Times New Roman" w:cs="Times New Roman"/>
          <w:b/>
          <w:sz w:val="28"/>
          <w:szCs w:val="28"/>
          <w:u w:val="single"/>
        </w:rPr>
        <w:t xml:space="preserve">Governance </w:t>
      </w:r>
    </w:p>
    <w:p w:rsidR="00977091" w:rsidRPr="00977091" w:rsidRDefault="00977091" w:rsidP="00977091">
      <w:pPr>
        <w:jc w:val="both"/>
        <w:rPr>
          <w:rFonts w:ascii="Times New Roman" w:hAnsi="Times New Roman" w:cs="Times New Roman"/>
          <w:sz w:val="24"/>
          <w:szCs w:val="24"/>
        </w:rPr>
      </w:pPr>
      <w:r w:rsidRPr="00977091">
        <w:rPr>
          <w:rFonts w:ascii="Times New Roman" w:hAnsi="Times New Roman" w:cs="Times New Roman"/>
          <w:sz w:val="24"/>
          <w:szCs w:val="24"/>
        </w:rPr>
        <w:t xml:space="preserve">The Charters are governed by a volunteer Board of Directors.  There are Seven members of the board, each volunteering their term.  The school board meets once a month on the third Tuesday of each month. The Board of Directors are informed by a several other committees such as the Governance, Finance, Facility and LCAP Advisory Committees’ that also meet monthly. Charter operations are led by Superintendent Maya Woods-Cadiz.  </w:t>
      </w:r>
    </w:p>
    <w:p w:rsidR="00C459E9" w:rsidRPr="00231984" w:rsidRDefault="00C459E9" w:rsidP="00C459E9">
      <w:pPr>
        <w:jc w:val="both"/>
        <w:rPr>
          <w:rFonts w:ascii="Times New Roman" w:hAnsi="Times New Roman" w:cs="Times New Roman"/>
          <w:b/>
          <w:sz w:val="28"/>
          <w:szCs w:val="28"/>
          <w:u w:val="single"/>
        </w:rPr>
      </w:pPr>
      <w:r w:rsidRPr="00231984">
        <w:rPr>
          <w:rFonts w:ascii="Times New Roman" w:hAnsi="Times New Roman" w:cs="Times New Roman"/>
          <w:b/>
          <w:sz w:val="28"/>
          <w:szCs w:val="28"/>
          <w:u w:val="single"/>
        </w:rPr>
        <w:t>Enrollment</w:t>
      </w:r>
    </w:p>
    <w:p w:rsidR="004414A3"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2016-2021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has nearly reached its full enrollment capacity. American Indian Public Charter (AIPCS) is capped at 250 students, American Indian Public Charter II (AIPCS II) 675, and American Indian Public High School (AIPHS) at 450.</w:t>
      </w:r>
      <w:r w:rsidR="006079FA">
        <w:rPr>
          <w:rFonts w:ascii="Times New Roman" w:hAnsi="Times New Roman" w:cs="Times New Roman"/>
          <w:sz w:val="24"/>
          <w:szCs w:val="24"/>
        </w:rPr>
        <w:t xml:space="preserve"> </w:t>
      </w:r>
      <w:r w:rsidR="00617C22">
        <w:rPr>
          <w:rFonts w:ascii="Times New Roman" w:hAnsi="Times New Roman" w:cs="Times New Roman"/>
          <w:sz w:val="24"/>
          <w:szCs w:val="24"/>
        </w:rPr>
        <w:t xml:space="preserve"> </w:t>
      </w:r>
      <w:r w:rsidR="006079FA">
        <w:rPr>
          <w:rFonts w:ascii="Times New Roman" w:hAnsi="Times New Roman" w:cs="Times New Roman"/>
          <w:sz w:val="24"/>
          <w:szCs w:val="24"/>
        </w:rPr>
        <w:t xml:space="preserve">The report below reflects enrollment numbers, the Average Daily Attendance (ADA) number and the Average Daily </w:t>
      </w:r>
      <w:r w:rsidR="00977091">
        <w:rPr>
          <w:rFonts w:ascii="Times New Roman" w:hAnsi="Times New Roman" w:cs="Times New Roman"/>
          <w:sz w:val="24"/>
          <w:szCs w:val="24"/>
        </w:rPr>
        <w:t>Attendance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005370FB" w:rsidRPr="00686E4D">
        <w:rPr>
          <w:rFonts w:ascii="Times New Roman" w:hAnsi="Times New Roman" w:cs="Times New Roman"/>
          <w:sz w:val="24"/>
          <w:szCs w:val="24"/>
        </w:rPr>
        <w:t>Aims current waitlist is reflected as well</w:t>
      </w:r>
      <w:r w:rsidR="006079FA" w:rsidRPr="00686E4D">
        <w:rPr>
          <w:rFonts w:ascii="Times New Roman" w:hAnsi="Times New Roman" w:cs="Times New Roman"/>
          <w:sz w:val="24"/>
          <w:szCs w:val="24"/>
        </w:rPr>
        <w:t>.</w:t>
      </w:r>
      <w:r w:rsidR="006079FA">
        <w:rPr>
          <w:rFonts w:ascii="Times New Roman" w:hAnsi="Times New Roman" w:cs="Times New Roman"/>
          <w:sz w:val="24"/>
          <w:szCs w:val="24"/>
        </w:rPr>
        <w:t xml:space="preserve">                       </w:t>
      </w:r>
      <w:r w:rsidR="006079FA">
        <w:rPr>
          <w:rFonts w:ascii="Times New Roman" w:hAnsi="Times New Roman" w:cs="Times New Roman"/>
          <w:sz w:val="24"/>
          <w:szCs w:val="24"/>
        </w:rPr>
        <w:tab/>
      </w:r>
      <w:r w:rsidR="006079FA">
        <w:rPr>
          <w:rFonts w:ascii="Times New Roman" w:hAnsi="Times New Roman" w:cs="Times New Roman"/>
          <w:sz w:val="24"/>
          <w:szCs w:val="24"/>
        </w:rPr>
        <w:tab/>
      </w:r>
      <w:r w:rsidR="006079FA">
        <w:rPr>
          <w:rFonts w:ascii="Times New Roman" w:hAnsi="Times New Roman" w:cs="Times New Roman"/>
          <w:sz w:val="24"/>
          <w:szCs w:val="24"/>
        </w:rPr>
        <w:tab/>
      </w:r>
    </w:p>
    <w:p w:rsidR="00A254A5" w:rsidRDefault="00A254A5" w:rsidP="00624EA6">
      <w:pPr>
        <w:jc w:val="both"/>
        <w:rPr>
          <w:rFonts w:ascii="Times New Roman" w:hAnsi="Times New Roman" w:cs="Times New Roman"/>
          <w:sz w:val="24"/>
          <w:szCs w:val="24"/>
        </w:rPr>
      </w:pPr>
    </w:p>
    <w:p w:rsidR="006079FA" w:rsidRDefault="00EA7238" w:rsidP="00686E4D">
      <w:pPr>
        <w:rPr>
          <w:rFonts w:ascii="Times New Roman" w:hAnsi="Times New Roman" w:cs="Times New Roman"/>
          <w:sz w:val="24"/>
          <w:szCs w:val="24"/>
        </w:rPr>
      </w:pPr>
      <w:r w:rsidRPr="00EA7238">
        <w:rPr>
          <w:noProof/>
        </w:rPr>
        <w:drawing>
          <wp:anchor distT="0" distB="0" distL="114300" distR="114300" simplePos="0" relativeHeight="251672576" behindDoc="0" locked="0" layoutInCell="1" allowOverlap="1">
            <wp:simplePos x="0" y="0"/>
            <wp:positionH relativeFrom="column">
              <wp:posOffset>2362200</wp:posOffset>
            </wp:positionH>
            <wp:positionV relativeFrom="paragraph">
              <wp:posOffset>6985</wp:posOffset>
            </wp:positionV>
            <wp:extent cx="2324100" cy="1466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517" cy="14671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EA6">
        <w:rPr>
          <w:noProof/>
        </w:rPr>
        <w:drawing>
          <wp:anchor distT="0" distB="0" distL="114300" distR="114300" simplePos="0" relativeHeight="251671552" behindDoc="0" locked="0" layoutInCell="1" allowOverlap="1">
            <wp:simplePos x="0" y="0"/>
            <wp:positionH relativeFrom="margin">
              <wp:align>right</wp:align>
            </wp:positionH>
            <wp:positionV relativeFrom="paragraph">
              <wp:posOffset>149860</wp:posOffset>
            </wp:positionV>
            <wp:extent cx="1133475" cy="12477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E4D">
        <w:rPr>
          <w:rFonts w:ascii="Times New Roman" w:hAnsi="Times New Roman" w:cs="Times New Roman"/>
          <w:sz w:val="24"/>
          <w:szCs w:val="24"/>
        </w:rPr>
        <w:t xml:space="preserve"> </w:t>
      </w:r>
      <w:r w:rsidR="00E52957" w:rsidRPr="00E52957">
        <w:rPr>
          <w:noProof/>
        </w:rPr>
        <w:drawing>
          <wp:inline distT="0" distB="0" distL="0" distR="0">
            <wp:extent cx="2266950" cy="148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335" cy="1486152"/>
                    </a:xfrm>
                    <a:prstGeom prst="rect">
                      <a:avLst/>
                    </a:prstGeom>
                    <a:noFill/>
                    <a:ln>
                      <a:noFill/>
                    </a:ln>
                  </pic:spPr>
                </pic:pic>
              </a:graphicData>
            </a:graphic>
          </wp:inline>
        </w:drawing>
      </w:r>
      <w:r w:rsidR="00686E4D">
        <w:rPr>
          <w:rFonts w:ascii="Times New Roman" w:hAnsi="Times New Roman" w:cs="Times New Roman"/>
          <w:sz w:val="24"/>
          <w:szCs w:val="24"/>
        </w:rPr>
        <w:t xml:space="preserve"> </w:t>
      </w:r>
    </w:p>
    <w:p w:rsidR="006079FA" w:rsidRDefault="006079FA" w:rsidP="006079FA">
      <w:pPr>
        <w:jc w:val="center"/>
        <w:rPr>
          <w:rFonts w:ascii="Times New Roman" w:hAnsi="Times New Roman" w:cs="Times New Roman"/>
          <w:sz w:val="24"/>
          <w:szCs w:val="24"/>
        </w:rPr>
      </w:pPr>
    </w:p>
    <w:p w:rsidR="0048522E" w:rsidRDefault="0048522E" w:rsidP="006C4142">
      <w:pPr>
        <w:jc w:val="both"/>
        <w:rPr>
          <w:rFonts w:ascii="Times New Roman" w:hAnsi="Times New Roman" w:cs="Times New Roman"/>
          <w:b/>
          <w:sz w:val="24"/>
          <w:szCs w:val="24"/>
          <w:u w:val="single"/>
        </w:rPr>
      </w:pPr>
    </w:p>
    <w:p w:rsidR="006C4142" w:rsidRDefault="006C4142" w:rsidP="006C414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202</w:t>
      </w:r>
      <w:r w:rsidR="00DA08E8">
        <w:rPr>
          <w:rFonts w:ascii="Times New Roman" w:hAnsi="Times New Roman" w:cs="Times New Roman"/>
          <w:b/>
          <w:sz w:val="24"/>
          <w:szCs w:val="24"/>
          <w:u w:val="single"/>
        </w:rPr>
        <w:t>1</w:t>
      </w:r>
      <w:r w:rsidRPr="00617C22">
        <w:rPr>
          <w:rFonts w:ascii="Times New Roman" w:hAnsi="Times New Roman" w:cs="Times New Roman"/>
          <w:b/>
          <w:sz w:val="24"/>
          <w:szCs w:val="24"/>
          <w:u w:val="single"/>
        </w:rPr>
        <w:t>-2</w:t>
      </w:r>
      <w:r w:rsidR="00DA08E8">
        <w:rPr>
          <w:rFonts w:ascii="Times New Roman" w:hAnsi="Times New Roman" w:cs="Times New Roman"/>
          <w:b/>
          <w:sz w:val="24"/>
          <w:szCs w:val="24"/>
          <w:u w:val="single"/>
        </w:rPr>
        <w:t>2</w:t>
      </w:r>
      <w:r w:rsidRPr="00617C22">
        <w:rPr>
          <w:rFonts w:ascii="Times New Roman" w:hAnsi="Times New Roman" w:cs="Times New Roman"/>
          <w:b/>
          <w:sz w:val="24"/>
          <w:szCs w:val="24"/>
          <w:u w:val="single"/>
        </w:rPr>
        <w:t xml:space="preserve"> State Budget </w:t>
      </w:r>
    </w:p>
    <w:p w:rsidR="00755545" w:rsidRPr="00617C22" w:rsidRDefault="00755545" w:rsidP="006C4142">
      <w:pPr>
        <w:jc w:val="both"/>
        <w:rPr>
          <w:rFonts w:ascii="Times New Roman" w:hAnsi="Times New Roman" w:cs="Times New Roman"/>
          <w:b/>
          <w:sz w:val="24"/>
          <w:szCs w:val="24"/>
          <w:u w:val="single"/>
        </w:rPr>
      </w:pPr>
    </w:p>
    <w:p w:rsidR="00755545" w:rsidRPr="006161EF" w:rsidRDefault="00755545" w:rsidP="00755545">
      <w:pPr>
        <w:ind w:firstLine="720"/>
        <w:jc w:val="both"/>
        <w:rPr>
          <w:rFonts w:asciiTheme="majorHAnsi" w:hAnsiTheme="majorHAnsi" w:cstheme="majorHAnsi"/>
          <w:b/>
          <w:i/>
          <w:sz w:val="28"/>
          <w:szCs w:val="28"/>
          <w:u w:val="single"/>
        </w:rPr>
      </w:pPr>
      <w:r w:rsidRPr="006161EF">
        <w:rPr>
          <w:rFonts w:asciiTheme="majorHAnsi" w:hAnsiTheme="majorHAnsi" w:cstheme="majorHAnsi"/>
          <w:b/>
          <w:i/>
          <w:sz w:val="28"/>
          <w:szCs w:val="28"/>
          <w:u w:val="single"/>
        </w:rPr>
        <w:t>Political Landscape</w:t>
      </w:r>
    </w:p>
    <w:p w:rsidR="00755545" w:rsidRPr="006161EF" w:rsidRDefault="00755545" w:rsidP="00755545">
      <w:pPr>
        <w:numPr>
          <w:ilvl w:val="0"/>
          <w:numId w:val="7"/>
        </w:numPr>
        <w:spacing w:after="0" w:line="288" w:lineRule="auto"/>
        <w:ind w:left="1080"/>
        <w:contextualSpacing/>
        <w:rPr>
          <w:rFonts w:asciiTheme="majorHAnsi" w:eastAsia="Times New Roman" w:hAnsiTheme="majorHAnsi" w:cstheme="majorHAnsi"/>
          <w:color w:val="B71E42"/>
          <w:sz w:val="24"/>
          <w:szCs w:val="24"/>
        </w:rPr>
      </w:pPr>
      <w:r w:rsidRPr="006161EF">
        <w:rPr>
          <w:rFonts w:asciiTheme="majorHAnsi" w:eastAsiaTheme="minorEastAsia" w:hAnsiTheme="majorHAnsi" w:cstheme="majorHAnsi"/>
          <w:color w:val="000000" w:themeColor="text1"/>
          <w:kern w:val="24"/>
          <w:sz w:val="24"/>
          <w:szCs w:val="24"/>
        </w:rPr>
        <w:t>As a result of unexpected surges in state revenues and robust federal stimulus funding, the 21-22 May Revision is proposing bold investments.</w:t>
      </w:r>
    </w:p>
    <w:p w:rsidR="00755545" w:rsidRPr="006161EF" w:rsidRDefault="00755545" w:rsidP="00755545">
      <w:pPr>
        <w:numPr>
          <w:ilvl w:val="0"/>
          <w:numId w:val="7"/>
        </w:numPr>
        <w:spacing w:after="0" w:line="288" w:lineRule="auto"/>
        <w:ind w:left="1080"/>
        <w:contextualSpacing/>
        <w:rPr>
          <w:rFonts w:asciiTheme="majorHAnsi" w:eastAsia="Times New Roman" w:hAnsiTheme="majorHAnsi" w:cstheme="majorHAnsi"/>
          <w:color w:val="B71E42"/>
          <w:sz w:val="24"/>
          <w:szCs w:val="24"/>
        </w:rPr>
      </w:pPr>
      <w:r w:rsidRPr="006161EF">
        <w:rPr>
          <w:rFonts w:asciiTheme="majorHAnsi" w:eastAsiaTheme="minorEastAsia" w:hAnsiTheme="majorHAnsi" w:cstheme="majorHAnsi"/>
          <w:color w:val="000000" w:themeColor="text1"/>
          <w:kern w:val="24"/>
          <w:sz w:val="24"/>
          <w:szCs w:val="24"/>
        </w:rPr>
        <w:t>The proposed budget for K-14 education includes a mix of ongoing and one-time investments that focus on equity. The budget proposal lays out a “California for All Kids Plan” which seeks to close readiness and opportunity gaps for underserved students.</w:t>
      </w:r>
    </w:p>
    <w:p w:rsidR="00755545" w:rsidRPr="006161EF" w:rsidRDefault="00755545" w:rsidP="00755545">
      <w:pPr>
        <w:spacing w:after="0" w:line="288" w:lineRule="auto"/>
        <w:ind w:left="1080"/>
        <w:contextualSpacing/>
        <w:rPr>
          <w:rFonts w:asciiTheme="majorHAnsi" w:eastAsia="Times New Roman" w:hAnsiTheme="majorHAnsi" w:cstheme="majorHAnsi"/>
          <w:color w:val="B71E42"/>
          <w:sz w:val="24"/>
          <w:szCs w:val="24"/>
        </w:rPr>
      </w:pPr>
    </w:p>
    <w:p w:rsidR="00755545" w:rsidRPr="006161EF" w:rsidRDefault="00755545" w:rsidP="00755545">
      <w:pPr>
        <w:jc w:val="both"/>
        <w:rPr>
          <w:rFonts w:asciiTheme="majorHAnsi" w:hAnsiTheme="majorHAnsi" w:cstheme="majorHAnsi"/>
          <w:b/>
          <w:i/>
          <w:sz w:val="28"/>
          <w:szCs w:val="28"/>
          <w:u w:val="single"/>
        </w:rPr>
      </w:pPr>
      <w:r w:rsidRPr="006161EF">
        <w:rPr>
          <w:rFonts w:asciiTheme="majorHAnsi" w:eastAsiaTheme="minorEastAsia" w:hAnsiTheme="majorHAnsi" w:cstheme="majorHAnsi"/>
          <w:color w:val="000000" w:themeColor="text1"/>
          <w:kern w:val="24"/>
          <w:sz w:val="24"/>
          <w:szCs w:val="24"/>
        </w:rPr>
        <w:t xml:space="preserve"> </w:t>
      </w:r>
      <w:r w:rsidRPr="006161EF">
        <w:rPr>
          <w:rFonts w:asciiTheme="majorHAnsi" w:eastAsiaTheme="minorEastAsia" w:hAnsiTheme="majorHAnsi" w:cstheme="majorHAnsi"/>
          <w:color w:val="000000" w:themeColor="text1"/>
          <w:kern w:val="24"/>
          <w:sz w:val="24"/>
          <w:szCs w:val="24"/>
        </w:rPr>
        <w:tab/>
      </w:r>
      <w:r w:rsidRPr="006161EF">
        <w:rPr>
          <w:rFonts w:asciiTheme="majorHAnsi" w:eastAsiaTheme="minorEastAsia" w:hAnsiTheme="majorHAnsi" w:cstheme="majorHAnsi"/>
          <w:color w:val="000000" w:themeColor="text1"/>
          <w:kern w:val="24"/>
          <w:sz w:val="28"/>
          <w:szCs w:val="28"/>
        </w:rPr>
        <w:t xml:space="preserve"> </w:t>
      </w:r>
      <w:r w:rsidRPr="006161EF">
        <w:rPr>
          <w:rFonts w:asciiTheme="majorHAnsi" w:hAnsiTheme="majorHAnsi" w:cstheme="majorHAnsi"/>
          <w:b/>
          <w:i/>
          <w:sz w:val="28"/>
          <w:szCs w:val="28"/>
          <w:u w:val="single"/>
        </w:rPr>
        <w:t>Principal Apportionment Deferrals</w:t>
      </w:r>
    </w:p>
    <w:p w:rsidR="00755545" w:rsidRPr="006161EF" w:rsidRDefault="00755545" w:rsidP="00755545">
      <w:pPr>
        <w:pStyle w:val="ListParagraph"/>
        <w:numPr>
          <w:ilvl w:val="0"/>
          <w:numId w:val="12"/>
        </w:numPr>
        <w:spacing w:after="0" w:line="288" w:lineRule="auto"/>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The May Revision reduces the deferral</w:t>
      </w:r>
      <w:r>
        <w:rPr>
          <w:rFonts w:asciiTheme="majorHAnsi" w:eastAsiaTheme="minorEastAsia" w:hAnsiTheme="majorHAnsi" w:cstheme="majorHAnsi"/>
          <w:color w:val="000000" w:themeColor="text1"/>
          <w:kern w:val="24"/>
          <w:sz w:val="24"/>
          <w:szCs w:val="24"/>
        </w:rPr>
        <w:t>s</w:t>
      </w:r>
      <w:r w:rsidRPr="006161EF">
        <w:rPr>
          <w:rFonts w:asciiTheme="majorHAnsi" w:eastAsiaTheme="minorEastAsia" w:hAnsiTheme="majorHAnsi" w:cstheme="majorHAnsi"/>
          <w:color w:val="000000" w:themeColor="text1"/>
          <w:kern w:val="24"/>
          <w:sz w:val="24"/>
          <w:szCs w:val="24"/>
        </w:rPr>
        <w:t xml:space="preserve"> included in the 2021-21 enacted budget by eliminating February – May 2022 deferrals – leaving only June 2022’s cash deferral.</w:t>
      </w:r>
    </w:p>
    <w:p w:rsidR="00755545" w:rsidRPr="006161EF" w:rsidRDefault="00755545" w:rsidP="00755545">
      <w:pPr>
        <w:spacing w:after="0" w:line="288" w:lineRule="auto"/>
        <w:rPr>
          <w:rFonts w:asciiTheme="majorHAnsi" w:eastAsiaTheme="minorEastAsia" w:hAnsiTheme="majorHAnsi" w:cstheme="majorHAnsi"/>
          <w:color w:val="000000" w:themeColor="text1"/>
          <w:kern w:val="24"/>
        </w:rPr>
      </w:pPr>
    </w:p>
    <w:p w:rsidR="00755545" w:rsidRPr="006161EF" w:rsidRDefault="00755545" w:rsidP="00755545">
      <w:pPr>
        <w:spacing w:after="0" w:line="288" w:lineRule="auto"/>
        <w:ind w:left="720"/>
        <w:contextualSpacing/>
        <w:rPr>
          <w:rFonts w:asciiTheme="majorHAnsi" w:hAnsiTheme="majorHAnsi" w:cstheme="majorHAnsi"/>
          <w:b/>
          <w:i/>
          <w:sz w:val="28"/>
          <w:szCs w:val="28"/>
          <w:u w:val="single"/>
        </w:rPr>
      </w:pPr>
      <w:r w:rsidRPr="006161EF">
        <w:rPr>
          <w:rFonts w:asciiTheme="majorHAnsi" w:hAnsiTheme="majorHAnsi" w:cstheme="majorHAnsi"/>
          <w:b/>
          <w:i/>
          <w:sz w:val="28"/>
          <w:szCs w:val="28"/>
        </w:rPr>
        <w:t xml:space="preserve">  </w:t>
      </w:r>
      <w:r w:rsidRPr="006161EF">
        <w:rPr>
          <w:rFonts w:asciiTheme="majorHAnsi" w:hAnsiTheme="majorHAnsi" w:cstheme="majorHAnsi"/>
          <w:b/>
          <w:i/>
          <w:sz w:val="28"/>
          <w:szCs w:val="28"/>
          <w:u w:val="single"/>
        </w:rPr>
        <w:t>Other Proposals / Considerations</w:t>
      </w:r>
    </w:p>
    <w:p w:rsidR="00755545" w:rsidRPr="006161EF" w:rsidRDefault="00755545" w:rsidP="00755545">
      <w:pPr>
        <w:rPr>
          <w:rFonts w:asciiTheme="majorHAnsi" w:eastAsiaTheme="minorEastAsia" w:hAnsiTheme="majorHAnsi" w:cstheme="majorHAnsi"/>
          <w:color w:val="000000" w:themeColor="text1"/>
          <w:kern w:val="24"/>
          <w:sz w:val="24"/>
          <w:szCs w:val="24"/>
        </w:rPr>
      </w:pP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 xml:space="preserve">The May Revision recognizes the statutory COLA for 2021-22 of 1.7% and adds an additional 1% bringing the COLA to 2.70%, compounded with 20-21’s statutory COLA of 2.31%, results in an </w:t>
      </w:r>
      <w:r w:rsidRPr="006161EF">
        <w:rPr>
          <w:rFonts w:asciiTheme="majorHAnsi" w:eastAsiaTheme="minorEastAsia" w:hAnsiTheme="majorHAnsi" w:cstheme="majorHAnsi"/>
          <w:b/>
          <w:bCs/>
          <w:color w:val="000000" w:themeColor="text1"/>
          <w:kern w:val="24"/>
          <w:sz w:val="24"/>
          <w:szCs w:val="24"/>
        </w:rPr>
        <w:t>LCFF COLA of 5.07%</w:t>
      </w:r>
      <w:r w:rsidRPr="006161EF">
        <w:rPr>
          <w:rFonts w:asciiTheme="majorHAnsi" w:eastAsiaTheme="minorEastAsia" w:hAnsiTheme="majorHAnsi" w:cstheme="majorHAnsi"/>
          <w:color w:val="000000" w:themeColor="text1"/>
          <w:kern w:val="24"/>
          <w:sz w:val="24"/>
          <w:szCs w:val="24"/>
        </w:rPr>
        <w:t xml:space="preserve"> for 2021-22.</w:t>
      </w: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A COLA of 1.7% for categorical programs outside of the LCFF, including the SB740 Charter School Facility Grant Program.</w:t>
      </w: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Increase the concentration grant funding from 50% to 65%.</w:t>
      </w: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One time Increase in federal funding to IDEA from the American Rescue Plan.</w:t>
      </w: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Investment in educator workforce by providing $3.3 billion in support initiatives and training.</w:t>
      </w:r>
    </w:p>
    <w:p w:rsidR="00755545" w:rsidRPr="006161EF"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Provide universal access to TK to all four-year-old’s in CA by 2024-25.</w:t>
      </w:r>
    </w:p>
    <w:p w:rsidR="00755545" w:rsidRDefault="00755545" w:rsidP="00755545">
      <w:pPr>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Ongoing funding to subsidize school meals for all students.</w:t>
      </w:r>
    </w:p>
    <w:p w:rsidR="00755545" w:rsidRDefault="00755545" w:rsidP="00755545">
      <w:pPr>
        <w:rPr>
          <w:rFonts w:asciiTheme="majorHAnsi" w:eastAsiaTheme="minorEastAsia" w:hAnsiTheme="majorHAnsi" w:cstheme="majorHAnsi"/>
          <w:color w:val="000000" w:themeColor="text1"/>
          <w:kern w:val="24"/>
          <w:sz w:val="24"/>
          <w:szCs w:val="24"/>
        </w:rPr>
      </w:pPr>
    </w:p>
    <w:p w:rsidR="00755545" w:rsidRDefault="00755545" w:rsidP="00755545">
      <w:pPr>
        <w:rPr>
          <w:rFonts w:asciiTheme="majorHAnsi" w:eastAsiaTheme="minorEastAsia" w:hAnsiTheme="majorHAnsi" w:cstheme="majorHAnsi"/>
          <w:color w:val="000000" w:themeColor="text1"/>
          <w:kern w:val="24"/>
          <w:sz w:val="24"/>
          <w:szCs w:val="24"/>
        </w:rPr>
      </w:pPr>
    </w:p>
    <w:p w:rsidR="00755545" w:rsidRPr="006161EF" w:rsidRDefault="00755545" w:rsidP="00755545">
      <w:pPr>
        <w:rPr>
          <w:rFonts w:asciiTheme="majorHAnsi" w:eastAsiaTheme="minorEastAsia" w:hAnsiTheme="majorHAnsi" w:cstheme="majorHAnsi"/>
          <w:color w:val="000000" w:themeColor="text1"/>
          <w:kern w:val="24"/>
          <w:sz w:val="24"/>
          <w:szCs w:val="24"/>
        </w:rPr>
      </w:pPr>
    </w:p>
    <w:p w:rsidR="00755545" w:rsidRPr="006161EF" w:rsidRDefault="00755545" w:rsidP="00755545">
      <w:pPr>
        <w:ind w:left="1440"/>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spacing w:after="0" w:line="288" w:lineRule="auto"/>
        <w:rPr>
          <w:rFonts w:asciiTheme="majorHAnsi" w:hAnsiTheme="majorHAnsi" w:cstheme="majorHAnsi"/>
          <w:b/>
          <w:i/>
          <w:sz w:val="28"/>
          <w:szCs w:val="28"/>
          <w:u w:val="single"/>
        </w:rPr>
      </w:pPr>
      <w:r w:rsidRPr="006161EF">
        <w:rPr>
          <w:rFonts w:asciiTheme="majorHAnsi" w:hAnsiTheme="majorHAnsi" w:cstheme="majorHAnsi"/>
          <w:b/>
          <w:i/>
          <w:sz w:val="28"/>
          <w:szCs w:val="28"/>
        </w:rPr>
        <w:t xml:space="preserve"> </w:t>
      </w:r>
      <w:r w:rsidRPr="006161EF">
        <w:rPr>
          <w:rFonts w:asciiTheme="majorHAnsi" w:hAnsiTheme="majorHAnsi" w:cstheme="majorHAnsi"/>
          <w:b/>
          <w:i/>
          <w:sz w:val="28"/>
          <w:szCs w:val="28"/>
          <w:u w:val="single"/>
        </w:rPr>
        <w:t>School Operations Changes in 2021-22</w:t>
      </w:r>
    </w:p>
    <w:p w:rsidR="00755545" w:rsidRPr="006161EF" w:rsidRDefault="00755545" w:rsidP="00755545">
      <w:pPr>
        <w:pStyle w:val="ListParagraph"/>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Charter School Renewal Relief: To recognize the significant data-gap caused by lack of testing and dashboard metrics during the pandemic, the Governor proposes that all charter schools whose term expires on or before June 30, 2025 shall have their term extended by two years.</w:t>
      </w:r>
    </w:p>
    <w:p w:rsidR="00755545" w:rsidRPr="006161EF" w:rsidRDefault="00755545" w:rsidP="00755545">
      <w:pPr>
        <w:ind w:left="720"/>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Return to On-Site Instruction: The May revision assumes return to full-time, in person instruction consistent with operational rules for years prior to the pandemic. The proposal does not offer any “hold harmless” funding for charter school ADA losses in 2021-22 and reverts to per-COVID law on funding calculations.</w:t>
      </w:r>
    </w:p>
    <w:p w:rsidR="00755545" w:rsidRPr="006161EF" w:rsidRDefault="00755545" w:rsidP="00755545">
      <w:pPr>
        <w:pStyle w:val="ListParagraph"/>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No Growth Caps: All charter schools will be funded for actual 2021-22 ADA. The devastating caps that were imposed on may charter schools for 2020-21 expire on June 30, and no continuation of any caps is proposed.</w:t>
      </w:r>
    </w:p>
    <w:p w:rsidR="00755545" w:rsidRPr="006161EF" w:rsidRDefault="00755545" w:rsidP="00755545">
      <w:pPr>
        <w:pStyle w:val="ListParagraph"/>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numPr>
          <w:ilvl w:val="1"/>
          <w:numId w:val="10"/>
        </w:numPr>
        <w:rPr>
          <w:rFonts w:asciiTheme="majorHAnsi" w:eastAsiaTheme="minorEastAsia" w:hAnsiTheme="majorHAnsi" w:cstheme="majorHAnsi"/>
          <w:color w:val="000000" w:themeColor="text1"/>
          <w:kern w:val="24"/>
          <w:sz w:val="24"/>
          <w:szCs w:val="24"/>
        </w:rPr>
      </w:pPr>
      <w:r w:rsidRPr="006161EF">
        <w:rPr>
          <w:rFonts w:asciiTheme="majorHAnsi" w:eastAsiaTheme="minorEastAsia" w:hAnsiTheme="majorHAnsi" w:cstheme="majorHAnsi"/>
          <w:color w:val="000000" w:themeColor="text1"/>
          <w:kern w:val="24"/>
          <w:sz w:val="24"/>
          <w:szCs w:val="24"/>
        </w:rPr>
        <w:t>Independent Study Reform: Recognizing that many students may still prefer an independent study (distance learning) option, the Governor proposes a series of permanent changes to independent study laws.</w:t>
      </w:r>
    </w:p>
    <w:p w:rsidR="00755545" w:rsidRPr="006161EF" w:rsidRDefault="00755545" w:rsidP="00755545">
      <w:pPr>
        <w:pStyle w:val="ListParagraph"/>
        <w:rPr>
          <w:rFonts w:asciiTheme="majorHAnsi" w:eastAsiaTheme="minorEastAsia" w:hAnsiTheme="majorHAnsi" w:cstheme="majorHAnsi"/>
          <w:color w:val="000000" w:themeColor="text1"/>
          <w:kern w:val="24"/>
          <w:sz w:val="24"/>
          <w:szCs w:val="24"/>
        </w:rPr>
      </w:pPr>
    </w:p>
    <w:p w:rsidR="00755545" w:rsidRPr="006161EF" w:rsidRDefault="00755545" w:rsidP="00755545">
      <w:pPr>
        <w:pStyle w:val="ListParagraph"/>
        <w:rPr>
          <w:rFonts w:asciiTheme="majorHAnsi" w:eastAsiaTheme="minorEastAsia" w:hAnsiTheme="majorHAnsi" w:cstheme="majorHAnsi"/>
          <w:b/>
          <w:bCs/>
          <w:i/>
          <w:iCs/>
          <w:color w:val="000000" w:themeColor="text1"/>
          <w:kern w:val="24"/>
          <w:sz w:val="28"/>
          <w:szCs w:val="28"/>
          <w:u w:val="single"/>
        </w:rPr>
      </w:pPr>
      <w:r w:rsidRPr="006161EF">
        <w:rPr>
          <w:rFonts w:asciiTheme="majorHAnsi" w:eastAsiaTheme="minorEastAsia" w:hAnsiTheme="majorHAnsi" w:cstheme="majorHAnsi"/>
          <w:b/>
          <w:bCs/>
          <w:i/>
          <w:iCs/>
          <w:color w:val="000000" w:themeColor="text1"/>
          <w:kern w:val="24"/>
          <w:sz w:val="28"/>
          <w:szCs w:val="28"/>
          <w:u w:val="single"/>
        </w:rPr>
        <w:t>Next Steps</w:t>
      </w:r>
    </w:p>
    <w:p w:rsidR="00755545" w:rsidRPr="006161EF" w:rsidRDefault="00755545" w:rsidP="00755545">
      <w:pPr>
        <w:pStyle w:val="ListParagraph"/>
        <w:rPr>
          <w:rFonts w:asciiTheme="majorHAnsi" w:eastAsiaTheme="minorEastAsia" w:hAnsiTheme="majorHAnsi" w:cstheme="majorHAnsi"/>
          <w:b/>
          <w:bCs/>
          <w:i/>
          <w:iCs/>
          <w:color w:val="000000" w:themeColor="text1"/>
          <w:kern w:val="24"/>
          <w:sz w:val="24"/>
          <w:szCs w:val="24"/>
          <w:u w:val="single"/>
        </w:rPr>
      </w:pPr>
    </w:p>
    <w:p w:rsidR="00755545" w:rsidRPr="006161EF" w:rsidRDefault="00755545" w:rsidP="00755545">
      <w:pPr>
        <w:pStyle w:val="ListParagraph"/>
        <w:rPr>
          <w:rFonts w:asciiTheme="majorHAnsi" w:eastAsiaTheme="minorEastAsia" w:hAnsiTheme="majorHAnsi" w:cstheme="majorHAnsi"/>
          <w:i/>
          <w:iCs/>
          <w:color w:val="000000" w:themeColor="text1"/>
          <w:kern w:val="24"/>
          <w:sz w:val="24"/>
          <w:szCs w:val="24"/>
        </w:rPr>
      </w:pPr>
      <w:r w:rsidRPr="006161EF">
        <w:rPr>
          <w:rFonts w:asciiTheme="majorHAnsi" w:eastAsiaTheme="minorEastAsia" w:hAnsiTheme="majorHAnsi" w:cstheme="majorHAnsi"/>
          <w:i/>
          <w:iCs/>
          <w:color w:val="000000" w:themeColor="text1"/>
          <w:kern w:val="24"/>
          <w:sz w:val="24"/>
          <w:szCs w:val="24"/>
        </w:rPr>
        <w:t xml:space="preserve">The May Revision is typically a fiscal update to the Governor’s January Budget, but this year contains significant new policy proposals. The Legislature must act to accept, reject, or amend the items in the proposal and approve the 2021-22 budget by the constitutional deadline of June 15. </w:t>
      </w:r>
    </w:p>
    <w:p w:rsidR="00755545" w:rsidRPr="006161EF" w:rsidRDefault="00755545" w:rsidP="00755545">
      <w:pPr>
        <w:spacing w:after="0" w:line="288" w:lineRule="auto"/>
        <w:rPr>
          <w:rFonts w:asciiTheme="majorHAnsi" w:eastAsiaTheme="minorEastAsia" w:hAnsiTheme="majorHAnsi" w:cstheme="majorHAnsi"/>
          <w:color w:val="000000" w:themeColor="text1"/>
          <w:kern w:val="24"/>
          <w:sz w:val="18"/>
          <w:szCs w:val="18"/>
        </w:rPr>
      </w:pPr>
    </w:p>
    <w:p w:rsidR="00755545" w:rsidRDefault="00755545" w:rsidP="00755545">
      <w:pPr>
        <w:spacing w:after="0" w:line="288" w:lineRule="auto"/>
        <w:jc w:val="right"/>
        <w:rPr>
          <w:rFonts w:asciiTheme="majorHAnsi" w:eastAsiaTheme="minorEastAsia" w:hAnsiTheme="majorHAnsi" w:cstheme="majorHAnsi"/>
          <w:color w:val="000000" w:themeColor="text1"/>
          <w:kern w:val="24"/>
          <w:sz w:val="18"/>
          <w:szCs w:val="18"/>
        </w:rPr>
      </w:pPr>
    </w:p>
    <w:p w:rsidR="00755545" w:rsidRPr="006161EF" w:rsidRDefault="00755545" w:rsidP="00755545">
      <w:pPr>
        <w:spacing w:after="0" w:line="288" w:lineRule="auto"/>
        <w:jc w:val="right"/>
        <w:rPr>
          <w:rFonts w:asciiTheme="majorHAnsi" w:eastAsiaTheme="minorEastAsia" w:hAnsiTheme="majorHAnsi" w:cstheme="majorHAnsi"/>
          <w:color w:val="000000" w:themeColor="text1"/>
          <w:kern w:val="24"/>
          <w:sz w:val="18"/>
          <w:szCs w:val="18"/>
        </w:rPr>
      </w:pPr>
    </w:p>
    <w:p w:rsidR="00755545" w:rsidRPr="006161EF" w:rsidRDefault="00755545" w:rsidP="00755545">
      <w:pPr>
        <w:spacing w:after="0" w:line="288" w:lineRule="auto"/>
        <w:jc w:val="right"/>
        <w:rPr>
          <w:rFonts w:asciiTheme="majorHAnsi" w:eastAsiaTheme="minorEastAsia" w:hAnsiTheme="majorHAnsi" w:cstheme="majorHAnsi"/>
          <w:color w:val="000000" w:themeColor="text1"/>
          <w:kern w:val="24"/>
          <w:sz w:val="20"/>
          <w:szCs w:val="20"/>
        </w:rPr>
      </w:pPr>
      <w:r w:rsidRPr="006161EF">
        <w:rPr>
          <w:rFonts w:asciiTheme="majorHAnsi" w:eastAsiaTheme="minorEastAsia" w:hAnsiTheme="majorHAnsi" w:cstheme="majorHAnsi"/>
          <w:color w:val="000000" w:themeColor="text1"/>
          <w:kern w:val="24"/>
          <w:sz w:val="20"/>
          <w:szCs w:val="20"/>
        </w:rPr>
        <w:t>Provided by Susan Lefkowitz, CSMC</w:t>
      </w:r>
    </w:p>
    <w:p w:rsidR="00755545" w:rsidRPr="006161EF" w:rsidRDefault="00755545" w:rsidP="00755545">
      <w:pPr>
        <w:rPr>
          <w:rFonts w:asciiTheme="majorHAnsi" w:hAnsiTheme="majorHAnsi" w:cstheme="majorHAnsi"/>
        </w:rPr>
      </w:pPr>
    </w:p>
    <w:p w:rsidR="004E5E3C" w:rsidRDefault="004E5E3C" w:rsidP="008B309A">
      <w:pPr>
        <w:spacing w:after="0" w:line="288" w:lineRule="auto"/>
        <w:jc w:val="right"/>
        <w:rPr>
          <w:rFonts w:ascii="Times New Roman" w:eastAsiaTheme="minorEastAsia" w:hAnsi="Times New Roman" w:cs="Times New Roman"/>
          <w:color w:val="4472C4" w:themeColor="accent1"/>
          <w:kern w:val="24"/>
          <w:sz w:val="18"/>
          <w:szCs w:val="18"/>
        </w:rPr>
      </w:pPr>
    </w:p>
    <w:p w:rsidR="004E5E3C" w:rsidRDefault="004E5E3C" w:rsidP="008B309A">
      <w:pPr>
        <w:spacing w:after="0" w:line="288" w:lineRule="auto"/>
        <w:jc w:val="right"/>
        <w:rPr>
          <w:rFonts w:ascii="Times New Roman" w:eastAsiaTheme="minorEastAsia" w:hAnsi="Times New Roman" w:cs="Times New Roman"/>
          <w:color w:val="4472C4" w:themeColor="accent1"/>
          <w:kern w:val="24"/>
          <w:sz w:val="18"/>
          <w:szCs w:val="18"/>
        </w:rPr>
      </w:pPr>
    </w:p>
    <w:p w:rsidR="004E5E3C" w:rsidRPr="00E52C16" w:rsidRDefault="004E5E3C" w:rsidP="008B309A">
      <w:pPr>
        <w:spacing w:after="0" w:line="288" w:lineRule="auto"/>
        <w:jc w:val="right"/>
        <w:rPr>
          <w:rFonts w:ascii="Times New Roman" w:eastAsiaTheme="minorEastAsia" w:hAnsi="Times New Roman" w:cs="Times New Roman"/>
          <w:color w:val="4472C4" w:themeColor="accent1"/>
          <w:kern w:val="24"/>
          <w:sz w:val="18"/>
          <w:szCs w:val="18"/>
        </w:rPr>
      </w:pPr>
    </w:p>
    <w:p w:rsidR="00AE3049" w:rsidRPr="00E52C16" w:rsidRDefault="00AE3049" w:rsidP="00AE3049">
      <w:pPr>
        <w:spacing w:after="0" w:line="288" w:lineRule="auto"/>
        <w:rPr>
          <w:rFonts w:ascii="Times New Roman" w:eastAsiaTheme="minorEastAsia" w:hAnsi="Times New Roman" w:cs="Times New Roman"/>
          <w:color w:val="4472C4" w:themeColor="accen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8B309A" w:rsidRDefault="008B309A" w:rsidP="00AE3049">
      <w:pPr>
        <w:spacing w:after="0" w:line="288" w:lineRule="auto"/>
        <w:rPr>
          <w:rFonts w:ascii="Times New Roman" w:eastAsiaTheme="minorEastAsia" w:hAnsi="Times New Roman" w:cs="Times New Roman"/>
          <w:color w:val="000000" w:themeColor="text1"/>
          <w:kern w:val="24"/>
          <w:sz w:val="24"/>
          <w:szCs w:val="24"/>
        </w:rPr>
      </w:pPr>
    </w:p>
    <w:p w:rsidR="00E46C98" w:rsidRDefault="00E46C98" w:rsidP="00AE3049">
      <w:pPr>
        <w:spacing w:after="0" w:line="288" w:lineRule="auto"/>
        <w:rPr>
          <w:rFonts w:ascii="Times New Roman" w:eastAsiaTheme="minorEastAsia" w:hAnsi="Times New Roman" w:cs="Times New Roman"/>
          <w:color w:val="000000" w:themeColor="text1"/>
          <w:kern w:val="24"/>
          <w:sz w:val="24"/>
          <w:szCs w:val="24"/>
        </w:rPr>
      </w:pPr>
    </w:p>
    <w:p w:rsidR="00C459E9" w:rsidRPr="00231984" w:rsidRDefault="00C459E9" w:rsidP="00C459E9">
      <w:pPr>
        <w:jc w:val="both"/>
        <w:rPr>
          <w:rFonts w:ascii="Times New Roman" w:hAnsi="Times New Roman" w:cs="Times New Roman"/>
          <w:b/>
          <w:sz w:val="28"/>
          <w:szCs w:val="28"/>
          <w:u w:val="single"/>
        </w:rPr>
      </w:pPr>
      <w:r w:rsidRPr="00231984">
        <w:rPr>
          <w:rFonts w:ascii="Times New Roman" w:hAnsi="Times New Roman" w:cs="Times New Roman"/>
          <w:b/>
          <w:sz w:val="28"/>
          <w:szCs w:val="28"/>
          <w:u w:val="single"/>
        </w:rPr>
        <w:t xml:space="preserve">Budget </w:t>
      </w:r>
    </w:p>
    <w:p w:rsidR="00EB2B6C"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fiscal year is from July 1 to June 30, as prescribed for all governmental agencies in the state. </w:t>
      </w:r>
      <w:r w:rsidR="006079FA">
        <w:rPr>
          <w:rFonts w:ascii="Times New Roman" w:hAnsi="Times New Roman" w:cs="Times New Roman"/>
          <w:sz w:val="24"/>
          <w:szCs w:val="24"/>
        </w:rPr>
        <w:t>The 20</w:t>
      </w:r>
      <w:r w:rsidR="004414A3">
        <w:rPr>
          <w:rFonts w:ascii="Times New Roman" w:hAnsi="Times New Roman" w:cs="Times New Roman"/>
          <w:sz w:val="24"/>
          <w:szCs w:val="24"/>
        </w:rPr>
        <w:t>21</w:t>
      </w:r>
      <w:r w:rsidR="006079FA">
        <w:rPr>
          <w:rFonts w:ascii="Times New Roman" w:hAnsi="Times New Roman" w:cs="Times New Roman"/>
          <w:sz w:val="24"/>
          <w:szCs w:val="24"/>
        </w:rPr>
        <w:t>-202</w:t>
      </w:r>
      <w:r w:rsidR="004414A3">
        <w:rPr>
          <w:rFonts w:ascii="Times New Roman" w:hAnsi="Times New Roman" w:cs="Times New Roman"/>
          <w:sz w:val="24"/>
          <w:szCs w:val="24"/>
        </w:rPr>
        <w:t>2</w:t>
      </w:r>
      <w:r w:rsidR="006079FA">
        <w:rPr>
          <w:rFonts w:ascii="Times New Roman" w:hAnsi="Times New Roman" w:cs="Times New Roman"/>
          <w:sz w:val="24"/>
          <w:szCs w:val="24"/>
        </w:rPr>
        <w:t xml:space="preserve"> </w:t>
      </w:r>
      <w:r w:rsidR="004414A3">
        <w:rPr>
          <w:rFonts w:ascii="Times New Roman" w:hAnsi="Times New Roman" w:cs="Times New Roman"/>
          <w:sz w:val="24"/>
          <w:szCs w:val="24"/>
        </w:rPr>
        <w:t>Adoption</w:t>
      </w:r>
      <w:r w:rsidR="00D623C2">
        <w:rPr>
          <w:rFonts w:ascii="Times New Roman" w:hAnsi="Times New Roman" w:cs="Times New Roman"/>
          <w:sz w:val="24"/>
          <w:szCs w:val="24"/>
        </w:rPr>
        <w:t xml:space="preserve"> budget projec</w:t>
      </w:r>
      <w:r w:rsidR="00E77BAF">
        <w:rPr>
          <w:rFonts w:ascii="Times New Roman" w:hAnsi="Times New Roman" w:cs="Times New Roman"/>
          <w:sz w:val="24"/>
          <w:szCs w:val="24"/>
        </w:rPr>
        <w:t>ts</w:t>
      </w:r>
      <w:r w:rsidR="00D623C2">
        <w:rPr>
          <w:rFonts w:ascii="Times New Roman" w:hAnsi="Times New Roman" w:cs="Times New Roman"/>
          <w:sz w:val="24"/>
          <w:szCs w:val="24"/>
        </w:rPr>
        <w:t xml:space="preserve"> a</w:t>
      </w:r>
      <w:r w:rsidR="00E77BAF">
        <w:rPr>
          <w:rFonts w:ascii="Times New Roman" w:hAnsi="Times New Roman" w:cs="Times New Roman"/>
          <w:sz w:val="24"/>
          <w:szCs w:val="24"/>
        </w:rPr>
        <w:t>n</w:t>
      </w:r>
      <w:r w:rsidR="00925863">
        <w:rPr>
          <w:rFonts w:ascii="Times New Roman" w:hAnsi="Times New Roman" w:cs="Times New Roman"/>
          <w:sz w:val="24"/>
          <w:szCs w:val="24"/>
        </w:rPr>
        <w:t xml:space="preserve"> $</w:t>
      </w:r>
      <w:r w:rsidR="00E77BAF" w:rsidRPr="00E77BAF">
        <w:rPr>
          <w:rFonts w:ascii="Times New Roman" w:hAnsi="Times New Roman" w:cs="Times New Roman"/>
          <w:sz w:val="24"/>
          <w:szCs w:val="24"/>
        </w:rPr>
        <w:t>18,</w:t>
      </w:r>
      <w:r w:rsidR="00912C67">
        <w:rPr>
          <w:rFonts w:ascii="Times New Roman" w:hAnsi="Times New Roman" w:cs="Times New Roman"/>
          <w:sz w:val="24"/>
          <w:szCs w:val="24"/>
        </w:rPr>
        <w:t>715</w:t>
      </w:r>
      <w:r w:rsidR="00E77BAF" w:rsidRPr="00E77BAF">
        <w:rPr>
          <w:rFonts w:ascii="Times New Roman" w:hAnsi="Times New Roman" w:cs="Times New Roman"/>
          <w:sz w:val="24"/>
          <w:szCs w:val="24"/>
        </w:rPr>
        <w:t>,</w:t>
      </w:r>
      <w:r w:rsidR="00912C67">
        <w:rPr>
          <w:rFonts w:ascii="Times New Roman" w:hAnsi="Times New Roman" w:cs="Times New Roman"/>
          <w:sz w:val="24"/>
          <w:szCs w:val="24"/>
        </w:rPr>
        <w:t>859</w:t>
      </w:r>
      <w:r w:rsidRPr="00E77BAF">
        <w:rPr>
          <w:rFonts w:ascii="Times New Roman" w:hAnsi="Times New Roman" w:cs="Times New Roman"/>
          <w:sz w:val="24"/>
          <w:szCs w:val="24"/>
        </w:rPr>
        <w:t xml:space="preserve"> </w:t>
      </w:r>
      <w:r w:rsidRPr="00131CB6">
        <w:rPr>
          <w:rFonts w:ascii="Times New Roman" w:hAnsi="Times New Roman" w:cs="Times New Roman"/>
          <w:sz w:val="24"/>
          <w:szCs w:val="24"/>
        </w:rPr>
        <w:t>budget.</w:t>
      </w:r>
      <w:r w:rsidR="006D5BFD">
        <w:rPr>
          <w:rFonts w:ascii="Times New Roman" w:hAnsi="Times New Roman" w:cs="Times New Roman"/>
          <w:sz w:val="24"/>
          <w:szCs w:val="24"/>
        </w:rPr>
        <w:t xml:space="preserve"> </w:t>
      </w:r>
      <w:r w:rsidR="00E77BAF">
        <w:rPr>
          <w:rFonts w:ascii="Times New Roman" w:hAnsi="Times New Roman" w:cs="Times New Roman"/>
          <w:sz w:val="24"/>
          <w:szCs w:val="24"/>
        </w:rPr>
        <w:t>Total revenue numbers are comprised of the funding types described below.</w:t>
      </w:r>
    </w:p>
    <w:p w:rsidR="00E77BAF" w:rsidRDefault="00912C67" w:rsidP="00C459E9">
      <w:pPr>
        <w:jc w:val="both"/>
        <w:rPr>
          <w:rFonts w:ascii="Times New Roman" w:hAnsi="Times New Roman" w:cs="Times New Roman"/>
          <w:sz w:val="24"/>
          <w:szCs w:val="24"/>
        </w:rPr>
      </w:pPr>
      <w:r w:rsidRPr="00912C67">
        <w:drawing>
          <wp:inline distT="0" distB="0" distL="0" distR="0">
            <wp:extent cx="6105525" cy="8095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838" cy="813966"/>
                    </a:xfrm>
                    <a:prstGeom prst="rect">
                      <a:avLst/>
                    </a:prstGeom>
                    <a:noFill/>
                    <a:ln>
                      <a:noFill/>
                    </a:ln>
                  </pic:spPr>
                </pic:pic>
              </a:graphicData>
            </a:graphic>
          </wp:inline>
        </w:drawing>
      </w:r>
    </w:p>
    <w:p w:rsidR="006D5BFD" w:rsidRP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State Food Revenue, State Lottery and State Mandated Block Gran</w:t>
      </w:r>
      <w:r w:rsidR="00E77BAF">
        <w:rPr>
          <w:rFonts w:ascii="Times New Roman" w:hAnsi="Times New Roman" w:cs="Times New Roman"/>
          <w:sz w:val="24"/>
          <w:szCs w:val="24"/>
        </w:rPr>
        <w:t>t funds</w:t>
      </w:r>
      <w:r w:rsidR="003F4029">
        <w:rPr>
          <w:rFonts w:ascii="Times New Roman" w:hAnsi="Times New Roman" w:cs="Times New Roman"/>
          <w:sz w:val="24"/>
          <w:szCs w:val="24"/>
        </w:rPr>
        <w:t xml:space="preserve">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Special Funds</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Pr="009C3008"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131CB6" w:rsidRDefault="00D116A5"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NSLP/SSO:</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Facilities Grant</w:t>
      </w:r>
    </w:p>
    <w:p w:rsidR="00925863" w:rsidRDefault="00925863"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New- </w:t>
      </w:r>
      <w:r w:rsidR="0035049B">
        <w:rPr>
          <w:rFonts w:ascii="Times New Roman" w:hAnsi="Times New Roman" w:cs="Times New Roman"/>
          <w:sz w:val="24"/>
          <w:szCs w:val="24"/>
        </w:rPr>
        <w:t>CARES Act</w:t>
      </w:r>
      <w:r>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New- Expanded Learn Opportunity Plan</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New – Expanded Learning Opportunity Plan -Paraprofessional</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New- In-Person Learning Grant</w:t>
      </w:r>
    </w:p>
    <w:p w:rsidR="00EB2B6C" w:rsidRDefault="00EB2B6C" w:rsidP="00EB2B6C">
      <w:pPr>
        <w:pStyle w:val="ListParagraph"/>
        <w:jc w:val="both"/>
        <w:rPr>
          <w:rFonts w:ascii="Times New Roman" w:hAnsi="Times New Roman" w:cs="Times New Roman"/>
          <w:sz w:val="24"/>
          <w:szCs w:val="24"/>
        </w:rPr>
      </w:pPr>
    </w:p>
    <w:p w:rsidR="00EB2B6C" w:rsidRDefault="00EB2B6C" w:rsidP="00EB2B6C">
      <w:pPr>
        <w:pStyle w:val="ListParagraph"/>
        <w:jc w:val="both"/>
        <w:rPr>
          <w:rFonts w:ascii="Times New Roman" w:hAnsi="Times New Roman" w:cs="Times New Roman"/>
          <w:sz w:val="24"/>
          <w:szCs w:val="24"/>
        </w:rPr>
      </w:pPr>
    </w:p>
    <w:p w:rsidR="00EB2B6C" w:rsidRDefault="00EB2B6C" w:rsidP="00EB2B6C">
      <w:pPr>
        <w:pStyle w:val="ListParagraph"/>
        <w:jc w:val="both"/>
        <w:rPr>
          <w:rFonts w:ascii="Times New Roman" w:hAnsi="Times New Roman" w:cs="Times New Roman"/>
          <w:sz w:val="24"/>
          <w:szCs w:val="24"/>
        </w:rPr>
      </w:pPr>
    </w:p>
    <w:p w:rsidR="00EB2B6C" w:rsidRDefault="00EB2B6C" w:rsidP="00EB2B6C">
      <w:pPr>
        <w:pStyle w:val="ListParagraph"/>
        <w:jc w:val="both"/>
        <w:rPr>
          <w:rFonts w:ascii="Times New Roman" w:hAnsi="Times New Roman" w:cs="Times New Roman"/>
          <w:sz w:val="24"/>
          <w:szCs w:val="24"/>
        </w:rPr>
      </w:pPr>
    </w:p>
    <w:p w:rsidR="00EB2B6C" w:rsidRDefault="00EB2B6C" w:rsidP="00EB2B6C">
      <w:pPr>
        <w:pStyle w:val="ListParagraph"/>
        <w:jc w:val="both"/>
        <w:rPr>
          <w:rFonts w:ascii="Times New Roman" w:hAnsi="Times New Roman" w:cs="Times New Roman"/>
          <w:sz w:val="24"/>
          <w:szCs w:val="24"/>
        </w:rPr>
      </w:pPr>
    </w:p>
    <w:p w:rsidR="00AA7636" w:rsidRDefault="00AA7636" w:rsidP="00131CB6">
      <w:pPr>
        <w:jc w:val="both"/>
        <w:rPr>
          <w:rFonts w:ascii="Times New Roman" w:hAnsi="Times New Roman" w:cs="Times New Roman"/>
          <w:b/>
          <w:sz w:val="24"/>
          <w:szCs w:val="24"/>
          <w:u w:val="single"/>
        </w:rPr>
      </w:pP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236" w:rsidRPr="00EE378F" w:rsidRDefault="00131236" w:rsidP="00131236">
      <w:pPr>
        <w:jc w:val="both"/>
        <w:rPr>
          <w:b/>
          <w:sz w:val="28"/>
          <w:szCs w:val="28"/>
          <w:u w:val="single"/>
        </w:rPr>
      </w:pPr>
      <w:r>
        <w:rPr>
          <w:b/>
          <w:sz w:val="28"/>
          <w:szCs w:val="28"/>
          <w:u w:val="single"/>
        </w:rPr>
        <w:t>Budg</w:t>
      </w:r>
      <w:r w:rsidRPr="00EE378F">
        <w:rPr>
          <w:b/>
          <w:sz w:val="28"/>
          <w:szCs w:val="28"/>
          <w:u w:val="single"/>
        </w:rPr>
        <w:t xml:space="preserve">et Benchmarks – Process timeline </w:t>
      </w:r>
    </w:p>
    <w:p w:rsidR="00131236" w:rsidRPr="00AA7636" w:rsidRDefault="00131236" w:rsidP="00131236">
      <w:pPr>
        <w:pStyle w:val="NoSpacing"/>
        <w:numPr>
          <w:ilvl w:val="0"/>
          <w:numId w:val="3"/>
        </w:numPr>
        <w:rPr>
          <w:rFonts w:ascii="Times New Roman" w:hAnsi="Times New Roman" w:cs="Times New Roman"/>
          <w:b/>
          <w:sz w:val="24"/>
          <w:szCs w:val="24"/>
        </w:rPr>
      </w:pPr>
      <w:r w:rsidRPr="00AA7636">
        <w:rPr>
          <w:rFonts w:ascii="Times New Roman" w:hAnsi="Times New Roman" w:cs="Times New Roman"/>
          <w:b/>
          <w:sz w:val="24"/>
          <w:szCs w:val="24"/>
        </w:rPr>
        <w:t>AIMS Budget Adoption: June 15,2021</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State’s June Budget Adoption: June 30,2021</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 xml:space="preserve">45 Day Budget Revision (not required):  Mid-August </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Unaudited Actuals (2020-21 Closing):  September 03,2021</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First Interim (Realignment based on July – Oct 31 Activity): December 15, 2021</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 xml:space="preserve">January Governors Release (Projections for 2022-2023):  January 2022 </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 xml:space="preserve">Second Interim (Realignment based on Nov 1, 2021– Jan 31, 2022)- March 2022 </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Governors May Revise (Revision to Jan. Gov. Release):  May 2022</w:t>
      </w:r>
    </w:p>
    <w:p w:rsidR="00131236" w:rsidRPr="00131236" w:rsidRDefault="00131236" w:rsidP="00131236">
      <w:pPr>
        <w:pStyle w:val="NoSpacing"/>
        <w:numPr>
          <w:ilvl w:val="0"/>
          <w:numId w:val="3"/>
        </w:numPr>
        <w:rPr>
          <w:rFonts w:ascii="Times New Roman" w:hAnsi="Times New Roman" w:cs="Times New Roman"/>
          <w:sz w:val="24"/>
          <w:szCs w:val="24"/>
        </w:rPr>
      </w:pPr>
      <w:r w:rsidRPr="00131236">
        <w:rPr>
          <w:rFonts w:ascii="Times New Roman" w:hAnsi="Times New Roman" w:cs="Times New Roman"/>
          <w:sz w:val="24"/>
          <w:szCs w:val="24"/>
        </w:rPr>
        <w:t>2022-23 Budget Adoption – June 2022</w:t>
      </w:r>
    </w:p>
    <w:p w:rsidR="00131236" w:rsidRPr="00231984" w:rsidRDefault="00131236" w:rsidP="00131CB6">
      <w:pPr>
        <w:jc w:val="both"/>
        <w:rPr>
          <w:rFonts w:ascii="Times New Roman" w:hAnsi="Times New Roman" w:cs="Times New Roman"/>
          <w:b/>
          <w:sz w:val="28"/>
          <w:szCs w:val="28"/>
          <w:u w:val="single"/>
        </w:rPr>
      </w:pPr>
    </w:p>
    <w:p w:rsidR="00131CB6" w:rsidRPr="00231984" w:rsidRDefault="00EB2B6C" w:rsidP="00131CB6">
      <w:pPr>
        <w:jc w:val="both"/>
        <w:rPr>
          <w:rFonts w:ascii="Times New Roman" w:hAnsi="Times New Roman" w:cs="Times New Roman"/>
          <w:b/>
          <w:sz w:val="28"/>
          <w:szCs w:val="28"/>
          <w:u w:val="single"/>
        </w:rPr>
      </w:pPr>
      <w:r w:rsidRPr="00231984">
        <w:rPr>
          <w:rFonts w:ascii="Times New Roman" w:hAnsi="Times New Roman" w:cs="Times New Roman"/>
          <w:b/>
          <w:sz w:val="28"/>
          <w:szCs w:val="28"/>
          <w:u w:val="single"/>
        </w:rPr>
        <w:t>Adoption Budget</w:t>
      </w:r>
    </w:p>
    <w:p w:rsidR="00231984" w:rsidRDefault="00231984" w:rsidP="00131CB6">
      <w:pPr>
        <w:pStyle w:val="NoSpacing"/>
        <w:jc w:val="both"/>
        <w:rPr>
          <w:rFonts w:ascii="Arial" w:hAnsi="Arial" w:cs="Arial"/>
          <w:color w:val="202124"/>
          <w:shd w:val="clear" w:color="auto" w:fill="FFFFFF"/>
        </w:rPr>
      </w:pPr>
      <w:r w:rsidRPr="00231984">
        <w:rPr>
          <w:rFonts w:ascii="Times New Roman" w:hAnsi="Times New Roman" w:cs="Times New Roman"/>
          <w:sz w:val="24"/>
          <w:szCs w:val="24"/>
        </w:rPr>
        <w:t>Adopted Budget is the plan of financial operation consisting of an estimate of proposed revenue and expenditures for the upcoming fiscal year. School district budgets are adopted based on estimates of State funding. Once the State adopts their budget, school district budgets are subsequently updated</w:t>
      </w:r>
      <w:r>
        <w:rPr>
          <w:rFonts w:ascii="Arial" w:hAnsi="Arial" w:cs="Arial"/>
          <w:color w:val="202124"/>
          <w:shd w:val="clear" w:color="auto" w:fill="FFFFFF"/>
        </w:rPr>
        <w:t>.</w:t>
      </w:r>
    </w:p>
    <w:p w:rsidR="004C43F8" w:rsidRDefault="00231984" w:rsidP="00131CB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31CB6" w:rsidRPr="00231984" w:rsidRDefault="00131CB6" w:rsidP="00131CB6">
      <w:pPr>
        <w:jc w:val="both"/>
        <w:rPr>
          <w:rFonts w:ascii="Times New Roman" w:hAnsi="Times New Roman" w:cs="Times New Roman"/>
          <w:b/>
          <w:sz w:val="28"/>
          <w:szCs w:val="28"/>
          <w:u w:val="single"/>
        </w:rPr>
      </w:pPr>
      <w:r w:rsidRPr="00231984">
        <w:rPr>
          <w:rFonts w:ascii="Times New Roman" w:hAnsi="Times New Roman" w:cs="Times New Roman"/>
          <w:b/>
          <w:sz w:val="28"/>
          <w:szCs w:val="28"/>
          <w:u w:val="single"/>
        </w:rPr>
        <w:t xml:space="preserve">Revenues </w:t>
      </w:r>
    </w:p>
    <w:p w:rsidR="00D33143" w:rsidRDefault="00A973CB" w:rsidP="00D116A5">
      <w:pPr>
        <w:jc w:val="both"/>
        <w:rPr>
          <w:rFonts w:ascii="Times New Roman" w:hAnsi="Times New Roman" w:cs="Times New Roman"/>
          <w:sz w:val="24"/>
          <w:szCs w:val="24"/>
        </w:rPr>
      </w:pPr>
      <w:r>
        <w:rPr>
          <w:rFonts w:ascii="Times New Roman" w:hAnsi="Times New Roman" w:cs="Times New Roman"/>
          <w:sz w:val="24"/>
          <w:szCs w:val="24"/>
        </w:rPr>
        <w:t>AIMS K12 is primarily funded by State and Federal revenues,</w:t>
      </w:r>
      <w:r w:rsidR="004E5E3C">
        <w:rPr>
          <w:rFonts w:ascii="Times New Roman" w:hAnsi="Times New Roman" w:cs="Times New Roman"/>
          <w:sz w:val="24"/>
          <w:szCs w:val="24"/>
        </w:rPr>
        <w:t xml:space="preserve"> approximately</w:t>
      </w:r>
      <w:r>
        <w:rPr>
          <w:rFonts w:ascii="Times New Roman" w:hAnsi="Times New Roman" w:cs="Times New Roman"/>
          <w:sz w:val="24"/>
          <w:szCs w:val="24"/>
        </w:rPr>
        <w:t xml:space="preserve"> </w:t>
      </w:r>
      <w:r w:rsidR="004E5E3C">
        <w:rPr>
          <w:rFonts w:ascii="Times New Roman" w:hAnsi="Times New Roman" w:cs="Times New Roman"/>
          <w:sz w:val="24"/>
          <w:szCs w:val="24"/>
        </w:rPr>
        <w:t>2</w:t>
      </w:r>
      <w:r w:rsidRPr="00577A20">
        <w:rPr>
          <w:rFonts w:ascii="Times New Roman" w:hAnsi="Times New Roman" w:cs="Times New Roman"/>
          <w:sz w:val="24"/>
          <w:szCs w:val="24"/>
        </w:rPr>
        <w:t>%</w:t>
      </w:r>
      <w:r>
        <w:rPr>
          <w:rFonts w:ascii="Times New Roman" w:hAnsi="Times New Roman" w:cs="Times New Roman"/>
          <w:sz w:val="24"/>
          <w:szCs w:val="24"/>
        </w:rPr>
        <w:t xml:space="preserve"> of revenues are based on grants and/or local revenues. </w:t>
      </w:r>
      <w:r w:rsidR="00D33143">
        <w:rPr>
          <w:rFonts w:ascii="Times New Roman" w:hAnsi="Times New Roman" w:cs="Times New Roman"/>
          <w:sz w:val="24"/>
          <w:szCs w:val="24"/>
        </w:rPr>
        <w:t xml:space="preserve">The FCMAT </w:t>
      </w:r>
      <w:r w:rsidR="00DA08E8">
        <w:rPr>
          <w:rFonts w:ascii="Times New Roman" w:hAnsi="Times New Roman" w:cs="Times New Roman"/>
          <w:sz w:val="24"/>
          <w:szCs w:val="24"/>
        </w:rPr>
        <w:t xml:space="preserve"> 2021-22 </w:t>
      </w:r>
      <w:r w:rsidR="00C978B0">
        <w:rPr>
          <w:rFonts w:ascii="Times New Roman" w:hAnsi="Times New Roman" w:cs="Times New Roman"/>
          <w:sz w:val="24"/>
          <w:szCs w:val="24"/>
        </w:rPr>
        <w:t>May Revise Local Control Funding Formula (LCFF)</w:t>
      </w:r>
      <w:r w:rsidR="00DA08E8">
        <w:rPr>
          <w:rFonts w:ascii="Times New Roman" w:hAnsi="Times New Roman" w:cs="Times New Roman"/>
          <w:sz w:val="24"/>
          <w:szCs w:val="24"/>
        </w:rPr>
        <w:t xml:space="preserve"> Calculator</w:t>
      </w:r>
      <w:r w:rsidR="00D116A5">
        <w:rPr>
          <w:rFonts w:ascii="Times New Roman" w:hAnsi="Times New Roman" w:cs="Times New Roman"/>
          <w:sz w:val="24"/>
          <w:szCs w:val="24"/>
        </w:rPr>
        <w:t xml:space="preserve"> </w:t>
      </w:r>
      <w:r w:rsidR="0022095C">
        <w:rPr>
          <w:rFonts w:ascii="Times New Roman" w:hAnsi="Times New Roman" w:cs="Times New Roman"/>
          <w:sz w:val="24"/>
          <w:szCs w:val="24"/>
        </w:rPr>
        <w:t>re</w:t>
      </w:r>
      <w:r w:rsidR="00C978B0">
        <w:rPr>
          <w:rFonts w:ascii="Times New Roman" w:hAnsi="Times New Roman" w:cs="Times New Roman"/>
          <w:sz w:val="24"/>
          <w:szCs w:val="24"/>
        </w:rPr>
        <w:t>flected a</w:t>
      </w:r>
      <w:r w:rsidR="00912C67">
        <w:rPr>
          <w:rFonts w:ascii="Times New Roman" w:hAnsi="Times New Roman" w:cs="Times New Roman"/>
          <w:sz w:val="24"/>
          <w:szCs w:val="24"/>
        </w:rPr>
        <w:t xml:space="preserve">n </w:t>
      </w:r>
      <w:r w:rsidR="00C978B0">
        <w:rPr>
          <w:rFonts w:ascii="Times New Roman" w:hAnsi="Times New Roman" w:cs="Times New Roman"/>
          <w:sz w:val="24"/>
          <w:szCs w:val="24"/>
        </w:rPr>
        <w:t>increase in the State allocated funds.</w:t>
      </w:r>
      <w:r>
        <w:rPr>
          <w:rFonts w:ascii="Times New Roman" w:hAnsi="Times New Roman" w:cs="Times New Roman"/>
          <w:sz w:val="24"/>
          <w:szCs w:val="24"/>
        </w:rPr>
        <w:t xml:space="preserve"> </w:t>
      </w:r>
      <w:r w:rsidR="00D623C2">
        <w:rPr>
          <w:rFonts w:ascii="Times New Roman" w:hAnsi="Times New Roman" w:cs="Times New Roman"/>
          <w:sz w:val="24"/>
          <w:szCs w:val="24"/>
        </w:rPr>
        <w:t>A</w:t>
      </w:r>
      <w:r w:rsidR="00C978B0">
        <w:rPr>
          <w:rFonts w:ascii="Times New Roman" w:hAnsi="Times New Roman" w:cs="Times New Roman"/>
          <w:sz w:val="24"/>
          <w:szCs w:val="24"/>
        </w:rPr>
        <w:t xml:space="preserve">ll schools saw a </w:t>
      </w:r>
      <w:r w:rsidR="00912C67">
        <w:rPr>
          <w:rFonts w:ascii="Times New Roman" w:hAnsi="Times New Roman" w:cs="Times New Roman"/>
          <w:sz w:val="24"/>
          <w:szCs w:val="24"/>
        </w:rPr>
        <w:t>between and 4% to 6.7%</w:t>
      </w:r>
      <w:r w:rsidR="00C978B0">
        <w:rPr>
          <w:rFonts w:ascii="Times New Roman" w:hAnsi="Times New Roman" w:cs="Times New Roman"/>
          <w:sz w:val="24"/>
          <w:szCs w:val="24"/>
        </w:rPr>
        <w:t xml:space="preserve"> increase</w:t>
      </w:r>
      <w:r w:rsidR="00912C67">
        <w:rPr>
          <w:rFonts w:ascii="Times New Roman" w:hAnsi="Times New Roman" w:cs="Times New Roman"/>
          <w:sz w:val="24"/>
          <w:szCs w:val="24"/>
        </w:rPr>
        <w:t>, averaging out to a 4.27% increase across the organization.</w:t>
      </w:r>
      <w:r w:rsidR="00C978B0">
        <w:rPr>
          <w:rFonts w:ascii="Times New Roman" w:hAnsi="Times New Roman" w:cs="Times New Roman"/>
          <w:sz w:val="24"/>
          <w:szCs w:val="24"/>
        </w:rPr>
        <w:t xml:space="preserve"> </w:t>
      </w:r>
      <w:r w:rsidR="00D623C2" w:rsidRPr="00D623C2">
        <w:rPr>
          <w:rFonts w:ascii="Times New Roman" w:hAnsi="Times New Roman" w:cs="Times New Roman"/>
          <w:sz w:val="24"/>
          <w:szCs w:val="24"/>
        </w:rPr>
        <w:t>B</w:t>
      </w:r>
      <w:r w:rsidR="00900CD4" w:rsidRPr="00D623C2">
        <w:rPr>
          <w:rFonts w:ascii="Times New Roman" w:hAnsi="Times New Roman" w:cs="Times New Roman"/>
          <w:sz w:val="24"/>
          <w:szCs w:val="24"/>
        </w:rPr>
        <w:t xml:space="preserve">elow highlight the changes </w:t>
      </w:r>
      <w:r w:rsidR="00D33143" w:rsidRPr="00D623C2">
        <w:rPr>
          <w:rFonts w:ascii="Times New Roman" w:hAnsi="Times New Roman" w:cs="Times New Roman"/>
          <w:sz w:val="24"/>
          <w:szCs w:val="24"/>
        </w:rPr>
        <w:t xml:space="preserve">in summary and </w:t>
      </w:r>
      <w:r w:rsidR="00900CD4" w:rsidRPr="00D623C2">
        <w:rPr>
          <w:rFonts w:ascii="Times New Roman" w:hAnsi="Times New Roman" w:cs="Times New Roman"/>
          <w:sz w:val="24"/>
          <w:szCs w:val="24"/>
        </w:rPr>
        <w:t>per school:</w:t>
      </w:r>
    </w:p>
    <w:p w:rsidR="00617C22" w:rsidRDefault="00912C67" w:rsidP="00D116A5">
      <w:pPr>
        <w:jc w:val="both"/>
        <w:rPr>
          <w:rFonts w:ascii="Times New Roman" w:hAnsi="Times New Roman" w:cs="Times New Roman"/>
          <w:sz w:val="24"/>
          <w:szCs w:val="24"/>
        </w:rPr>
      </w:pPr>
      <w:r w:rsidRPr="00912C67">
        <w:drawing>
          <wp:inline distT="0" distB="0" distL="0" distR="0">
            <wp:extent cx="6327775"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444" cy="1783052"/>
                    </a:xfrm>
                    <a:prstGeom prst="rect">
                      <a:avLst/>
                    </a:prstGeom>
                    <a:noFill/>
                    <a:ln>
                      <a:noFill/>
                    </a:ln>
                  </pic:spPr>
                </pic:pic>
              </a:graphicData>
            </a:graphic>
          </wp:inline>
        </w:drawing>
      </w:r>
    </w:p>
    <w:p w:rsidR="00713CF6" w:rsidRDefault="00713CF6" w:rsidP="00D116A5">
      <w:pPr>
        <w:jc w:val="both"/>
        <w:rPr>
          <w:rFonts w:ascii="Times New Roman" w:hAnsi="Times New Roman" w:cs="Times New Roman"/>
          <w:sz w:val="24"/>
          <w:szCs w:val="24"/>
        </w:rPr>
      </w:pPr>
    </w:p>
    <w:p w:rsidR="00617C22" w:rsidRDefault="00617C22" w:rsidP="00D116A5">
      <w:pPr>
        <w:jc w:val="both"/>
        <w:rPr>
          <w:noProof/>
        </w:rPr>
      </w:pPr>
    </w:p>
    <w:p w:rsidR="00912C67" w:rsidRDefault="00912C67" w:rsidP="00D116A5">
      <w:pPr>
        <w:jc w:val="both"/>
        <w:rPr>
          <w:rFonts w:ascii="Times New Roman" w:hAnsi="Times New Roman" w:cs="Times New Roman"/>
          <w:sz w:val="24"/>
          <w:szCs w:val="24"/>
        </w:rPr>
      </w:pPr>
    </w:p>
    <w:p w:rsidR="00912C67" w:rsidRDefault="00912C67" w:rsidP="00D116A5">
      <w:pPr>
        <w:jc w:val="both"/>
        <w:rPr>
          <w:rFonts w:ascii="Times New Roman" w:hAnsi="Times New Roman" w:cs="Times New Roman"/>
          <w:sz w:val="24"/>
          <w:szCs w:val="24"/>
        </w:rPr>
      </w:pPr>
      <w:r w:rsidRPr="00912C67">
        <w:drawing>
          <wp:inline distT="0" distB="0" distL="0" distR="0">
            <wp:extent cx="6067425" cy="184776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9222" cy="1854407"/>
                    </a:xfrm>
                    <a:prstGeom prst="rect">
                      <a:avLst/>
                    </a:prstGeom>
                    <a:noFill/>
                    <a:ln>
                      <a:noFill/>
                    </a:ln>
                  </pic:spPr>
                </pic:pic>
              </a:graphicData>
            </a:graphic>
          </wp:inline>
        </w:drawing>
      </w:r>
    </w:p>
    <w:p w:rsidR="00E46C98" w:rsidRDefault="00E46C98" w:rsidP="00D116A5">
      <w:pPr>
        <w:jc w:val="both"/>
        <w:rPr>
          <w:rFonts w:ascii="Times New Roman" w:hAnsi="Times New Roman" w:cs="Times New Roman"/>
          <w:sz w:val="24"/>
          <w:szCs w:val="24"/>
        </w:rPr>
      </w:pPr>
      <w:bookmarkStart w:id="0" w:name="_Hlk73518056"/>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a calculation</w:t>
      </w:r>
      <w:r w:rsidR="00E77BAF">
        <w:rPr>
          <w:rFonts w:ascii="Times New Roman" w:hAnsi="Times New Roman" w:cs="Times New Roman"/>
          <w:sz w:val="24"/>
          <w:szCs w:val="24"/>
        </w:rPr>
        <w:t xml:space="preserve"> from the 2021-22 May Revise for </w:t>
      </w:r>
      <w:r>
        <w:rPr>
          <w:rFonts w:ascii="Times New Roman" w:hAnsi="Times New Roman" w:cs="Times New Roman"/>
          <w:sz w:val="24"/>
          <w:szCs w:val="24"/>
        </w:rPr>
        <w:t>AIPCS</w:t>
      </w:r>
    </w:p>
    <w:bookmarkEnd w:id="0"/>
    <w:p w:rsidR="00E46C98" w:rsidRDefault="00E46C98" w:rsidP="00D116A5">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w:t>
      </w:r>
      <w:r w:rsidR="005849BA">
        <w:rPr>
          <w:rFonts w:ascii="Times New Roman" w:hAnsi="Times New Roman" w:cs="Times New Roman"/>
          <w:sz w:val="24"/>
          <w:szCs w:val="24"/>
        </w:rPr>
        <w:t>The Federal Facility Grant</w:t>
      </w:r>
      <w:r w:rsidR="00912C67">
        <w:rPr>
          <w:rFonts w:ascii="Times New Roman" w:hAnsi="Times New Roman" w:cs="Times New Roman"/>
          <w:sz w:val="24"/>
          <w:szCs w:val="24"/>
        </w:rPr>
        <w:t xml:space="preserve"> for AIPCS</w:t>
      </w:r>
      <w:r w:rsidR="005849BA">
        <w:rPr>
          <w:rFonts w:ascii="Times New Roman" w:hAnsi="Times New Roman" w:cs="Times New Roman"/>
          <w:sz w:val="24"/>
          <w:szCs w:val="24"/>
        </w:rPr>
        <w:t xml:space="preserve"> expired in the 20-21 fiscal year. Adoption reflects the reduction of that revenue.</w:t>
      </w:r>
      <w:r>
        <w:rPr>
          <w:rFonts w:ascii="Times New Roman" w:hAnsi="Times New Roman" w:cs="Times New Roman"/>
          <w:sz w:val="24"/>
          <w:szCs w:val="24"/>
        </w:rPr>
        <w:t xml:space="preserve"> The </w:t>
      </w:r>
      <w:r w:rsidR="005849BA">
        <w:rPr>
          <w:rFonts w:ascii="Times New Roman" w:hAnsi="Times New Roman" w:cs="Times New Roman"/>
          <w:sz w:val="24"/>
          <w:szCs w:val="24"/>
        </w:rPr>
        <w:t>2</w:t>
      </w:r>
      <w:r w:rsidR="005849BA" w:rsidRPr="005849BA">
        <w:rPr>
          <w:rFonts w:ascii="Times New Roman" w:hAnsi="Times New Roman" w:cs="Times New Roman"/>
          <w:sz w:val="24"/>
          <w:szCs w:val="24"/>
          <w:vertAlign w:val="superscript"/>
        </w:rPr>
        <w:t>nd</w:t>
      </w:r>
      <w:r w:rsidR="005849BA">
        <w:rPr>
          <w:rFonts w:ascii="Times New Roman" w:hAnsi="Times New Roman" w:cs="Times New Roman"/>
          <w:sz w:val="24"/>
          <w:szCs w:val="24"/>
        </w:rPr>
        <w:t xml:space="preserve"> Round of </w:t>
      </w:r>
      <w:r>
        <w:rPr>
          <w:rFonts w:ascii="Times New Roman" w:hAnsi="Times New Roman" w:cs="Times New Roman"/>
          <w:sz w:val="24"/>
          <w:szCs w:val="24"/>
        </w:rPr>
        <w:t xml:space="preserve">NEW ESSER </w:t>
      </w:r>
      <w:r w:rsidR="00E77BAF">
        <w:rPr>
          <w:rFonts w:ascii="Times New Roman" w:hAnsi="Times New Roman" w:cs="Times New Roman"/>
          <w:sz w:val="24"/>
          <w:szCs w:val="24"/>
        </w:rPr>
        <w:t>funding</w:t>
      </w:r>
      <w:r>
        <w:rPr>
          <w:rFonts w:ascii="Times New Roman" w:hAnsi="Times New Roman" w:cs="Times New Roman"/>
          <w:sz w:val="24"/>
          <w:szCs w:val="24"/>
        </w:rPr>
        <w:t xml:space="preserve"> </w:t>
      </w:r>
      <w:r w:rsidR="005849BA">
        <w:rPr>
          <w:rFonts w:ascii="Times New Roman" w:hAnsi="Times New Roman" w:cs="Times New Roman"/>
          <w:sz w:val="24"/>
          <w:szCs w:val="24"/>
        </w:rPr>
        <w:t xml:space="preserve">in the amount </w:t>
      </w:r>
      <w:r w:rsidR="004C43F8">
        <w:rPr>
          <w:rFonts w:ascii="Times New Roman" w:hAnsi="Times New Roman" w:cs="Times New Roman"/>
          <w:sz w:val="24"/>
          <w:szCs w:val="24"/>
        </w:rPr>
        <w:t>of $</w:t>
      </w:r>
      <w:r w:rsidR="00E77BAF">
        <w:rPr>
          <w:rFonts w:ascii="Times New Roman" w:hAnsi="Times New Roman" w:cs="Times New Roman"/>
          <w:sz w:val="24"/>
          <w:szCs w:val="24"/>
        </w:rPr>
        <w:t>151,716</w:t>
      </w:r>
      <w:r w:rsidR="004C43F8">
        <w:rPr>
          <w:rFonts w:ascii="Times New Roman" w:hAnsi="Times New Roman" w:cs="Times New Roman"/>
          <w:sz w:val="24"/>
          <w:szCs w:val="24"/>
        </w:rPr>
        <w:t xml:space="preserve"> </w:t>
      </w:r>
      <w:r>
        <w:rPr>
          <w:rFonts w:ascii="Times New Roman" w:hAnsi="Times New Roman" w:cs="Times New Roman"/>
          <w:sz w:val="24"/>
          <w:szCs w:val="24"/>
        </w:rPr>
        <w:t xml:space="preserve">offset the reduction of </w:t>
      </w:r>
      <w:r w:rsidR="005849BA">
        <w:rPr>
          <w:rFonts w:ascii="Times New Roman" w:hAnsi="Times New Roman" w:cs="Times New Roman"/>
          <w:sz w:val="24"/>
          <w:szCs w:val="24"/>
        </w:rPr>
        <w:t xml:space="preserve">the Facility Grant </w:t>
      </w:r>
      <w:r>
        <w:rPr>
          <w:rFonts w:ascii="Times New Roman" w:hAnsi="Times New Roman" w:cs="Times New Roman"/>
          <w:sz w:val="24"/>
          <w:szCs w:val="24"/>
        </w:rPr>
        <w:t>funding.</w:t>
      </w:r>
    </w:p>
    <w:p w:rsidR="00A57F8B" w:rsidRDefault="00A57F8B" w:rsidP="00A57F8B">
      <w:pPr>
        <w:jc w:val="both"/>
        <w:rPr>
          <w:rFonts w:ascii="Times New Roman" w:hAnsi="Times New Roman" w:cs="Times New Roman"/>
          <w:sz w:val="24"/>
          <w:szCs w:val="24"/>
        </w:rPr>
      </w:pPr>
      <w:bookmarkStart w:id="1" w:name="_Hlk73519630"/>
      <w:r>
        <w:rPr>
          <w:rFonts w:ascii="Times New Roman" w:hAnsi="Times New Roman" w:cs="Times New Roman"/>
          <w:b/>
          <w:sz w:val="24"/>
          <w:szCs w:val="24"/>
        </w:rPr>
        <w:t>OTHER STATE</w:t>
      </w:r>
      <w:r w:rsidRPr="004C43F8">
        <w:rPr>
          <w:rFonts w:ascii="Times New Roman" w:hAnsi="Times New Roman" w:cs="Times New Roman"/>
          <w:b/>
          <w:sz w:val="24"/>
          <w:szCs w:val="24"/>
        </w:rPr>
        <w:t xml:space="preserve"> </w:t>
      </w:r>
      <w:r>
        <w:rPr>
          <w:rFonts w:ascii="Times New Roman" w:hAnsi="Times New Roman" w:cs="Times New Roman"/>
          <w:b/>
          <w:sz w:val="24"/>
          <w:szCs w:val="24"/>
        </w:rPr>
        <w:t>REVENUE</w:t>
      </w:r>
      <w:r w:rsidRPr="004C43F8">
        <w:rPr>
          <w:rFonts w:ascii="Times New Roman" w:hAnsi="Times New Roman" w:cs="Times New Roman"/>
          <w:b/>
          <w:sz w:val="24"/>
          <w:szCs w:val="24"/>
        </w:rPr>
        <w:t>:</w:t>
      </w:r>
      <w:r>
        <w:rPr>
          <w:rFonts w:ascii="Times New Roman" w:hAnsi="Times New Roman" w:cs="Times New Roman"/>
          <w:b/>
          <w:sz w:val="24"/>
          <w:szCs w:val="24"/>
        </w:rPr>
        <w:t xml:space="preserve">  </w:t>
      </w:r>
      <w:r w:rsidRPr="005849BA">
        <w:rPr>
          <w:rFonts w:ascii="Times New Roman" w:hAnsi="Times New Roman" w:cs="Times New Roman"/>
          <w:sz w:val="24"/>
          <w:szCs w:val="24"/>
        </w:rPr>
        <w:t xml:space="preserve">The </w:t>
      </w:r>
      <w:r>
        <w:rPr>
          <w:rFonts w:ascii="Times New Roman" w:hAnsi="Times New Roman" w:cs="Times New Roman"/>
          <w:sz w:val="24"/>
          <w:szCs w:val="24"/>
        </w:rPr>
        <w:t xml:space="preserve">In-Person and Expanded Learning Opportunity Grants are </w:t>
      </w:r>
      <w:r w:rsidR="00F87FFC">
        <w:rPr>
          <w:rFonts w:ascii="Times New Roman" w:hAnsi="Times New Roman" w:cs="Times New Roman"/>
          <w:sz w:val="24"/>
          <w:szCs w:val="24"/>
        </w:rPr>
        <w:t>reflected</w:t>
      </w:r>
      <w:r>
        <w:rPr>
          <w:rFonts w:ascii="Times New Roman" w:hAnsi="Times New Roman" w:cs="Times New Roman"/>
          <w:sz w:val="24"/>
          <w:szCs w:val="24"/>
        </w:rPr>
        <w:t xml:space="preserve"> as Other State Revenue.</w:t>
      </w:r>
    </w:p>
    <w:p w:rsidR="005849BA" w:rsidRDefault="005849BA" w:rsidP="00D116A5">
      <w:pPr>
        <w:jc w:val="both"/>
        <w:rPr>
          <w:rFonts w:ascii="Times New Roman" w:hAnsi="Times New Roman" w:cs="Times New Roman"/>
          <w:sz w:val="24"/>
          <w:szCs w:val="24"/>
        </w:rPr>
      </w:pPr>
      <w:bookmarkStart w:id="2" w:name="_Hlk73519561"/>
      <w:bookmarkEnd w:id="1"/>
      <w:r w:rsidRPr="004C43F8">
        <w:rPr>
          <w:rFonts w:ascii="Times New Roman" w:hAnsi="Times New Roman" w:cs="Times New Roman"/>
          <w:b/>
          <w:sz w:val="24"/>
          <w:szCs w:val="24"/>
        </w:rPr>
        <w:t>L</w:t>
      </w:r>
      <w:r>
        <w:rPr>
          <w:rFonts w:ascii="Times New Roman" w:hAnsi="Times New Roman" w:cs="Times New Roman"/>
          <w:b/>
          <w:sz w:val="24"/>
          <w:szCs w:val="24"/>
        </w:rPr>
        <w:t>OCAL</w:t>
      </w:r>
      <w:r w:rsidRPr="004C43F8">
        <w:rPr>
          <w:rFonts w:ascii="Times New Roman" w:hAnsi="Times New Roman" w:cs="Times New Roman"/>
          <w:b/>
          <w:sz w:val="24"/>
          <w:szCs w:val="24"/>
        </w:rPr>
        <w:t xml:space="preserve"> </w:t>
      </w:r>
      <w:r>
        <w:rPr>
          <w:rFonts w:ascii="Times New Roman" w:hAnsi="Times New Roman" w:cs="Times New Roman"/>
          <w:b/>
          <w:sz w:val="24"/>
          <w:szCs w:val="24"/>
        </w:rPr>
        <w:t>REVENUE</w:t>
      </w:r>
      <w:r w:rsidRPr="004C43F8">
        <w:rPr>
          <w:rFonts w:ascii="Times New Roman" w:hAnsi="Times New Roman" w:cs="Times New Roman"/>
          <w:b/>
          <w:sz w:val="24"/>
          <w:szCs w:val="24"/>
        </w:rPr>
        <w:t>:</w:t>
      </w:r>
      <w:r>
        <w:rPr>
          <w:rFonts w:ascii="Times New Roman" w:hAnsi="Times New Roman" w:cs="Times New Roman"/>
          <w:b/>
          <w:sz w:val="24"/>
          <w:szCs w:val="24"/>
        </w:rPr>
        <w:t xml:space="preserve">  </w:t>
      </w:r>
      <w:r w:rsidRPr="005849BA">
        <w:rPr>
          <w:rFonts w:ascii="Times New Roman" w:hAnsi="Times New Roman" w:cs="Times New Roman"/>
          <w:sz w:val="24"/>
          <w:szCs w:val="24"/>
        </w:rPr>
        <w:t>The Roberto Trust Fund</w:t>
      </w:r>
      <w:r>
        <w:rPr>
          <w:rFonts w:ascii="Times New Roman" w:hAnsi="Times New Roman" w:cs="Times New Roman"/>
          <w:b/>
          <w:sz w:val="24"/>
          <w:szCs w:val="24"/>
        </w:rPr>
        <w:t xml:space="preserve"> </w:t>
      </w:r>
      <w:r>
        <w:rPr>
          <w:rFonts w:ascii="Times New Roman" w:hAnsi="Times New Roman" w:cs="Times New Roman"/>
          <w:sz w:val="24"/>
          <w:szCs w:val="24"/>
        </w:rPr>
        <w:t>was accounted for in 20-21 and the revenue receipt was reduced during Adoption.</w:t>
      </w:r>
    </w:p>
    <w:bookmarkEnd w:id="2"/>
    <w:p w:rsidR="00617C22" w:rsidRDefault="00E46C98" w:rsidP="00D116A5">
      <w:pPr>
        <w:jc w:val="both"/>
        <w:rPr>
          <w:rFonts w:ascii="Times New Roman" w:hAnsi="Times New Roman" w:cs="Times New Roman"/>
          <w:sz w:val="24"/>
          <w:szCs w:val="24"/>
        </w:rPr>
      </w:pPr>
      <w:r w:rsidRPr="00E46C98">
        <w:rPr>
          <w:rFonts w:ascii="Times New Roman" w:hAnsi="Times New Roman" w:cs="Times New Roman"/>
          <w:sz w:val="24"/>
          <w:szCs w:val="24"/>
        </w:rPr>
        <w:t xml:space="preserve"> </w:t>
      </w:r>
      <w:r w:rsidR="00912C67" w:rsidRPr="00912C67">
        <w:drawing>
          <wp:inline distT="0" distB="0" distL="0" distR="0">
            <wp:extent cx="6134100" cy="18001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4086" cy="1808971"/>
                    </a:xfrm>
                    <a:prstGeom prst="rect">
                      <a:avLst/>
                    </a:prstGeom>
                    <a:noFill/>
                    <a:ln>
                      <a:noFill/>
                    </a:ln>
                  </pic:spPr>
                </pic:pic>
              </a:graphicData>
            </a:graphic>
          </wp:inline>
        </w:drawing>
      </w:r>
    </w:p>
    <w:p w:rsidR="004C683A" w:rsidRDefault="005849BA" w:rsidP="00D116A5">
      <w:pPr>
        <w:jc w:val="both"/>
        <w:rPr>
          <w:rFonts w:ascii="Times New Roman" w:hAnsi="Times New Roman" w:cs="Times New Roman"/>
          <w:sz w:val="24"/>
          <w:szCs w:val="24"/>
        </w:rPr>
      </w:pPr>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a calculation from the 2021-22 May Revise for AIPCS II</w:t>
      </w:r>
    </w:p>
    <w:p w:rsidR="00E46C98" w:rsidRDefault="00E46C98" w:rsidP="00D116A5">
      <w:pPr>
        <w:jc w:val="both"/>
        <w:rPr>
          <w:rFonts w:ascii="Times New Roman" w:hAnsi="Times New Roman" w:cs="Times New Roman"/>
          <w:sz w:val="24"/>
          <w:szCs w:val="24"/>
        </w:rPr>
      </w:pPr>
      <w:bookmarkStart w:id="3" w:name="_Hlk64475469"/>
      <w:r w:rsidRPr="004C43F8">
        <w:rPr>
          <w:rFonts w:ascii="Times New Roman" w:hAnsi="Times New Roman" w:cs="Times New Roman"/>
          <w:b/>
          <w:sz w:val="24"/>
          <w:szCs w:val="24"/>
        </w:rPr>
        <w:t>FEDERAL REVENUES:</w:t>
      </w:r>
      <w:r>
        <w:rPr>
          <w:rFonts w:ascii="Times New Roman" w:hAnsi="Times New Roman" w:cs="Times New Roman"/>
          <w:sz w:val="24"/>
          <w:szCs w:val="24"/>
        </w:rPr>
        <w:t xml:space="preserve"> </w:t>
      </w:r>
      <w:r w:rsidR="005849BA">
        <w:rPr>
          <w:rFonts w:ascii="Times New Roman" w:hAnsi="Times New Roman" w:cs="Times New Roman"/>
          <w:sz w:val="24"/>
          <w:szCs w:val="24"/>
        </w:rPr>
        <w:t xml:space="preserve">The </w:t>
      </w:r>
      <w:r w:rsidR="00912C67">
        <w:rPr>
          <w:rFonts w:ascii="Times New Roman" w:hAnsi="Times New Roman" w:cs="Times New Roman"/>
          <w:sz w:val="24"/>
          <w:szCs w:val="24"/>
        </w:rPr>
        <w:t>variance reflects the</w:t>
      </w:r>
      <w:r w:rsidR="005849BA">
        <w:rPr>
          <w:rFonts w:ascii="Times New Roman" w:hAnsi="Times New Roman" w:cs="Times New Roman"/>
          <w:sz w:val="24"/>
          <w:szCs w:val="24"/>
        </w:rPr>
        <w:t xml:space="preserve"> Title allocation adjustments</w:t>
      </w:r>
      <w:r>
        <w:rPr>
          <w:rFonts w:ascii="Times New Roman" w:hAnsi="Times New Roman" w:cs="Times New Roman"/>
          <w:sz w:val="24"/>
          <w:szCs w:val="24"/>
        </w:rPr>
        <w:t>.</w:t>
      </w:r>
    </w:p>
    <w:p w:rsidR="00A57F8B" w:rsidRDefault="00A57F8B" w:rsidP="00A57F8B">
      <w:pPr>
        <w:jc w:val="both"/>
        <w:rPr>
          <w:rFonts w:ascii="Times New Roman" w:hAnsi="Times New Roman" w:cs="Times New Roman"/>
          <w:sz w:val="24"/>
          <w:szCs w:val="24"/>
        </w:rPr>
      </w:pPr>
      <w:r>
        <w:rPr>
          <w:rFonts w:ascii="Times New Roman" w:hAnsi="Times New Roman" w:cs="Times New Roman"/>
          <w:b/>
          <w:sz w:val="24"/>
          <w:szCs w:val="24"/>
        </w:rPr>
        <w:t>OTHER STATE</w:t>
      </w:r>
      <w:r w:rsidRPr="004C43F8">
        <w:rPr>
          <w:rFonts w:ascii="Times New Roman" w:hAnsi="Times New Roman" w:cs="Times New Roman"/>
          <w:b/>
          <w:sz w:val="24"/>
          <w:szCs w:val="24"/>
        </w:rPr>
        <w:t xml:space="preserve"> </w:t>
      </w:r>
      <w:r>
        <w:rPr>
          <w:rFonts w:ascii="Times New Roman" w:hAnsi="Times New Roman" w:cs="Times New Roman"/>
          <w:b/>
          <w:sz w:val="24"/>
          <w:szCs w:val="24"/>
        </w:rPr>
        <w:t>REVENUE</w:t>
      </w:r>
      <w:r w:rsidRPr="004C43F8">
        <w:rPr>
          <w:rFonts w:ascii="Times New Roman" w:hAnsi="Times New Roman" w:cs="Times New Roman"/>
          <w:b/>
          <w:sz w:val="24"/>
          <w:szCs w:val="24"/>
        </w:rPr>
        <w:t>:</w:t>
      </w:r>
      <w:r>
        <w:rPr>
          <w:rFonts w:ascii="Times New Roman" w:hAnsi="Times New Roman" w:cs="Times New Roman"/>
          <w:b/>
          <w:sz w:val="24"/>
          <w:szCs w:val="24"/>
        </w:rPr>
        <w:t xml:space="preserve">  </w:t>
      </w:r>
      <w:r w:rsidRPr="005849BA">
        <w:rPr>
          <w:rFonts w:ascii="Times New Roman" w:hAnsi="Times New Roman" w:cs="Times New Roman"/>
          <w:sz w:val="24"/>
          <w:szCs w:val="24"/>
        </w:rPr>
        <w:t xml:space="preserve">The </w:t>
      </w:r>
      <w:r>
        <w:rPr>
          <w:rFonts w:ascii="Times New Roman" w:hAnsi="Times New Roman" w:cs="Times New Roman"/>
          <w:sz w:val="24"/>
          <w:szCs w:val="24"/>
        </w:rPr>
        <w:t xml:space="preserve">In-Person and Expanded Learning Opportunity Grants are </w:t>
      </w:r>
      <w:r w:rsidR="00F87FFC">
        <w:rPr>
          <w:rFonts w:ascii="Times New Roman" w:hAnsi="Times New Roman" w:cs="Times New Roman"/>
          <w:sz w:val="24"/>
          <w:szCs w:val="24"/>
        </w:rPr>
        <w:t>reflected</w:t>
      </w:r>
      <w:r>
        <w:rPr>
          <w:rFonts w:ascii="Times New Roman" w:hAnsi="Times New Roman" w:cs="Times New Roman"/>
          <w:sz w:val="24"/>
          <w:szCs w:val="24"/>
        </w:rPr>
        <w:t xml:space="preserve"> as Other State Revenue.</w:t>
      </w:r>
    </w:p>
    <w:p w:rsidR="005849BA" w:rsidRDefault="005849BA" w:rsidP="005849BA">
      <w:pPr>
        <w:jc w:val="both"/>
        <w:rPr>
          <w:rFonts w:ascii="Times New Roman" w:hAnsi="Times New Roman" w:cs="Times New Roman"/>
          <w:sz w:val="24"/>
          <w:szCs w:val="24"/>
        </w:rPr>
      </w:pPr>
      <w:r w:rsidRPr="004C43F8">
        <w:rPr>
          <w:rFonts w:ascii="Times New Roman" w:hAnsi="Times New Roman" w:cs="Times New Roman"/>
          <w:b/>
          <w:sz w:val="24"/>
          <w:szCs w:val="24"/>
        </w:rPr>
        <w:t>L</w:t>
      </w:r>
      <w:r>
        <w:rPr>
          <w:rFonts w:ascii="Times New Roman" w:hAnsi="Times New Roman" w:cs="Times New Roman"/>
          <w:b/>
          <w:sz w:val="24"/>
          <w:szCs w:val="24"/>
        </w:rPr>
        <w:t>OCAL</w:t>
      </w:r>
      <w:r w:rsidRPr="004C43F8">
        <w:rPr>
          <w:rFonts w:ascii="Times New Roman" w:hAnsi="Times New Roman" w:cs="Times New Roman"/>
          <w:b/>
          <w:sz w:val="24"/>
          <w:szCs w:val="24"/>
        </w:rPr>
        <w:t xml:space="preserve"> </w:t>
      </w:r>
      <w:r>
        <w:rPr>
          <w:rFonts w:ascii="Times New Roman" w:hAnsi="Times New Roman" w:cs="Times New Roman"/>
          <w:b/>
          <w:sz w:val="24"/>
          <w:szCs w:val="24"/>
        </w:rPr>
        <w:t>REVENUE</w:t>
      </w:r>
      <w:r w:rsidRPr="009D5DA5">
        <w:rPr>
          <w:rFonts w:ascii="Times New Roman" w:hAnsi="Times New Roman" w:cs="Times New Roman"/>
          <w:b/>
          <w:sz w:val="24"/>
          <w:szCs w:val="24"/>
        </w:rPr>
        <w:t xml:space="preserve">:  </w:t>
      </w:r>
      <w:r w:rsidR="009D5DA5" w:rsidRPr="009D5DA5">
        <w:rPr>
          <w:rFonts w:ascii="Times New Roman" w:hAnsi="Times New Roman" w:cs="Times New Roman"/>
          <w:sz w:val="24"/>
          <w:szCs w:val="24"/>
        </w:rPr>
        <w:t>Realignment of projections</w:t>
      </w:r>
    </w:p>
    <w:p w:rsidR="00912C67" w:rsidRDefault="00912C67" w:rsidP="005849BA">
      <w:pPr>
        <w:jc w:val="both"/>
        <w:rPr>
          <w:rFonts w:ascii="Times New Roman" w:hAnsi="Times New Roman" w:cs="Times New Roman"/>
          <w:sz w:val="24"/>
          <w:szCs w:val="24"/>
          <w:highlight w:val="yellow"/>
        </w:rPr>
      </w:pPr>
    </w:p>
    <w:p w:rsidR="00912C67" w:rsidRDefault="00912C67" w:rsidP="005849BA">
      <w:pPr>
        <w:jc w:val="both"/>
        <w:rPr>
          <w:rFonts w:ascii="Times New Roman" w:hAnsi="Times New Roman" w:cs="Times New Roman"/>
          <w:sz w:val="24"/>
          <w:szCs w:val="24"/>
          <w:highlight w:val="yellow"/>
        </w:rPr>
      </w:pPr>
    </w:p>
    <w:p w:rsidR="00A57F8B" w:rsidRDefault="00A57F8B" w:rsidP="005849BA">
      <w:pPr>
        <w:jc w:val="both"/>
        <w:rPr>
          <w:rFonts w:ascii="Times New Roman" w:hAnsi="Times New Roman" w:cs="Times New Roman"/>
          <w:sz w:val="24"/>
          <w:szCs w:val="24"/>
        </w:rPr>
      </w:pPr>
    </w:p>
    <w:bookmarkEnd w:id="3"/>
    <w:p w:rsidR="00617C22" w:rsidRDefault="00912C67" w:rsidP="00D116A5">
      <w:pPr>
        <w:jc w:val="both"/>
        <w:rPr>
          <w:rFonts w:ascii="Times New Roman" w:hAnsi="Times New Roman" w:cs="Times New Roman"/>
          <w:sz w:val="24"/>
          <w:szCs w:val="24"/>
        </w:rPr>
      </w:pPr>
      <w:r w:rsidRPr="00912C67">
        <w:drawing>
          <wp:inline distT="0" distB="0" distL="0" distR="0">
            <wp:extent cx="6343650" cy="1781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5527" cy="1781702"/>
                    </a:xfrm>
                    <a:prstGeom prst="rect">
                      <a:avLst/>
                    </a:prstGeom>
                    <a:noFill/>
                    <a:ln>
                      <a:noFill/>
                    </a:ln>
                  </pic:spPr>
                </pic:pic>
              </a:graphicData>
            </a:graphic>
          </wp:inline>
        </w:drawing>
      </w:r>
    </w:p>
    <w:p w:rsidR="005849BA" w:rsidRDefault="005849BA" w:rsidP="005849BA">
      <w:pPr>
        <w:jc w:val="both"/>
        <w:rPr>
          <w:rFonts w:ascii="Times New Roman" w:hAnsi="Times New Roman" w:cs="Times New Roman"/>
          <w:sz w:val="24"/>
          <w:szCs w:val="24"/>
        </w:rPr>
      </w:pPr>
      <w:r w:rsidRPr="004C43F8">
        <w:rPr>
          <w:rFonts w:ascii="Times New Roman" w:hAnsi="Times New Roman" w:cs="Times New Roman"/>
          <w:b/>
          <w:sz w:val="24"/>
          <w:szCs w:val="24"/>
        </w:rPr>
        <w:t>LCFF SOURCES:</w:t>
      </w:r>
      <w:r>
        <w:rPr>
          <w:rFonts w:ascii="Times New Roman" w:hAnsi="Times New Roman" w:cs="Times New Roman"/>
          <w:sz w:val="24"/>
          <w:szCs w:val="24"/>
        </w:rPr>
        <w:t xml:space="preserve"> Reflects a calculation from the 2021-22 May Revise for AIPHS</w:t>
      </w:r>
    </w:p>
    <w:p w:rsidR="004C43F8" w:rsidRDefault="004C43F8" w:rsidP="004C43F8">
      <w:pPr>
        <w:jc w:val="both"/>
        <w:rPr>
          <w:rFonts w:ascii="Times New Roman" w:hAnsi="Times New Roman" w:cs="Times New Roman"/>
          <w:sz w:val="24"/>
          <w:szCs w:val="24"/>
        </w:rPr>
      </w:pPr>
      <w:r w:rsidRPr="004C43F8">
        <w:rPr>
          <w:rFonts w:ascii="Times New Roman" w:hAnsi="Times New Roman" w:cs="Times New Roman"/>
          <w:b/>
          <w:sz w:val="24"/>
          <w:szCs w:val="24"/>
        </w:rPr>
        <w:t>FEDERAL REVENUES</w:t>
      </w:r>
      <w:r w:rsidR="006F73DD" w:rsidRPr="00B925F1">
        <w:rPr>
          <w:rFonts w:ascii="Times New Roman" w:hAnsi="Times New Roman" w:cs="Times New Roman"/>
          <w:b/>
          <w:sz w:val="24"/>
          <w:szCs w:val="24"/>
        </w:rPr>
        <w:t xml:space="preserve">: </w:t>
      </w:r>
      <w:r w:rsidR="006F73DD" w:rsidRPr="00B925F1">
        <w:rPr>
          <w:rFonts w:ascii="Times New Roman" w:hAnsi="Times New Roman" w:cs="Times New Roman"/>
          <w:sz w:val="24"/>
          <w:szCs w:val="24"/>
        </w:rPr>
        <w:t>Decreased</w:t>
      </w:r>
      <w:r w:rsidR="006F73DD" w:rsidRPr="00B925F1">
        <w:rPr>
          <w:rFonts w:ascii="Times New Roman" w:hAnsi="Times New Roman" w:cs="Times New Roman"/>
          <w:b/>
          <w:sz w:val="24"/>
          <w:szCs w:val="24"/>
        </w:rPr>
        <w:t xml:space="preserve"> r</w:t>
      </w:r>
      <w:r w:rsidRPr="00B925F1">
        <w:rPr>
          <w:rFonts w:ascii="Times New Roman" w:hAnsi="Times New Roman" w:cs="Times New Roman"/>
          <w:sz w:val="24"/>
          <w:szCs w:val="24"/>
        </w:rPr>
        <w:t xml:space="preserve">evenues for </w:t>
      </w:r>
      <w:r w:rsidR="006F73DD" w:rsidRPr="00B925F1">
        <w:rPr>
          <w:rFonts w:ascii="Times New Roman" w:hAnsi="Times New Roman" w:cs="Times New Roman"/>
          <w:sz w:val="24"/>
          <w:szCs w:val="24"/>
        </w:rPr>
        <w:t>federal</w:t>
      </w:r>
      <w:r w:rsidRPr="00B925F1">
        <w:rPr>
          <w:rFonts w:ascii="Times New Roman" w:hAnsi="Times New Roman" w:cs="Times New Roman"/>
          <w:sz w:val="24"/>
          <w:szCs w:val="24"/>
        </w:rPr>
        <w:t xml:space="preserve"> funding </w:t>
      </w:r>
      <w:r w:rsidR="006F73DD" w:rsidRPr="00B925F1">
        <w:rPr>
          <w:rFonts w:ascii="Times New Roman" w:hAnsi="Times New Roman" w:cs="Times New Roman"/>
          <w:sz w:val="24"/>
          <w:szCs w:val="24"/>
        </w:rPr>
        <w:t xml:space="preserve">reflect the removal of the </w:t>
      </w:r>
      <w:r w:rsidR="00B925F1" w:rsidRPr="00B925F1">
        <w:rPr>
          <w:rFonts w:ascii="Times New Roman" w:hAnsi="Times New Roman" w:cs="Times New Roman"/>
          <w:sz w:val="24"/>
          <w:szCs w:val="24"/>
        </w:rPr>
        <w:t xml:space="preserve">Learning Mitigation Loss </w:t>
      </w:r>
      <w:r w:rsidR="006F73DD" w:rsidRPr="00B925F1">
        <w:rPr>
          <w:rFonts w:ascii="Times New Roman" w:hAnsi="Times New Roman" w:cs="Times New Roman"/>
          <w:sz w:val="24"/>
          <w:szCs w:val="24"/>
        </w:rPr>
        <w:t xml:space="preserve">and GEER funding that were fully expensed during the 20-21 fiscal year.  </w:t>
      </w:r>
    </w:p>
    <w:p w:rsidR="00A57F8B" w:rsidRDefault="00A57F8B" w:rsidP="00A57F8B">
      <w:pPr>
        <w:jc w:val="both"/>
        <w:rPr>
          <w:rFonts w:ascii="Times New Roman" w:hAnsi="Times New Roman" w:cs="Times New Roman"/>
          <w:sz w:val="24"/>
          <w:szCs w:val="24"/>
        </w:rPr>
      </w:pPr>
      <w:r>
        <w:rPr>
          <w:rFonts w:ascii="Times New Roman" w:hAnsi="Times New Roman" w:cs="Times New Roman"/>
          <w:b/>
          <w:sz w:val="24"/>
          <w:szCs w:val="24"/>
        </w:rPr>
        <w:t>OTHER STATE</w:t>
      </w:r>
      <w:r w:rsidRPr="004C43F8">
        <w:rPr>
          <w:rFonts w:ascii="Times New Roman" w:hAnsi="Times New Roman" w:cs="Times New Roman"/>
          <w:b/>
          <w:sz w:val="24"/>
          <w:szCs w:val="24"/>
        </w:rPr>
        <w:t xml:space="preserve"> </w:t>
      </w:r>
      <w:r>
        <w:rPr>
          <w:rFonts w:ascii="Times New Roman" w:hAnsi="Times New Roman" w:cs="Times New Roman"/>
          <w:b/>
          <w:sz w:val="24"/>
          <w:szCs w:val="24"/>
        </w:rPr>
        <w:t>REVENUE</w:t>
      </w:r>
      <w:r w:rsidRPr="004C43F8">
        <w:rPr>
          <w:rFonts w:ascii="Times New Roman" w:hAnsi="Times New Roman" w:cs="Times New Roman"/>
          <w:b/>
          <w:sz w:val="24"/>
          <w:szCs w:val="24"/>
        </w:rPr>
        <w:t>:</w:t>
      </w:r>
      <w:r>
        <w:rPr>
          <w:rFonts w:ascii="Times New Roman" w:hAnsi="Times New Roman" w:cs="Times New Roman"/>
          <w:b/>
          <w:sz w:val="24"/>
          <w:szCs w:val="24"/>
        </w:rPr>
        <w:t xml:space="preserve">  </w:t>
      </w:r>
      <w:r w:rsidRPr="005849BA">
        <w:rPr>
          <w:rFonts w:ascii="Times New Roman" w:hAnsi="Times New Roman" w:cs="Times New Roman"/>
          <w:sz w:val="24"/>
          <w:szCs w:val="24"/>
        </w:rPr>
        <w:t xml:space="preserve">The </w:t>
      </w:r>
      <w:r>
        <w:rPr>
          <w:rFonts w:ascii="Times New Roman" w:hAnsi="Times New Roman" w:cs="Times New Roman"/>
          <w:sz w:val="24"/>
          <w:szCs w:val="24"/>
        </w:rPr>
        <w:t xml:space="preserve">In-Person and Expanded Learning Opportunity Grants are </w:t>
      </w:r>
      <w:r w:rsidR="00F87FFC">
        <w:rPr>
          <w:rFonts w:ascii="Times New Roman" w:hAnsi="Times New Roman" w:cs="Times New Roman"/>
          <w:sz w:val="24"/>
          <w:szCs w:val="24"/>
        </w:rPr>
        <w:t xml:space="preserve">reflected </w:t>
      </w:r>
      <w:r>
        <w:rPr>
          <w:rFonts w:ascii="Times New Roman" w:hAnsi="Times New Roman" w:cs="Times New Roman"/>
          <w:sz w:val="24"/>
          <w:szCs w:val="24"/>
        </w:rPr>
        <w:t>as Other State Revenue.</w:t>
      </w:r>
    </w:p>
    <w:p w:rsidR="007A1872" w:rsidRDefault="004C43F8" w:rsidP="007A1872">
      <w:pPr>
        <w:jc w:val="both"/>
        <w:rPr>
          <w:rFonts w:ascii="Times New Roman" w:hAnsi="Times New Roman" w:cs="Times New Roman"/>
          <w:sz w:val="24"/>
          <w:szCs w:val="24"/>
        </w:rPr>
      </w:pPr>
      <w:r w:rsidRPr="004C43F8">
        <w:rPr>
          <w:rFonts w:ascii="Times New Roman" w:hAnsi="Times New Roman" w:cs="Times New Roman"/>
          <w:b/>
          <w:sz w:val="24"/>
          <w:szCs w:val="24"/>
        </w:rPr>
        <w:t>LOCAL REVENUES:</w:t>
      </w:r>
      <w:r>
        <w:rPr>
          <w:rFonts w:ascii="Times New Roman" w:hAnsi="Times New Roman" w:cs="Times New Roman"/>
          <w:sz w:val="24"/>
          <w:szCs w:val="24"/>
        </w:rPr>
        <w:t xml:space="preserve"> </w:t>
      </w:r>
      <w:r w:rsidR="007A1872" w:rsidRPr="005849BA">
        <w:rPr>
          <w:rFonts w:ascii="Times New Roman" w:hAnsi="Times New Roman" w:cs="Times New Roman"/>
          <w:sz w:val="24"/>
          <w:szCs w:val="24"/>
        </w:rPr>
        <w:t>The Roberto Trust Fund</w:t>
      </w:r>
      <w:r w:rsidR="007A1872">
        <w:rPr>
          <w:rFonts w:ascii="Times New Roman" w:hAnsi="Times New Roman" w:cs="Times New Roman"/>
          <w:b/>
          <w:sz w:val="24"/>
          <w:szCs w:val="24"/>
        </w:rPr>
        <w:t xml:space="preserve"> </w:t>
      </w:r>
      <w:r w:rsidR="007A1872">
        <w:rPr>
          <w:rFonts w:ascii="Times New Roman" w:hAnsi="Times New Roman" w:cs="Times New Roman"/>
          <w:sz w:val="24"/>
          <w:szCs w:val="24"/>
        </w:rPr>
        <w:t>was accounted for in 20-21 and the revenue receipt was reduced during Adoption.</w:t>
      </w:r>
    </w:p>
    <w:p w:rsidR="005F15BA" w:rsidRPr="00231984" w:rsidRDefault="00231984" w:rsidP="00231984">
      <w:pPr>
        <w:jc w:val="both"/>
        <w:rPr>
          <w:rFonts w:ascii="Times New Roman" w:hAnsi="Times New Roman" w:cs="Times New Roman"/>
          <w:b/>
          <w:sz w:val="28"/>
          <w:szCs w:val="28"/>
          <w:u w:val="single"/>
        </w:rPr>
      </w:pPr>
      <w:r>
        <w:rPr>
          <w:rFonts w:ascii="Times New Roman" w:hAnsi="Times New Roman" w:cs="Times New Roman"/>
          <w:b/>
          <w:sz w:val="28"/>
          <w:szCs w:val="28"/>
          <w:u w:val="single"/>
        </w:rPr>
        <w:t>Funding Types</w:t>
      </w:r>
      <w:r w:rsidR="00962CAC" w:rsidRPr="00231984">
        <w:rPr>
          <w:rFonts w:ascii="Times New Roman" w:hAnsi="Times New Roman" w:cs="Times New Roman"/>
          <w:b/>
          <w:sz w:val="28"/>
          <w:szCs w:val="28"/>
          <w:u w:val="single"/>
        </w:rPr>
        <w:t>:</w:t>
      </w:r>
    </w:p>
    <w:p w:rsidR="00D623C2" w:rsidRDefault="00D623C2" w:rsidP="005F15BA">
      <w:pPr>
        <w:pStyle w:val="NoSpacing"/>
        <w:rPr>
          <w:b/>
          <w:u w:val="single"/>
        </w:rPr>
      </w:pPr>
    </w:p>
    <w:p w:rsidR="00962CAC" w:rsidRPr="008B309A" w:rsidRDefault="00962CAC" w:rsidP="005F15BA">
      <w:pPr>
        <w:pStyle w:val="NoSpacing"/>
        <w:rPr>
          <w:rFonts w:ascii="Times New Roman" w:hAnsi="Times New Roman" w:cs="Times New Roman"/>
          <w:b/>
        </w:rPr>
      </w:pPr>
      <w:r w:rsidRPr="008B309A">
        <w:rPr>
          <w:rFonts w:ascii="Times New Roman" w:hAnsi="Times New Roman" w:cs="Times New Roman"/>
          <w:b/>
        </w:rPr>
        <w:t>SSO Grant:</w:t>
      </w:r>
    </w:p>
    <w:p w:rsidR="007A1872" w:rsidRPr="00231984" w:rsidRDefault="00962CAC" w:rsidP="005F15BA">
      <w:pPr>
        <w:pStyle w:val="NoSpacing"/>
        <w:rPr>
          <w:rFonts w:ascii="Times New Roman" w:hAnsi="Times New Roman" w:cs="Times New Roman"/>
          <w:sz w:val="24"/>
          <w:szCs w:val="24"/>
        </w:rPr>
      </w:pPr>
      <w:r w:rsidRPr="00231984">
        <w:rPr>
          <w:rFonts w:ascii="Times New Roman" w:hAnsi="Times New Roman" w:cs="Times New Roman"/>
          <w:sz w:val="24"/>
          <w:szCs w:val="24"/>
        </w:rPr>
        <w:t>On September 17, 2020 AIMS K12 was approved to participate in the SSO Food program. This program was designed to ensure that students and families were provided with meals during the pandemic. The State funded prog</w:t>
      </w:r>
      <w:r w:rsidR="00697AA4" w:rsidRPr="00231984">
        <w:rPr>
          <w:rFonts w:ascii="Times New Roman" w:hAnsi="Times New Roman" w:cs="Times New Roman"/>
          <w:sz w:val="24"/>
          <w:szCs w:val="24"/>
        </w:rPr>
        <w:t xml:space="preserve">ram, reimburses full cost of </w:t>
      </w:r>
      <w:r w:rsidRPr="00231984">
        <w:rPr>
          <w:rFonts w:ascii="Times New Roman" w:hAnsi="Times New Roman" w:cs="Times New Roman"/>
          <w:sz w:val="24"/>
          <w:szCs w:val="24"/>
        </w:rPr>
        <w:t xml:space="preserve">meals AIMS K12 </w:t>
      </w:r>
      <w:r w:rsidR="00697AA4" w:rsidRPr="00231984">
        <w:rPr>
          <w:rFonts w:ascii="Times New Roman" w:hAnsi="Times New Roman" w:cs="Times New Roman"/>
          <w:sz w:val="24"/>
          <w:szCs w:val="24"/>
        </w:rPr>
        <w:t>distributes</w:t>
      </w:r>
      <w:r w:rsidRPr="00231984">
        <w:rPr>
          <w:rFonts w:ascii="Times New Roman" w:hAnsi="Times New Roman" w:cs="Times New Roman"/>
          <w:sz w:val="24"/>
          <w:szCs w:val="24"/>
        </w:rPr>
        <w:t xml:space="preserve"> to its students and </w:t>
      </w:r>
      <w:r w:rsidR="00697AA4" w:rsidRPr="00231984">
        <w:rPr>
          <w:rFonts w:ascii="Times New Roman" w:hAnsi="Times New Roman" w:cs="Times New Roman"/>
          <w:sz w:val="24"/>
          <w:szCs w:val="24"/>
        </w:rPr>
        <w:t xml:space="preserve">surrounding </w:t>
      </w:r>
    </w:p>
    <w:p w:rsidR="00962CAC" w:rsidRPr="00231984" w:rsidRDefault="00697AA4" w:rsidP="005F15BA">
      <w:pPr>
        <w:pStyle w:val="NoSpacing"/>
        <w:rPr>
          <w:rFonts w:ascii="Times New Roman" w:hAnsi="Times New Roman" w:cs="Times New Roman"/>
          <w:sz w:val="24"/>
          <w:szCs w:val="24"/>
        </w:rPr>
      </w:pPr>
      <w:r w:rsidRPr="00231984">
        <w:rPr>
          <w:rFonts w:ascii="Times New Roman" w:hAnsi="Times New Roman" w:cs="Times New Roman"/>
          <w:sz w:val="24"/>
          <w:szCs w:val="24"/>
        </w:rPr>
        <w:t>community.</w:t>
      </w:r>
      <w:r w:rsidR="00962CAC" w:rsidRPr="00231984">
        <w:rPr>
          <w:rFonts w:ascii="Times New Roman" w:hAnsi="Times New Roman" w:cs="Times New Roman"/>
          <w:sz w:val="24"/>
          <w:szCs w:val="24"/>
        </w:rPr>
        <w:t xml:space="preserve"> The program differs from the NSLP program as it does not require the same level of </w:t>
      </w:r>
      <w:r w:rsidRPr="00231984">
        <w:rPr>
          <w:rFonts w:ascii="Times New Roman" w:hAnsi="Times New Roman" w:cs="Times New Roman"/>
          <w:sz w:val="24"/>
          <w:szCs w:val="24"/>
        </w:rPr>
        <w:t>record maintenance for reimbursement as this program tracks the meals distributed not the child it is distributed to. The language also allows AIMS to provide meals for any community member under the age of 18. The program allows for full reimbursement of cost.</w:t>
      </w:r>
    </w:p>
    <w:p w:rsidR="00962CAC" w:rsidRPr="00231984" w:rsidRDefault="00962CAC" w:rsidP="005F15BA">
      <w:pPr>
        <w:pStyle w:val="NoSpacing"/>
        <w:rPr>
          <w:rFonts w:ascii="Times New Roman" w:hAnsi="Times New Roman" w:cs="Times New Roman"/>
          <w:sz w:val="24"/>
          <w:szCs w:val="24"/>
        </w:rPr>
      </w:pPr>
    </w:p>
    <w:p w:rsidR="00962CAC" w:rsidRPr="00231984" w:rsidRDefault="00DE3DC5" w:rsidP="005F15BA">
      <w:pPr>
        <w:pStyle w:val="NoSpacing"/>
        <w:rPr>
          <w:rFonts w:ascii="Times New Roman" w:hAnsi="Times New Roman" w:cs="Times New Roman"/>
          <w:b/>
          <w:sz w:val="24"/>
          <w:szCs w:val="24"/>
        </w:rPr>
      </w:pPr>
      <w:r w:rsidRPr="00231984">
        <w:rPr>
          <w:rFonts w:ascii="Times New Roman" w:hAnsi="Times New Roman" w:cs="Times New Roman"/>
          <w:b/>
          <w:sz w:val="24"/>
          <w:szCs w:val="24"/>
        </w:rPr>
        <w:t>Elementary &amp; Secondary School Relief Emergency Fund (ESSER)</w:t>
      </w:r>
      <w:r w:rsidR="00A57F8B" w:rsidRPr="00231984">
        <w:rPr>
          <w:rFonts w:ascii="Times New Roman" w:hAnsi="Times New Roman" w:cs="Times New Roman"/>
          <w:b/>
          <w:sz w:val="24"/>
          <w:szCs w:val="24"/>
        </w:rPr>
        <w:t>:</w:t>
      </w:r>
      <w:r w:rsidR="007A1872" w:rsidRPr="00231984">
        <w:rPr>
          <w:rFonts w:ascii="Times New Roman" w:hAnsi="Times New Roman" w:cs="Times New Roman"/>
          <w:b/>
          <w:sz w:val="24"/>
          <w:szCs w:val="24"/>
        </w:rPr>
        <w:t xml:space="preserve"> </w:t>
      </w:r>
      <w:r w:rsidR="00B925F1">
        <w:rPr>
          <w:rFonts w:ascii="Times New Roman" w:hAnsi="Times New Roman" w:cs="Times New Roman"/>
          <w:b/>
          <w:sz w:val="24"/>
          <w:szCs w:val="24"/>
        </w:rPr>
        <w:t>(Round</w:t>
      </w:r>
    </w:p>
    <w:p w:rsidR="000E1467" w:rsidRPr="00231984" w:rsidRDefault="00231984" w:rsidP="005F15BA">
      <w:pPr>
        <w:pStyle w:val="NoSpacing"/>
        <w:rPr>
          <w:rFonts w:ascii="Times New Roman" w:hAnsi="Times New Roman" w:cs="Times New Roman"/>
          <w:sz w:val="24"/>
          <w:szCs w:val="24"/>
        </w:rPr>
      </w:pPr>
      <w:r w:rsidRPr="00231984">
        <w:rPr>
          <w:rFonts w:ascii="Times New Roman" w:hAnsi="Times New Roman" w:cs="Times New Roman"/>
          <w:b/>
          <w:color w:val="2F5496" w:themeColor="accent1" w:themeShade="BF"/>
          <w:sz w:val="24"/>
          <w:szCs w:val="24"/>
        </w:rPr>
        <w:t>(</w:t>
      </w:r>
      <w:r>
        <w:rPr>
          <w:rFonts w:ascii="Times New Roman" w:hAnsi="Times New Roman" w:cs="Times New Roman"/>
          <w:b/>
          <w:color w:val="2F5496" w:themeColor="accent1" w:themeShade="BF"/>
          <w:sz w:val="24"/>
          <w:szCs w:val="24"/>
        </w:rPr>
        <w:t xml:space="preserve">MOSTLY </w:t>
      </w:r>
      <w:r w:rsidRPr="00231984">
        <w:rPr>
          <w:rFonts w:ascii="Times New Roman" w:hAnsi="Times New Roman" w:cs="Times New Roman"/>
          <w:b/>
          <w:color w:val="2F5496" w:themeColor="accent1" w:themeShade="BF"/>
          <w:sz w:val="24"/>
          <w:szCs w:val="24"/>
        </w:rPr>
        <w:t>EXPENSED IN 2020-21 BUDGET)</w:t>
      </w:r>
    </w:p>
    <w:p w:rsidR="00DE3DC5" w:rsidRDefault="00DE3DC5" w:rsidP="005F15BA">
      <w:pPr>
        <w:pStyle w:val="NoSpacing"/>
        <w:rPr>
          <w:rFonts w:ascii="Times New Roman" w:hAnsi="Times New Roman" w:cs="Times New Roman"/>
          <w:sz w:val="24"/>
          <w:szCs w:val="24"/>
        </w:rPr>
      </w:pPr>
      <w:r w:rsidRPr="00231984">
        <w:rPr>
          <w:rFonts w:ascii="Times New Roman" w:hAnsi="Times New Roman" w:cs="Times New Roman"/>
          <w:sz w:val="24"/>
          <w:szCs w:val="24"/>
        </w:rPr>
        <w:t xml:space="preserve">ESSER funding is outlined in the 2020-21 Governor’s budget. The funds were provided to California through the Federal Coronavirus Aid Relief and Economic Security Act (CARES) and allocated in the Governor’s </w:t>
      </w:r>
      <w:r w:rsidR="000E1467" w:rsidRPr="00231984">
        <w:rPr>
          <w:rFonts w:ascii="Times New Roman" w:hAnsi="Times New Roman" w:cs="Times New Roman"/>
          <w:sz w:val="24"/>
          <w:szCs w:val="24"/>
        </w:rPr>
        <w:t xml:space="preserve">ESSER </w:t>
      </w:r>
      <w:r w:rsidRPr="00231984">
        <w:rPr>
          <w:rFonts w:ascii="Times New Roman" w:hAnsi="Times New Roman" w:cs="Times New Roman"/>
          <w:sz w:val="24"/>
          <w:szCs w:val="24"/>
        </w:rPr>
        <w:t xml:space="preserve">budget for schools. </w:t>
      </w:r>
      <w:r w:rsidR="0042557B" w:rsidRPr="00231984">
        <w:rPr>
          <w:rFonts w:ascii="Times New Roman" w:hAnsi="Times New Roman" w:cs="Times New Roman"/>
          <w:sz w:val="24"/>
          <w:szCs w:val="24"/>
        </w:rPr>
        <w:t>ESSER funds are available for expensing until 9/30/2022.</w:t>
      </w:r>
      <w:r w:rsidRPr="00231984">
        <w:rPr>
          <w:rFonts w:ascii="Times New Roman" w:hAnsi="Times New Roman" w:cs="Times New Roman"/>
          <w:sz w:val="24"/>
          <w:szCs w:val="24"/>
        </w:rPr>
        <w:t>These funds are meant to assist schools in preparing for distance or hybrid learning.</w:t>
      </w:r>
      <w:r w:rsidR="007976C7" w:rsidRPr="00231984">
        <w:rPr>
          <w:rFonts w:ascii="Times New Roman" w:hAnsi="Times New Roman" w:cs="Times New Roman"/>
          <w:sz w:val="24"/>
          <w:szCs w:val="24"/>
        </w:rPr>
        <w:t xml:space="preserve"> AIMS approved the application for the ESSER funds during the August 18, 2020 Board Meeting. </w:t>
      </w:r>
      <w:r w:rsidRPr="00231984">
        <w:rPr>
          <w:rFonts w:ascii="Times New Roman" w:hAnsi="Times New Roman" w:cs="Times New Roman"/>
          <w:sz w:val="24"/>
          <w:szCs w:val="24"/>
        </w:rPr>
        <w:t xml:space="preserve"> The total State budget is 1.65B of which AIMS </w:t>
      </w:r>
      <w:r w:rsidR="007976C7" w:rsidRPr="00231984">
        <w:rPr>
          <w:rFonts w:ascii="Times New Roman" w:hAnsi="Times New Roman" w:cs="Times New Roman"/>
          <w:sz w:val="24"/>
          <w:szCs w:val="24"/>
        </w:rPr>
        <w:t xml:space="preserve">K12 </w:t>
      </w:r>
      <w:r w:rsidRPr="00231984">
        <w:rPr>
          <w:rFonts w:ascii="Times New Roman" w:hAnsi="Times New Roman" w:cs="Times New Roman"/>
          <w:sz w:val="24"/>
          <w:szCs w:val="24"/>
        </w:rPr>
        <w:t>received $</w:t>
      </w:r>
      <w:r w:rsidR="00697AA4" w:rsidRPr="00231984">
        <w:rPr>
          <w:rFonts w:ascii="Times New Roman" w:hAnsi="Times New Roman" w:cs="Times New Roman"/>
          <w:sz w:val="24"/>
          <w:szCs w:val="24"/>
        </w:rPr>
        <w:t>304,843</w:t>
      </w:r>
      <w:r w:rsidR="00D623C2" w:rsidRPr="00231984">
        <w:rPr>
          <w:rFonts w:ascii="Times New Roman" w:hAnsi="Times New Roman" w:cs="Times New Roman"/>
          <w:sz w:val="24"/>
          <w:szCs w:val="24"/>
        </w:rPr>
        <w:t xml:space="preserve"> at 1</w:t>
      </w:r>
      <w:r w:rsidR="00D623C2" w:rsidRPr="00231984">
        <w:rPr>
          <w:rFonts w:ascii="Times New Roman" w:hAnsi="Times New Roman" w:cs="Times New Roman"/>
          <w:sz w:val="24"/>
          <w:szCs w:val="24"/>
          <w:vertAlign w:val="superscript"/>
        </w:rPr>
        <w:t>st</w:t>
      </w:r>
      <w:r w:rsidR="00D623C2" w:rsidRPr="00231984">
        <w:rPr>
          <w:rFonts w:ascii="Times New Roman" w:hAnsi="Times New Roman" w:cs="Times New Roman"/>
          <w:sz w:val="24"/>
          <w:szCs w:val="24"/>
        </w:rPr>
        <w:t xml:space="preserve"> Interim.</w:t>
      </w:r>
    </w:p>
    <w:p w:rsidR="00B925F1" w:rsidRDefault="00B925F1" w:rsidP="005F15BA">
      <w:pPr>
        <w:pStyle w:val="NoSpacing"/>
        <w:rPr>
          <w:rFonts w:ascii="Times New Roman" w:hAnsi="Times New Roman" w:cs="Times New Roman"/>
          <w:sz w:val="24"/>
          <w:szCs w:val="24"/>
        </w:rPr>
      </w:pPr>
    </w:p>
    <w:p w:rsidR="00B925F1" w:rsidRPr="00231984" w:rsidRDefault="00B925F1" w:rsidP="005F15BA">
      <w:pPr>
        <w:pStyle w:val="NoSpacing"/>
        <w:rPr>
          <w:rFonts w:ascii="Times New Roman" w:hAnsi="Times New Roman" w:cs="Times New Roman"/>
          <w:sz w:val="24"/>
          <w:szCs w:val="24"/>
        </w:rPr>
      </w:pPr>
    </w:p>
    <w:p w:rsidR="00281CE1" w:rsidRPr="00231984" w:rsidRDefault="00281CE1" w:rsidP="005F15BA">
      <w:pPr>
        <w:pStyle w:val="NoSpacing"/>
        <w:rPr>
          <w:rFonts w:ascii="Times New Roman" w:hAnsi="Times New Roman" w:cs="Times New Roman"/>
          <w:sz w:val="24"/>
          <w:szCs w:val="24"/>
        </w:rPr>
      </w:pPr>
    </w:p>
    <w:p w:rsidR="00281CE1" w:rsidRPr="00231984" w:rsidRDefault="00281CE1" w:rsidP="005F15BA">
      <w:pPr>
        <w:pStyle w:val="NoSpacing"/>
        <w:rPr>
          <w:rFonts w:ascii="Times New Roman" w:hAnsi="Times New Roman" w:cs="Times New Roman"/>
          <w:sz w:val="24"/>
          <w:szCs w:val="24"/>
        </w:rPr>
      </w:pPr>
    </w:p>
    <w:p w:rsidR="00281CE1" w:rsidRPr="00231984" w:rsidRDefault="00281CE1" w:rsidP="005F15BA">
      <w:pPr>
        <w:pStyle w:val="NoSpacing"/>
        <w:rPr>
          <w:rFonts w:ascii="Times New Roman" w:hAnsi="Times New Roman" w:cs="Times New Roman"/>
          <w:sz w:val="24"/>
          <w:szCs w:val="24"/>
        </w:rPr>
      </w:pPr>
    </w:p>
    <w:p w:rsidR="00281CE1" w:rsidRPr="00231984" w:rsidRDefault="00281CE1" w:rsidP="005F15BA">
      <w:pPr>
        <w:pStyle w:val="NoSpacing"/>
        <w:rPr>
          <w:rFonts w:ascii="Times New Roman" w:hAnsi="Times New Roman" w:cs="Times New Roman"/>
          <w:sz w:val="24"/>
          <w:szCs w:val="24"/>
        </w:rPr>
      </w:pPr>
    </w:p>
    <w:p w:rsidR="00D623C2" w:rsidRPr="00231984" w:rsidRDefault="00D623C2" w:rsidP="005F15BA">
      <w:pPr>
        <w:pStyle w:val="NoSpacing"/>
        <w:rPr>
          <w:rFonts w:ascii="Times New Roman" w:hAnsi="Times New Roman" w:cs="Times New Roman"/>
          <w:sz w:val="24"/>
          <w:szCs w:val="24"/>
        </w:rPr>
      </w:pPr>
    </w:p>
    <w:p w:rsidR="00D623C2" w:rsidRPr="00231984" w:rsidRDefault="00D623C2" w:rsidP="005F15BA">
      <w:pPr>
        <w:pStyle w:val="NoSpacing"/>
        <w:rPr>
          <w:rFonts w:ascii="Times New Roman" w:hAnsi="Times New Roman" w:cs="Times New Roman"/>
          <w:sz w:val="24"/>
          <w:szCs w:val="24"/>
          <w:highlight w:val="yellow"/>
        </w:rPr>
      </w:pPr>
      <w:r w:rsidRPr="00231984">
        <w:rPr>
          <w:rFonts w:ascii="Times New Roman" w:hAnsi="Times New Roman" w:cs="Times New Roman"/>
          <w:sz w:val="24"/>
          <w:szCs w:val="24"/>
        </w:rPr>
        <w:t>California Department of Education has released the new allocations for the second round of ESSER funds in which AIMS K12 has received an additional $</w:t>
      </w:r>
      <w:r w:rsidR="004C43F8" w:rsidRPr="00231984">
        <w:rPr>
          <w:rFonts w:ascii="Times New Roman" w:hAnsi="Times New Roman" w:cs="Times New Roman"/>
          <w:sz w:val="24"/>
          <w:szCs w:val="24"/>
        </w:rPr>
        <w:t>1,260,266</w:t>
      </w:r>
      <w:r w:rsidR="00A57F8B" w:rsidRPr="00231984">
        <w:rPr>
          <w:rFonts w:ascii="Times New Roman" w:hAnsi="Times New Roman" w:cs="Times New Roman"/>
          <w:sz w:val="24"/>
          <w:szCs w:val="24"/>
        </w:rPr>
        <w:t>. These funds are provided as a reimbursement of qualifying expenses therefore the budget is partially reflected in the 20-21 fiscal year and the remaining allocation is reflected in the Adoption Budget.</w:t>
      </w:r>
    </w:p>
    <w:p w:rsidR="00D623C2" w:rsidRPr="00231984" w:rsidRDefault="00D623C2" w:rsidP="005F15BA">
      <w:pPr>
        <w:pStyle w:val="NoSpacing"/>
        <w:rPr>
          <w:rFonts w:ascii="Times New Roman" w:hAnsi="Times New Roman" w:cs="Times New Roman"/>
          <w:sz w:val="24"/>
          <w:szCs w:val="24"/>
        </w:rPr>
      </w:pPr>
    </w:p>
    <w:p w:rsidR="00962CAC" w:rsidRPr="00231984" w:rsidRDefault="00962CAC" w:rsidP="005F15BA">
      <w:pPr>
        <w:pStyle w:val="NoSpacing"/>
        <w:rPr>
          <w:rFonts w:ascii="Times New Roman" w:hAnsi="Times New Roman" w:cs="Times New Roman"/>
          <w:sz w:val="24"/>
          <w:szCs w:val="24"/>
        </w:rPr>
      </w:pPr>
    </w:p>
    <w:p w:rsidR="00962CAC" w:rsidRDefault="00DE3DC5" w:rsidP="005F15BA">
      <w:pPr>
        <w:pStyle w:val="NoSpacing"/>
        <w:rPr>
          <w:rFonts w:ascii="Times New Roman" w:hAnsi="Times New Roman" w:cs="Times New Roman"/>
          <w:sz w:val="24"/>
          <w:szCs w:val="24"/>
        </w:rPr>
      </w:pPr>
      <w:bookmarkStart w:id="4" w:name="_Hlk73519373"/>
      <w:r w:rsidRPr="00231984">
        <w:rPr>
          <w:rFonts w:ascii="Times New Roman" w:hAnsi="Times New Roman" w:cs="Times New Roman"/>
          <w:b/>
          <w:sz w:val="24"/>
          <w:szCs w:val="24"/>
        </w:rPr>
        <w:t>GOVERNORS EMERGENCY EDUCATION RELIEF (GEER): Learning Loss Mitigation</w:t>
      </w:r>
      <w:r w:rsidRPr="00231984">
        <w:rPr>
          <w:rFonts w:ascii="Times New Roman" w:hAnsi="Times New Roman" w:cs="Times New Roman"/>
          <w:sz w:val="24"/>
          <w:szCs w:val="24"/>
        </w:rPr>
        <w:t xml:space="preserve"> (Based on Students with Disabilities) </w:t>
      </w:r>
    </w:p>
    <w:p w:rsidR="00B925F1" w:rsidRPr="00231984" w:rsidRDefault="00B925F1" w:rsidP="005F15BA">
      <w:pPr>
        <w:pStyle w:val="NoSpacing"/>
        <w:rPr>
          <w:rFonts w:ascii="Times New Roman" w:hAnsi="Times New Roman" w:cs="Times New Roman"/>
          <w:sz w:val="24"/>
          <w:szCs w:val="24"/>
        </w:rPr>
      </w:pPr>
    </w:p>
    <w:p w:rsidR="00A57F8B" w:rsidRPr="00231984" w:rsidRDefault="000E1467" w:rsidP="000E1467">
      <w:pPr>
        <w:pStyle w:val="NoSpacing"/>
        <w:rPr>
          <w:rFonts w:ascii="Times New Roman" w:hAnsi="Times New Roman" w:cs="Times New Roman"/>
          <w:sz w:val="24"/>
          <w:szCs w:val="24"/>
        </w:rPr>
      </w:pPr>
      <w:r w:rsidRPr="00231984">
        <w:rPr>
          <w:rFonts w:ascii="Times New Roman" w:hAnsi="Times New Roman" w:cs="Times New Roman"/>
          <w:sz w:val="24"/>
          <w:szCs w:val="24"/>
        </w:rPr>
        <w:t xml:space="preserve">GEER funding is outlined in the 2020-21 Governor’s budget. The funds were provided to California through the Federal Coronavirus Aid Relief and Economic Security Act (CARES) and allocated in the Governor’s GEER budget for schools. </w:t>
      </w:r>
      <w:r w:rsidR="00577A20" w:rsidRPr="00231984">
        <w:rPr>
          <w:rFonts w:ascii="Times New Roman" w:hAnsi="Times New Roman" w:cs="Times New Roman"/>
          <w:sz w:val="24"/>
          <w:szCs w:val="24"/>
        </w:rPr>
        <w:t>GEER funds are available for expensing until 9/30/202</w:t>
      </w:r>
      <w:r w:rsidR="0042557B" w:rsidRPr="00231984">
        <w:rPr>
          <w:rFonts w:ascii="Times New Roman" w:hAnsi="Times New Roman" w:cs="Times New Roman"/>
          <w:sz w:val="24"/>
          <w:szCs w:val="24"/>
        </w:rPr>
        <w:t>2</w:t>
      </w:r>
      <w:r w:rsidR="00577A20" w:rsidRPr="00231984">
        <w:rPr>
          <w:rFonts w:ascii="Times New Roman" w:hAnsi="Times New Roman" w:cs="Times New Roman"/>
          <w:sz w:val="24"/>
          <w:szCs w:val="24"/>
        </w:rPr>
        <w:t xml:space="preserve">. </w:t>
      </w:r>
      <w:r w:rsidRPr="00231984">
        <w:rPr>
          <w:rFonts w:ascii="Times New Roman" w:hAnsi="Times New Roman" w:cs="Times New Roman"/>
          <w:sz w:val="24"/>
          <w:szCs w:val="24"/>
        </w:rPr>
        <w:t xml:space="preserve">These funds are meant to address learning loss or accelerating progress to close learning gaps. The </w:t>
      </w:r>
      <w:r w:rsidR="006F2902" w:rsidRPr="00231984">
        <w:rPr>
          <w:rFonts w:ascii="Times New Roman" w:hAnsi="Times New Roman" w:cs="Times New Roman"/>
          <w:sz w:val="24"/>
          <w:szCs w:val="24"/>
        </w:rPr>
        <w:t xml:space="preserve">funds support programs to extend the school year, provide additional academic services and providing integrated pupil </w:t>
      </w:r>
    </w:p>
    <w:p w:rsidR="000E1467" w:rsidRPr="00231984" w:rsidRDefault="006F2902" w:rsidP="000E1467">
      <w:pPr>
        <w:pStyle w:val="NoSpacing"/>
        <w:rPr>
          <w:rFonts w:ascii="Times New Roman" w:hAnsi="Times New Roman" w:cs="Times New Roman"/>
          <w:sz w:val="24"/>
          <w:szCs w:val="24"/>
        </w:rPr>
      </w:pPr>
      <w:r w:rsidRPr="00231984">
        <w:rPr>
          <w:rFonts w:ascii="Times New Roman" w:hAnsi="Times New Roman" w:cs="Times New Roman"/>
          <w:sz w:val="24"/>
          <w:szCs w:val="24"/>
        </w:rPr>
        <w:t>supports to address barriers in learning</w:t>
      </w:r>
      <w:r w:rsidR="007976C7" w:rsidRPr="00231984">
        <w:rPr>
          <w:rFonts w:ascii="Times New Roman" w:hAnsi="Times New Roman" w:cs="Times New Roman"/>
          <w:sz w:val="24"/>
          <w:szCs w:val="24"/>
        </w:rPr>
        <w:t>. T</w:t>
      </w:r>
      <w:r w:rsidR="000E1467" w:rsidRPr="00231984">
        <w:rPr>
          <w:rFonts w:ascii="Times New Roman" w:hAnsi="Times New Roman" w:cs="Times New Roman"/>
          <w:sz w:val="24"/>
          <w:szCs w:val="24"/>
        </w:rPr>
        <w:t>he total State budget is 1.</w:t>
      </w:r>
      <w:r w:rsidRPr="00231984">
        <w:rPr>
          <w:rFonts w:ascii="Times New Roman" w:hAnsi="Times New Roman" w:cs="Times New Roman"/>
          <w:sz w:val="24"/>
          <w:szCs w:val="24"/>
        </w:rPr>
        <w:t>5B</w:t>
      </w:r>
      <w:r w:rsidR="000E1467" w:rsidRPr="00231984">
        <w:rPr>
          <w:rFonts w:ascii="Times New Roman" w:hAnsi="Times New Roman" w:cs="Times New Roman"/>
          <w:sz w:val="24"/>
          <w:szCs w:val="24"/>
        </w:rPr>
        <w:t xml:space="preserve"> of which AIMS </w:t>
      </w:r>
      <w:r w:rsidR="007976C7" w:rsidRPr="00231984">
        <w:rPr>
          <w:rFonts w:ascii="Times New Roman" w:hAnsi="Times New Roman" w:cs="Times New Roman"/>
          <w:sz w:val="24"/>
          <w:szCs w:val="24"/>
        </w:rPr>
        <w:t xml:space="preserve">K12 </w:t>
      </w:r>
      <w:r w:rsidR="000E1467" w:rsidRPr="00231984">
        <w:rPr>
          <w:rFonts w:ascii="Times New Roman" w:hAnsi="Times New Roman" w:cs="Times New Roman"/>
          <w:sz w:val="24"/>
          <w:szCs w:val="24"/>
        </w:rPr>
        <w:t>received $</w:t>
      </w:r>
      <w:r w:rsidR="00697AA4" w:rsidRPr="00231984">
        <w:rPr>
          <w:rFonts w:ascii="Times New Roman" w:hAnsi="Times New Roman" w:cs="Times New Roman"/>
          <w:sz w:val="24"/>
          <w:szCs w:val="24"/>
        </w:rPr>
        <w:t>19,780</w:t>
      </w:r>
      <w:r w:rsidR="000E1467" w:rsidRPr="00231984">
        <w:rPr>
          <w:rFonts w:ascii="Times New Roman" w:hAnsi="Times New Roman" w:cs="Times New Roman"/>
          <w:sz w:val="24"/>
          <w:szCs w:val="24"/>
        </w:rPr>
        <w:t xml:space="preserve">. </w:t>
      </w:r>
    </w:p>
    <w:bookmarkEnd w:id="4"/>
    <w:p w:rsidR="00617C22" w:rsidRPr="00231984" w:rsidRDefault="00617C22" w:rsidP="000E1467">
      <w:pPr>
        <w:pStyle w:val="NoSpacing"/>
        <w:rPr>
          <w:rFonts w:ascii="Times New Roman" w:hAnsi="Times New Roman" w:cs="Times New Roman"/>
          <w:sz w:val="24"/>
          <w:szCs w:val="24"/>
        </w:rPr>
      </w:pPr>
    </w:p>
    <w:p w:rsidR="00DE3DC5" w:rsidRPr="00231984" w:rsidRDefault="00DE3DC5" w:rsidP="00DE3DC5">
      <w:pPr>
        <w:pStyle w:val="NoSpacing"/>
        <w:rPr>
          <w:rFonts w:ascii="Times New Roman" w:hAnsi="Times New Roman" w:cs="Times New Roman"/>
          <w:b/>
          <w:color w:val="2F5496" w:themeColor="accent1" w:themeShade="BF"/>
          <w:sz w:val="24"/>
          <w:szCs w:val="24"/>
        </w:rPr>
      </w:pPr>
      <w:r w:rsidRPr="00231984">
        <w:rPr>
          <w:rFonts w:ascii="Times New Roman" w:hAnsi="Times New Roman" w:cs="Times New Roman"/>
          <w:b/>
          <w:sz w:val="24"/>
          <w:szCs w:val="24"/>
        </w:rPr>
        <w:t>CARES: Learning Loss Mitigation</w:t>
      </w:r>
      <w:r w:rsidR="007976C7" w:rsidRPr="00231984">
        <w:rPr>
          <w:rFonts w:ascii="Times New Roman" w:hAnsi="Times New Roman" w:cs="Times New Roman"/>
          <w:b/>
          <w:sz w:val="24"/>
          <w:szCs w:val="24"/>
        </w:rPr>
        <w:t xml:space="preserve"> Fund (LLMF)</w:t>
      </w:r>
      <w:r w:rsidRPr="00231984">
        <w:rPr>
          <w:rFonts w:ascii="Times New Roman" w:hAnsi="Times New Roman" w:cs="Times New Roman"/>
          <w:sz w:val="24"/>
          <w:szCs w:val="24"/>
        </w:rPr>
        <w:t xml:space="preserve"> (Based on Supplemental &amp; Concentration Grants) </w:t>
      </w:r>
      <w:bookmarkStart w:id="5" w:name="_Hlk73530847"/>
      <w:r w:rsidR="007A1872" w:rsidRPr="00231984">
        <w:rPr>
          <w:rFonts w:ascii="Times New Roman" w:hAnsi="Times New Roman" w:cs="Times New Roman"/>
          <w:b/>
          <w:color w:val="2F5496" w:themeColor="accent1" w:themeShade="BF"/>
          <w:sz w:val="24"/>
          <w:szCs w:val="24"/>
        </w:rPr>
        <w:t>(FULLY EXPENSED IN 2020-21 BUDGET)</w:t>
      </w:r>
      <w:bookmarkEnd w:id="5"/>
    </w:p>
    <w:p w:rsidR="00F87FFC" w:rsidRPr="00231984" w:rsidRDefault="00F87FFC" w:rsidP="00DE3DC5">
      <w:pPr>
        <w:pStyle w:val="NoSpacing"/>
        <w:rPr>
          <w:rFonts w:ascii="Times New Roman" w:hAnsi="Times New Roman" w:cs="Times New Roman"/>
          <w:sz w:val="24"/>
          <w:szCs w:val="24"/>
        </w:rPr>
      </w:pPr>
    </w:p>
    <w:p w:rsidR="007976C7" w:rsidRPr="00231984" w:rsidRDefault="007976C7" w:rsidP="007976C7">
      <w:pPr>
        <w:pStyle w:val="NoSpacing"/>
        <w:rPr>
          <w:rFonts w:ascii="Times New Roman" w:hAnsi="Times New Roman" w:cs="Times New Roman"/>
          <w:sz w:val="24"/>
          <w:szCs w:val="24"/>
        </w:rPr>
      </w:pPr>
      <w:r w:rsidRPr="00231984">
        <w:rPr>
          <w:rFonts w:ascii="Times New Roman" w:hAnsi="Times New Roman" w:cs="Times New Roman"/>
          <w:sz w:val="24"/>
          <w:szCs w:val="24"/>
        </w:rPr>
        <w:t xml:space="preserve">LLMF funds were provided to California through the Federal Coronavirus Aid Relief and Economic Security Act (CARES). These funds are meant to address learning loss or accelerating progress to close learning gaps. </w:t>
      </w:r>
      <w:r w:rsidR="00577A20" w:rsidRPr="00231984">
        <w:rPr>
          <w:rFonts w:ascii="Times New Roman" w:hAnsi="Times New Roman" w:cs="Times New Roman"/>
          <w:sz w:val="24"/>
          <w:szCs w:val="24"/>
        </w:rPr>
        <w:t xml:space="preserve"> LLMF funds are expected to expended by December 30,2020. </w:t>
      </w:r>
      <w:r w:rsidRPr="00231984">
        <w:rPr>
          <w:rFonts w:ascii="Times New Roman" w:hAnsi="Times New Roman" w:cs="Times New Roman"/>
          <w:sz w:val="24"/>
          <w:szCs w:val="24"/>
        </w:rPr>
        <w:t>The funds support programs to extend the school year, provide additional academic services and providing integrated pupil supports to address barriers in learning. AIMS approved the application for the LLMF funds during the August 18, 2020 Board Meeting.  The total State budget is 2.86B of which AIMS K12 received $</w:t>
      </w:r>
      <w:r w:rsidR="00697AA4" w:rsidRPr="00231984">
        <w:rPr>
          <w:rFonts w:ascii="Times New Roman" w:hAnsi="Times New Roman" w:cs="Times New Roman"/>
          <w:sz w:val="24"/>
          <w:szCs w:val="24"/>
        </w:rPr>
        <w:t>942,820</w:t>
      </w:r>
      <w:r w:rsidRPr="00231984">
        <w:rPr>
          <w:rFonts w:ascii="Times New Roman" w:hAnsi="Times New Roman" w:cs="Times New Roman"/>
          <w:sz w:val="24"/>
          <w:szCs w:val="24"/>
        </w:rPr>
        <w:t xml:space="preserve">. </w:t>
      </w:r>
      <w:r w:rsidR="00D623C2" w:rsidRPr="00231984">
        <w:rPr>
          <w:rFonts w:ascii="Times New Roman" w:hAnsi="Times New Roman" w:cs="Times New Roman"/>
          <w:sz w:val="24"/>
          <w:szCs w:val="24"/>
        </w:rPr>
        <w:t>These funds were fully expended by the December 30, 2020 deadline.</w:t>
      </w:r>
    </w:p>
    <w:p w:rsidR="000E1467" w:rsidRPr="00231984" w:rsidRDefault="000E1467" w:rsidP="00DE3DC5">
      <w:pPr>
        <w:pStyle w:val="NoSpacing"/>
        <w:rPr>
          <w:rFonts w:ascii="Times New Roman" w:hAnsi="Times New Roman" w:cs="Times New Roman"/>
          <w:sz w:val="24"/>
          <w:szCs w:val="24"/>
        </w:rPr>
      </w:pPr>
    </w:p>
    <w:p w:rsidR="00DE3DC5" w:rsidRPr="00231984" w:rsidRDefault="00DE3DC5" w:rsidP="00DE3DC5">
      <w:pPr>
        <w:pStyle w:val="NoSpacing"/>
        <w:rPr>
          <w:rFonts w:ascii="Times New Roman" w:hAnsi="Times New Roman" w:cs="Times New Roman"/>
          <w:sz w:val="24"/>
          <w:szCs w:val="24"/>
        </w:rPr>
      </w:pPr>
      <w:r w:rsidRPr="00231984">
        <w:rPr>
          <w:rFonts w:ascii="Times New Roman" w:hAnsi="Times New Roman" w:cs="Times New Roman"/>
          <w:b/>
          <w:sz w:val="24"/>
          <w:szCs w:val="24"/>
        </w:rPr>
        <w:t>GENERAL FUND: Learning Loss Mitigation</w:t>
      </w:r>
      <w:r w:rsidR="007976C7" w:rsidRPr="00231984">
        <w:rPr>
          <w:rFonts w:ascii="Times New Roman" w:hAnsi="Times New Roman" w:cs="Times New Roman"/>
          <w:b/>
          <w:sz w:val="24"/>
          <w:szCs w:val="24"/>
        </w:rPr>
        <w:t xml:space="preserve"> (LMFF)</w:t>
      </w:r>
      <w:r w:rsidRPr="00231984">
        <w:rPr>
          <w:rFonts w:ascii="Times New Roman" w:hAnsi="Times New Roman" w:cs="Times New Roman"/>
          <w:sz w:val="24"/>
          <w:szCs w:val="24"/>
        </w:rPr>
        <w:t xml:space="preserve"> (Based on LCFF) </w:t>
      </w:r>
    </w:p>
    <w:p w:rsidR="00A57F8B" w:rsidRPr="00231984" w:rsidRDefault="00A57F8B" w:rsidP="00DE3DC5">
      <w:pPr>
        <w:pStyle w:val="NoSpacing"/>
        <w:rPr>
          <w:rFonts w:ascii="Times New Roman" w:hAnsi="Times New Roman" w:cs="Times New Roman"/>
          <w:b/>
          <w:color w:val="2F5496" w:themeColor="accent1" w:themeShade="BF"/>
          <w:sz w:val="24"/>
          <w:szCs w:val="24"/>
        </w:rPr>
      </w:pPr>
      <w:r w:rsidRPr="00231984">
        <w:rPr>
          <w:rFonts w:ascii="Times New Roman" w:hAnsi="Times New Roman" w:cs="Times New Roman"/>
          <w:b/>
          <w:color w:val="2F5496" w:themeColor="accent1" w:themeShade="BF"/>
          <w:sz w:val="24"/>
          <w:szCs w:val="24"/>
        </w:rPr>
        <w:t>(FULLY EXPENSED IN 2020-21 BUDGET)</w:t>
      </w:r>
    </w:p>
    <w:p w:rsidR="00F87FFC" w:rsidRPr="00231984" w:rsidRDefault="00F87FFC" w:rsidP="00DE3DC5">
      <w:pPr>
        <w:pStyle w:val="NoSpacing"/>
        <w:rPr>
          <w:rFonts w:ascii="Times New Roman" w:hAnsi="Times New Roman" w:cs="Times New Roman"/>
          <w:sz w:val="24"/>
          <w:szCs w:val="24"/>
        </w:rPr>
      </w:pPr>
    </w:p>
    <w:p w:rsidR="00D623C2" w:rsidRDefault="007976C7" w:rsidP="00D623C2">
      <w:pPr>
        <w:pStyle w:val="NoSpacing"/>
        <w:rPr>
          <w:rFonts w:ascii="Times New Roman" w:hAnsi="Times New Roman" w:cs="Times New Roman"/>
          <w:sz w:val="24"/>
          <w:szCs w:val="24"/>
        </w:rPr>
      </w:pPr>
      <w:r w:rsidRPr="00231984">
        <w:rPr>
          <w:rFonts w:ascii="Times New Roman" w:hAnsi="Times New Roman" w:cs="Times New Roman"/>
          <w:sz w:val="24"/>
          <w:szCs w:val="24"/>
        </w:rPr>
        <w:t>LLMF funds were provided to California through the Federal Coronavirus Aid Relief and Economic Security Act (CARES) and allocated in the Governor’s LMFF budget for schools. These funds are meant to address learning loss or accelerating progress to close learning gaps.</w:t>
      </w:r>
      <w:r w:rsidR="00577A20" w:rsidRPr="00231984">
        <w:rPr>
          <w:rFonts w:ascii="Times New Roman" w:hAnsi="Times New Roman" w:cs="Times New Roman"/>
          <w:sz w:val="24"/>
          <w:szCs w:val="24"/>
        </w:rPr>
        <w:t xml:space="preserve"> LLMF funds are expected to expended by December 30,2020.</w:t>
      </w:r>
      <w:r w:rsidRPr="00231984">
        <w:rPr>
          <w:rFonts w:ascii="Times New Roman" w:hAnsi="Times New Roman" w:cs="Times New Roman"/>
          <w:sz w:val="24"/>
          <w:szCs w:val="24"/>
        </w:rPr>
        <w:t xml:space="preserve"> The funds support programs to extend the school year, provide additional academic services and providing integrated pupil supports to address barriers in learning. AIMS approved the application for the LLMF funds during the August 18, 2020 Board Meeting.  The total State budget is 440M of which AIMS K12 received $</w:t>
      </w:r>
      <w:r w:rsidR="00697AA4" w:rsidRPr="00231984">
        <w:rPr>
          <w:rFonts w:ascii="Times New Roman" w:hAnsi="Times New Roman" w:cs="Times New Roman"/>
          <w:sz w:val="24"/>
          <w:szCs w:val="24"/>
        </w:rPr>
        <w:t>115,623</w:t>
      </w:r>
      <w:r w:rsidRPr="00231984">
        <w:rPr>
          <w:rFonts w:ascii="Times New Roman" w:hAnsi="Times New Roman" w:cs="Times New Roman"/>
          <w:sz w:val="24"/>
          <w:szCs w:val="24"/>
        </w:rPr>
        <w:t xml:space="preserve">. </w:t>
      </w:r>
      <w:r w:rsidR="00D623C2" w:rsidRPr="00231984">
        <w:rPr>
          <w:rFonts w:ascii="Times New Roman" w:hAnsi="Times New Roman" w:cs="Times New Roman"/>
          <w:sz w:val="24"/>
          <w:szCs w:val="24"/>
        </w:rPr>
        <w:t>These funds were fully expended by the December 30, 2020 deadline.</w:t>
      </w:r>
    </w:p>
    <w:p w:rsidR="00231984" w:rsidRDefault="00231984" w:rsidP="00D623C2">
      <w:pPr>
        <w:pStyle w:val="NoSpacing"/>
        <w:rPr>
          <w:rFonts w:ascii="Times New Roman" w:hAnsi="Times New Roman" w:cs="Times New Roman"/>
          <w:sz w:val="24"/>
          <w:szCs w:val="24"/>
        </w:rPr>
      </w:pPr>
    </w:p>
    <w:p w:rsidR="00231984" w:rsidRDefault="00231984" w:rsidP="00D623C2">
      <w:pPr>
        <w:pStyle w:val="NoSpacing"/>
        <w:rPr>
          <w:rFonts w:ascii="Times New Roman" w:hAnsi="Times New Roman" w:cs="Times New Roman"/>
          <w:sz w:val="24"/>
          <w:szCs w:val="24"/>
        </w:rPr>
      </w:pPr>
    </w:p>
    <w:p w:rsidR="00231984" w:rsidRDefault="00231984" w:rsidP="00D623C2">
      <w:pPr>
        <w:pStyle w:val="NoSpacing"/>
        <w:rPr>
          <w:rFonts w:ascii="Times New Roman" w:hAnsi="Times New Roman" w:cs="Times New Roman"/>
          <w:sz w:val="24"/>
          <w:szCs w:val="24"/>
        </w:rPr>
      </w:pPr>
    </w:p>
    <w:p w:rsidR="00577A20" w:rsidRPr="00231984" w:rsidRDefault="00577A20" w:rsidP="007976C7">
      <w:pPr>
        <w:pStyle w:val="NoSpacing"/>
        <w:rPr>
          <w:rFonts w:ascii="Times New Roman" w:hAnsi="Times New Roman" w:cs="Times New Roman"/>
          <w:sz w:val="24"/>
          <w:szCs w:val="24"/>
        </w:rPr>
      </w:pPr>
    </w:p>
    <w:p w:rsidR="00A57F8B" w:rsidRDefault="00A57F8B" w:rsidP="00A57F8B">
      <w:pPr>
        <w:pStyle w:val="NoSpacing"/>
        <w:rPr>
          <w:rFonts w:ascii="Times New Roman" w:hAnsi="Times New Roman" w:cs="Times New Roman"/>
          <w:sz w:val="24"/>
          <w:szCs w:val="24"/>
        </w:rPr>
      </w:pPr>
      <w:r w:rsidRPr="00231984">
        <w:rPr>
          <w:rFonts w:ascii="Times New Roman" w:hAnsi="Times New Roman" w:cs="Times New Roman"/>
          <w:b/>
          <w:sz w:val="24"/>
          <w:szCs w:val="24"/>
        </w:rPr>
        <w:t>IN-PERSON GRANT</w:t>
      </w:r>
      <w:r w:rsidRPr="00231984">
        <w:rPr>
          <w:rFonts w:ascii="Times New Roman" w:hAnsi="Times New Roman" w:cs="Times New Roman"/>
          <w:sz w:val="24"/>
          <w:szCs w:val="24"/>
        </w:rPr>
        <w:t xml:space="preserve"> </w:t>
      </w:r>
      <w:r w:rsidRPr="00231984">
        <w:rPr>
          <w:rFonts w:ascii="Times New Roman" w:hAnsi="Times New Roman" w:cs="Times New Roman"/>
          <w:b/>
          <w:sz w:val="24"/>
          <w:szCs w:val="24"/>
        </w:rPr>
        <w:t>(</w:t>
      </w:r>
      <w:r w:rsidR="00281CE1" w:rsidRPr="00231984">
        <w:rPr>
          <w:rFonts w:ascii="Times New Roman" w:hAnsi="Times New Roman" w:cs="Times New Roman"/>
          <w:b/>
          <w:sz w:val="24"/>
          <w:szCs w:val="24"/>
        </w:rPr>
        <w:t>NEW FUNDING</w:t>
      </w:r>
      <w:r w:rsidRPr="00231984">
        <w:rPr>
          <w:rFonts w:ascii="Times New Roman" w:hAnsi="Times New Roman" w:cs="Times New Roman"/>
          <w:b/>
          <w:sz w:val="24"/>
          <w:szCs w:val="24"/>
        </w:rPr>
        <w:t>)</w:t>
      </w:r>
      <w:r w:rsidRPr="00231984">
        <w:rPr>
          <w:rFonts w:ascii="Times New Roman" w:hAnsi="Times New Roman" w:cs="Times New Roman"/>
          <w:sz w:val="24"/>
          <w:szCs w:val="24"/>
        </w:rPr>
        <w:t xml:space="preserve"> </w:t>
      </w:r>
    </w:p>
    <w:p w:rsidR="00B925F1" w:rsidRPr="00231984" w:rsidRDefault="00B925F1" w:rsidP="00A57F8B">
      <w:pPr>
        <w:pStyle w:val="NoSpacing"/>
        <w:rPr>
          <w:rFonts w:ascii="Times New Roman" w:hAnsi="Times New Roman" w:cs="Times New Roman"/>
          <w:sz w:val="24"/>
          <w:szCs w:val="24"/>
        </w:rPr>
      </w:pPr>
    </w:p>
    <w:p w:rsidR="00281CE1" w:rsidRPr="00231984" w:rsidRDefault="00F87FFC" w:rsidP="00A57F8B">
      <w:pPr>
        <w:pStyle w:val="NoSpacing"/>
        <w:rPr>
          <w:rFonts w:ascii="Times New Roman" w:hAnsi="Times New Roman" w:cs="Times New Roman"/>
          <w:sz w:val="24"/>
          <w:szCs w:val="24"/>
        </w:rPr>
      </w:pPr>
      <w:r w:rsidRPr="00231984">
        <w:rPr>
          <w:rFonts w:ascii="Times New Roman" w:hAnsi="Times New Roman" w:cs="Times New Roman"/>
          <w:sz w:val="24"/>
          <w:szCs w:val="24"/>
        </w:rPr>
        <w:t xml:space="preserve">Provides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w:t>
      </w:r>
    </w:p>
    <w:p w:rsidR="00A57F8B" w:rsidRPr="00231984" w:rsidRDefault="00F87FFC" w:rsidP="00A57F8B">
      <w:pPr>
        <w:pStyle w:val="NoSpacing"/>
        <w:rPr>
          <w:rFonts w:ascii="Times New Roman" w:hAnsi="Times New Roman" w:cs="Times New Roman"/>
          <w:sz w:val="24"/>
          <w:szCs w:val="24"/>
        </w:rPr>
      </w:pPr>
      <w:r w:rsidRPr="00231984">
        <w:rPr>
          <w:rFonts w:ascii="Times New Roman" w:hAnsi="Times New Roman" w:cs="Times New Roman"/>
          <w:sz w:val="24"/>
          <w:szCs w:val="24"/>
        </w:rPr>
        <w:t>supports to address barriers to learning, and accelerate progress to close learning gaps</w:t>
      </w:r>
      <w:r w:rsidRPr="00231984">
        <w:rPr>
          <w:rFonts w:ascii="Helvetica" w:hAnsi="Helvetica"/>
          <w:color w:val="000000"/>
          <w:sz w:val="24"/>
          <w:szCs w:val="24"/>
          <w:shd w:val="clear" w:color="auto" w:fill="FFFFFF"/>
        </w:rPr>
        <w:t xml:space="preserve">. </w:t>
      </w:r>
      <w:r w:rsidR="00A57F8B" w:rsidRPr="00231984">
        <w:rPr>
          <w:rFonts w:ascii="Times New Roman" w:hAnsi="Times New Roman" w:cs="Times New Roman"/>
          <w:sz w:val="24"/>
          <w:szCs w:val="24"/>
        </w:rPr>
        <w:t>AIMS K12 received $</w:t>
      </w:r>
      <w:r w:rsidRPr="00231984">
        <w:rPr>
          <w:rFonts w:ascii="Times New Roman" w:hAnsi="Times New Roman" w:cs="Times New Roman"/>
          <w:sz w:val="24"/>
          <w:szCs w:val="24"/>
        </w:rPr>
        <w:t>527,096</w:t>
      </w:r>
      <w:r w:rsidR="00A57F8B" w:rsidRPr="00231984">
        <w:rPr>
          <w:rFonts w:ascii="Times New Roman" w:hAnsi="Times New Roman" w:cs="Times New Roman"/>
          <w:sz w:val="24"/>
          <w:szCs w:val="24"/>
        </w:rPr>
        <w:t xml:space="preserve">. </w:t>
      </w:r>
    </w:p>
    <w:p w:rsidR="00A57F8B" w:rsidRPr="00231984" w:rsidRDefault="00A57F8B" w:rsidP="007976C7">
      <w:pPr>
        <w:pStyle w:val="NoSpacing"/>
        <w:rPr>
          <w:rFonts w:ascii="Times New Roman" w:hAnsi="Times New Roman" w:cs="Times New Roman"/>
          <w:sz w:val="24"/>
          <w:szCs w:val="24"/>
        </w:rPr>
      </w:pPr>
    </w:p>
    <w:p w:rsidR="00A57F8B" w:rsidRDefault="00A57F8B" w:rsidP="00A57F8B">
      <w:pPr>
        <w:pStyle w:val="NoSpacing"/>
        <w:rPr>
          <w:rFonts w:ascii="Times New Roman" w:hAnsi="Times New Roman" w:cs="Times New Roman"/>
          <w:b/>
          <w:sz w:val="24"/>
          <w:szCs w:val="24"/>
        </w:rPr>
      </w:pPr>
      <w:bookmarkStart w:id="6" w:name="_Hlk73519438"/>
      <w:r w:rsidRPr="00231984">
        <w:rPr>
          <w:rFonts w:ascii="Times New Roman" w:hAnsi="Times New Roman" w:cs="Times New Roman"/>
          <w:b/>
          <w:sz w:val="24"/>
          <w:szCs w:val="24"/>
        </w:rPr>
        <w:t>EXPANDED LEARNING OPPORTUNITY GRANT: ELO</w:t>
      </w:r>
      <w:r w:rsidRPr="00231984">
        <w:rPr>
          <w:rFonts w:ascii="Times New Roman" w:hAnsi="Times New Roman" w:cs="Times New Roman"/>
          <w:sz w:val="24"/>
          <w:szCs w:val="24"/>
        </w:rPr>
        <w:t xml:space="preserve"> </w:t>
      </w:r>
      <w:bookmarkEnd w:id="6"/>
      <w:r w:rsidR="00281CE1" w:rsidRPr="00231984">
        <w:rPr>
          <w:rFonts w:ascii="Times New Roman" w:hAnsi="Times New Roman" w:cs="Times New Roman"/>
          <w:b/>
          <w:sz w:val="24"/>
          <w:szCs w:val="24"/>
        </w:rPr>
        <w:t>(NEW FUNDING)</w:t>
      </w:r>
    </w:p>
    <w:p w:rsidR="00B925F1" w:rsidRPr="00231984" w:rsidRDefault="00B925F1" w:rsidP="00A57F8B">
      <w:pPr>
        <w:pStyle w:val="NoSpacing"/>
        <w:rPr>
          <w:rFonts w:ascii="Times New Roman" w:hAnsi="Times New Roman" w:cs="Times New Roman"/>
          <w:sz w:val="24"/>
          <w:szCs w:val="24"/>
        </w:rPr>
      </w:pPr>
    </w:p>
    <w:p w:rsidR="00A57F8B" w:rsidRPr="00231984" w:rsidRDefault="00F87FFC" w:rsidP="00A57F8B">
      <w:pPr>
        <w:pStyle w:val="NoSpacing"/>
        <w:rPr>
          <w:rFonts w:ascii="Times New Roman" w:hAnsi="Times New Roman" w:cs="Times New Roman"/>
          <w:sz w:val="24"/>
          <w:szCs w:val="24"/>
        </w:rPr>
      </w:pPr>
      <w:r w:rsidRPr="00231984">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LEAs are encouraged to engage, plan, and collaborate on program operation with community partners and expanded learning programs, and leverage existing behavioral health partnerships and Medi-Cal billing options, in the design and implementation of services.</w:t>
      </w:r>
      <w:r w:rsidR="00A57F8B" w:rsidRPr="00231984">
        <w:rPr>
          <w:rFonts w:ascii="Times New Roman" w:hAnsi="Times New Roman" w:cs="Times New Roman"/>
          <w:sz w:val="24"/>
          <w:szCs w:val="24"/>
        </w:rPr>
        <w:t xml:space="preserve"> AIMS K12 received $</w:t>
      </w:r>
      <w:r w:rsidR="00281CE1" w:rsidRPr="00231984">
        <w:rPr>
          <w:rFonts w:ascii="Times New Roman" w:hAnsi="Times New Roman" w:cs="Times New Roman"/>
          <w:sz w:val="24"/>
          <w:szCs w:val="24"/>
        </w:rPr>
        <w:t>725,286</w:t>
      </w:r>
      <w:r w:rsidR="00A57F8B" w:rsidRPr="00231984">
        <w:rPr>
          <w:rFonts w:ascii="Times New Roman" w:hAnsi="Times New Roman" w:cs="Times New Roman"/>
          <w:sz w:val="24"/>
          <w:szCs w:val="24"/>
        </w:rPr>
        <w:t xml:space="preserve">. </w:t>
      </w:r>
    </w:p>
    <w:p w:rsidR="00231984" w:rsidRPr="00231984" w:rsidRDefault="00231984" w:rsidP="00A57F8B">
      <w:pPr>
        <w:pStyle w:val="NoSpacing"/>
        <w:rPr>
          <w:rFonts w:ascii="Times New Roman" w:hAnsi="Times New Roman" w:cs="Times New Roman"/>
          <w:sz w:val="24"/>
          <w:szCs w:val="24"/>
        </w:rPr>
      </w:pPr>
    </w:p>
    <w:p w:rsidR="00A57F8B" w:rsidRPr="00231984" w:rsidRDefault="00A57F8B" w:rsidP="007976C7">
      <w:pPr>
        <w:pStyle w:val="NoSpacing"/>
        <w:rPr>
          <w:rFonts w:ascii="Times New Roman" w:hAnsi="Times New Roman" w:cs="Times New Roman"/>
          <w:sz w:val="24"/>
          <w:szCs w:val="24"/>
        </w:rPr>
      </w:pPr>
    </w:p>
    <w:p w:rsidR="00B925F1" w:rsidRDefault="00A57F8B" w:rsidP="00A57F8B">
      <w:pPr>
        <w:pStyle w:val="NoSpacing"/>
        <w:rPr>
          <w:rFonts w:ascii="Times New Roman" w:hAnsi="Times New Roman" w:cs="Times New Roman"/>
          <w:b/>
          <w:sz w:val="24"/>
          <w:szCs w:val="24"/>
        </w:rPr>
      </w:pPr>
      <w:r w:rsidRPr="00231984">
        <w:rPr>
          <w:rFonts w:ascii="Times New Roman" w:hAnsi="Times New Roman" w:cs="Times New Roman"/>
          <w:b/>
          <w:sz w:val="24"/>
          <w:szCs w:val="24"/>
        </w:rPr>
        <w:t xml:space="preserve">EXPANDED LEARNING OPPORTUNITY GRANT-PARA-PROFESSIONAL: </w:t>
      </w:r>
    </w:p>
    <w:p w:rsidR="00A57F8B" w:rsidRDefault="00A57F8B" w:rsidP="00A57F8B">
      <w:pPr>
        <w:pStyle w:val="NoSpacing"/>
        <w:rPr>
          <w:rFonts w:ascii="Times New Roman" w:hAnsi="Times New Roman" w:cs="Times New Roman"/>
          <w:b/>
          <w:sz w:val="24"/>
          <w:szCs w:val="24"/>
        </w:rPr>
      </w:pPr>
      <w:r w:rsidRPr="00231984">
        <w:rPr>
          <w:rFonts w:ascii="Times New Roman" w:hAnsi="Times New Roman" w:cs="Times New Roman"/>
          <w:b/>
          <w:sz w:val="24"/>
          <w:szCs w:val="24"/>
        </w:rPr>
        <w:t>ELO-PARA</w:t>
      </w:r>
      <w:r w:rsidR="00281CE1" w:rsidRPr="00231984">
        <w:rPr>
          <w:rFonts w:ascii="Times New Roman" w:hAnsi="Times New Roman" w:cs="Times New Roman"/>
          <w:b/>
          <w:sz w:val="24"/>
          <w:szCs w:val="24"/>
        </w:rPr>
        <w:t xml:space="preserve"> (NEW FUNDING)</w:t>
      </w:r>
      <w:r w:rsidRPr="00231984">
        <w:rPr>
          <w:rFonts w:ascii="Times New Roman" w:hAnsi="Times New Roman" w:cs="Times New Roman"/>
          <w:b/>
          <w:sz w:val="24"/>
          <w:szCs w:val="24"/>
        </w:rPr>
        <w:t xml:space="preserve"> </w:t>
      </w:r>
    </w:p>
    <w:p w:rsidR="00B925F1" w:rsidRPr="00231984" w:rsidRDefault="00B925F1" w:rsidP="00A57F8B">
      <w:pPr>
        <w:pStyle w:val="NoSpacing"/>
        <w:rPr>
          <w:rFonts w:ascii="Times New Roman" w:hAnsi="Times New Roman" w:cs="Times New Roman"/>
          <w:sz w:val="24"/>
          <w:szCs w:val="24"/>
        </w:rPr>
      </w:pPr>
    </w:p>
    <w:p w:rsidR="00A57F8B" w:rsidRPr="00231984" w:rsidRDefault="00F87FFC" w:rsidP="00A57F8B">
      <w:pPr>
        <w:pStyle w:val="NoSpacing"/>
        <w:rPr>
          <w:rFonts w:ascii="Times New Roman" w:hAnsi="Times New Roman" w:cs="Times New Roman"/>
          <w:sz w:val="24"/>
          <w:szCs w:val="24"/>
        </w:rPr>
      </w:pPr>
      <w:r w:rsidRPr="00231984">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LEAs are encouraged to engage, plan, and collaborate on program operation with community partners and expanded learning programs, and leverage existing behavioral health partnerships and Medi-Cal billing options, in the design and implementation of services. The ELO allocated 15% of the total ELO grant to support direct para professional services. AIMS K12 received $</w:t>
      </w:r>
      <w:r w:rsidR="00281CE1" w:rsidRPr="00231984">
        <w:rPr>
          <w:rFonts w:ascii="Times New Roman" w:hAnsi="Times New Roman" w:cs="Times New Roman"/>
          <w:sz w:val="24"/>
          <w:szCs w:val="24"/>
        </w:rPr>
        <w:t xml:space="preserve"> 88,706.</w:t>
      </w:r>
    </w:p>
    <w:p w:rsidR="00A57F8B" w:rsidRPr="00231984" w:rsidRDefault="00A57F8B" w:rsidP="007976C7">
      <w:pPr>
        <w:pStyle w:val="NoSpacing"/>
        <w:rPr>
          <w:rFonts w:ascii="Times New Roman" w:hAnsi="Times New Roman" w:cs="Times New Roman"/>
          <w:sz w:val="24"/>
          <w:szCs w:val="24"/>
        </w:rPr>
      </w:pPr>
    </w:p>
    <w:p w:rsidR="00281CE1" w:rsidRPr="00231984" w:rsidRDefault="0035049B" w:rsidP="00281CE1">
      <w:pPr>
        <w:pStyle w:val="NoSpacing"/>
        <w:rPr>
          <w:rFonts w:ascii="Times New Roman" w:hAnsi="Times New Roman" w:cs="Times New Roman"/>
          <w:b/>
          <w:sz w:val="24"/>
          <w:szCs w:val="24"/>
        </w:rPr>
      </w:pPr>
      <w:r w:rsidRPr="00231984">
        <w:rPr>
          <w:rFonts w:ascii="Times New Roman" w:hAnsi="Times New Roman" w:cs="Times New Roman"/>
          <w:b/>
          <w:sz w:val="24"/>
          <w:szCs w:val="24"/>
        </w:rPr>
        <w:t>Roberto Family Trust Donation</w:t>
      </w:r>
      <w:r w:rsidR="007A1872" w:rsidRPr="00231984">
        <w:rPr>
          <w:rFonts w:ascii="Times New Roman" w:hAnsi="Times New Roman" w:cs="Times New Roman"/>
          <w:b/>
          <w:sz w:val="24"/>
          <w:szCs w:val="24"/>
        </w:rPr>
        <w:t xml:space="preserve"> </w:t>
      </w:r>
    </w:p>
    <w:p w:rsidR="002757CC" w:rsidRDefault="007A1872" w:rsidP="00281CE1">
      <w:pPr>
        <w:pStyle w:val="NoSpacing"/>
        <w:rPr>
          <w:rFonts w:ascii="Times New Roman" w:hAnsi="Times New Roman" w:cs="Times New Roman"/>
          <w:b/>
          <w:color w:val="2F5496" w:themeColor="accent1" w:themeShade="BF"/>
          <w:sz w:val="24"/>
          <w:szCs w:val="24"/>
        </w:rPr>
      </w:pPr>
      <w:r w:rsidRPr="00231984">
        <w:rPr>
          <w:rFonts w:ascii="Times New Roman" w:hAnsi="Times New Roman" w:cs="Times New Roman"/>
          <w:b/>
          <w:color w:val="2F5496" w:themeColor="accent1" w:themeShade="BF"/>
          <w:sz w:val="24"/>
          <w:szCs w:val="24"/>
        </w:rPr>
        <w:t>(Reflected in the 2ND Interim Budget)</w:t>
      </w:r>
    </w:p>
    <w:p w:rsidR="00B925F1" w:rsidRPr="00231984" w:rsidRDefault="00B925F1" w:rsidP="00281CE1">
      <w:pPr>
        <w:pStyle w:val="NoSpacing"/>
        <w:rPr>
          <w:rFonts w:ascii="Times New Roman" w:hAnsi="Times New Roman" w:cs="Times New Roman"/>
          <w:b/>
          <w:color w:val="2F5496" w:themeColor="accent1" w:themeShade="BF"/>
          <w:sz w:val="24"/>
          <w:szCs w:val="24"/>
        </w:rPr>
      </w:pPr>
    </w:p>
    <w:p w:rsidR="00F64991" w:rsidRDefault="0035049B" w:rsidP="0035049B">
      <w:pPr>
        <w:rPr>
          <w:rFonts w:ascii="Times New Roman" w:hAnsi="Times New Roman" w:cs="Times New Roman"/>
          <w:sz w:val="24"/>
          <w:szCs w:val="24"/>
        </w:rPr>
      </w:pPr>
      <w:r w:rsidRPr="00231984">
        <w:rPr>
          <w:rFonts w:ascii="Times New Roman" w:hAnsi="Times New Roman" w:cs="Times New Roman"/>
          <w:sz w:val="24"/>
          <w:szCs w:val="24"/>
        </w:rPr>
        <w:t>In 2012 American Indian Public Charter and American Indian Public High School were named in the Roberto Family Trust each school was granted $125,000</w:t>
      </w:r>
      <w:r w:rsidR="00D623C2" w:rsidRPr="00231984">
        <w:rPr>
          <w:rFonts w:ascii="Times New Roman" w:hAnsi="Times New Roman" w:cs="Times New Roman"/>
          <w:sz w:val="24"/>
          <w:szCs w:val="24"/>
        </w:rPr>
        <w:t xml:space="preserve">. These funds were reflected during the </w:t>
      </w:r>
      <w:r w:rsidR="007A1872" w:rsidRPr="00231984">
        <w:rPr>
          <w:rFonts w:ascii="Times New Roman" w:hAnsi="Times New Roman" w:cs="Times New Roman"/>
          <w:sz w:val="24"/>
          <w:szCs w:val="24"/>
        </w:rPr>
        <w:t>2</w:t>
      </w:r>
      <w:r w:rsidR="007A1872" w:rsidRPr="00231984">
        <w:rPr>
          <w:rFonts w:ascii="Times New Roman" w:hAnsi="Times New Roman" w:cs="Times New Roman"/>
          <w:sz w:val="24"/>
          <w:szCs w:val="24"/>
          <w:vertAlign w:val="superscript"/>
        </w:rPr>
        <w:t>nd</w:t>
      </w:r>
      <w:r w:rsidR="007A1872" w:rsidRPr="00231984">
        <w:rPr>
          <w:rFonts w:ascii="Times New Roman" w:hAnsi="Times New Roman" w:cs="Times New Roman"/>
          <w:sz w:val="24"/>
          <w:szCs w:val="24"/>
        </w:rPr>
        <w:t xml:space="preserve"> </w:t>
      </w:r>
      <w:r w:rsidR="00D623C2" w:rsidRPr="00231984">
        <w:rPr>
          <w:rFonts w:ascii="Times New Roman" w:hAnsi="Times New Roman" w:cs="Times New Roman"/>
          <w:sz w:val="24"/>
          <w:szCs w:val="24"/>
        </w:rPr>
        <w:t>Interim</w:t>
      </w:r>
    </w:p>
    <w:p w:rsidR="00B925F1" w:rsidRDefault="00B925F1" w:rsidP="0035049B">
      <w:pPr>
        <w:rPr>
          <w:rFonts w:ascii="Times New Roman" w:hAnsi="Times New Roman" w:cs="Times New Roman"/>
          <w:sz w:val="24"/>
          <w:szCs w:val="24"/>
        </w:rPr>
      </w:pPr>
    </w:p>
    <w:p w:rsidR="00B925F1" w:rsidRDefault="00B925F1" w:rsidP="0035049B">
      <w:pPr>
        <w:rPr>
          <w:rFonts w:ascii="Times New Roman" w:hAnsi="Times New Roman" w:cs="Times New Roman"/>
          <w:sz w:val="24"/>
          <w:szCs w:val="24"/>
        </w:rPr>
      </w:pPr>
    </w:p>
    <w:p w:rsidR="00231984" w:rsidRPr="00231984" w:rsidRDefault="00231984" w:rsidP="0035049B">
      <w:pPr>
        <w:rPr>
          <w:rFonts w:ascii="Times New Roman" w:hAnsi="Times New Roman" w:cs="Times New Roman"/>
          <w:sz w:val="24"/>
          <w:szCs w:val="24"/>
        </w:rPr>
      </w:pPr>
    </w:p>
    <w:p w:rsidR="00687FE6" w:rsidRPr="00231984" w:rsidRDefault="00687FE6" w:rsidP="00687FE6">
      <w:pPr>
        <w:jc w:val="both"/>
        <w:rPr>
          <w:rFonts w:ascii="Times New Roman" w:hAnsi="Times New Roman" w:cs="Times New Roman"/>
          <w:b/>
          <w:sz w:val="24"/>
          <w:szCs w:val="24"/>
          <w:u w:val="single"/>
        </w:rPr>
      </w:pPr>
      <w:r w:rsidRPr="00231984">
        <w:rPr>
          <w:rFonts w:ascii="Times New Roman" w:hAnsi="Times New Roman" w:cs="Times New Roman"/>
          <w:b/>
          <w:sz w:val="24"/>
          <w:szCs w:val="24"/>
          <w:u w:val="single"/>
        </w:rPr>
        <w:t>Expenses</w:t>
      </w:r>
    </w:p>
    <w:p w:rsidR="002757CC" w:rsidRPr="00231984" w:rsidRDefault="002757CC" w:rsidP="00687FE6">
      <w:pPr>
        <w:jc w:val="both"/>
        <w:rPr>
          <w:rFonts w:ascii="Times New Roman" w:hAnsi="Times New Roman" w:cs="Times New Roman"/>
          <w:sz w:val="24"/>
          <w:szCs w:val="24"/>
        </w:rPr>
      </w:pPr>
      <w:r w:rsidRPr="00231984">
        <w:rPr>
          <w:rFonts w:ascii="Times New Roman" w:hAnsi="Times New Roman" w:cs="Times New Roman"/>
          <w:sz w:val="24"/>
          <w:szCs w:val="24"/>
        </w:rPr>
        <w:t xml:space="preserve">American Indian Models Schools </w:t>
      </w:r>
      <w:r w:rsidR="00073BA9" w:rsidRPr="00231984">
        <w:rPr>
          <w:rFonts w:ascii="Times New Roman" w:hAnsi="Times New Roman" w:cs="Times New Roman"/>
          <w:sz w:val="24"/>
          <w:szCs w:val="24"/>
        </w:rPr>
        <w:t>20</w:t>
      </w:r>
      <w:r w:rsidRPr="00231984">
        <w:rPr>
          <w:rFonts w:ascii="Times New Roman" w:hAnsi="Times New Roman" w:cs="Times New Roman"/>
          <w:sz w:val="24"/>
          <w:szCs w:val="24"/>
        </w:rPr>
        <w:t>2</w:t>
      </w:r>
      <w:r w:rsidR="002645A5" w:rsidRPr="00231984">
        <w:rPr>
          <w:rFonts w:ascii="Times New Roman" w:hAnsi="Times New Roman" w:cs="Times New Roman"/>
          <w:sz w:val="24"/>
          <w:szCs w:val="24"/>
        </w:rPr>
        <w:t>1</w:t>
      </w:r>
      <w:r w:rsidR="00073BA9" w:rsidRPr="00231984">
        <w:rPr>
          <w:rFonts w:ascii="Times New Roman" w:hAnsi="Times New Roman" w:cs="Times New Roman"/>
          <w:sz w:val="24"/>
          <w:szCs w:val="24"/>
        </w:rPr>
        <w:t>-</w:t>
      </w:r>
      <w:r w:rsidRPr="00231984">
        <w:rPr>
          <w:rFonts w:ascii="Times New Roman" w:hAnsi="Times New Roman" w:cs="Times New Roman"/>
          <w:sz w:val="24"/>
          <w:szCs w:val="24"/>
        </w:rPr>
        <w:t>2</w:t>
      </w:r>
      <w:r w:rsidR="002645A5" w:rsidRPr="00231984">
        <w:rPr>
          <w:rFonts w:ascii="Times New Roman" w:hAnsi="Times New Roman" w:cs="Times New Roman"/>
          <w:sz w:val="24"/>
          <w:szCs w:val="24"/>
        </w:rPr>
        <w:t>2</w:t>
      </w:r>
      <w:r w:rsidRPr="00231984">
        <w:rPr>
          <w:rFonts w:ascii="Times New Roman" w:hAnsi="Times New Roman" w:cs="Times New Roman"/>
          <w:sz w:val="24"/>
          <w:szCs w:val="24"/>
        </w:rPr>
        <w:t xml:space="preserve"> </w:t>
      </w:r>
      <w:r w:rsidR="002645A5" w:rsidRPr="00231984">
        <w:rPr>
          <w:rFonts w:ascii="Times New Roman" w:hAnsi="Times New Roman" w:cs="Times New Roman"/>
          <w:sz w:val="24"/>
          <w:szCs w:val="24"/>
        </w:rPr>
        <w:t>Adoption</w:t>
      </w:r>
      <w:r w:rsidR="00577A20" w:rsidRPr="00231984">
        <w:rPr>
          <w:rFonts w:ascii="Times New Roman" w:hAnsi="Times New Roman" w:cs="Times New Roman"/>
          <w:sz w:val="24"/>
          <w:szCs w:val="24"/>
        </w:rPr>
        <w:t xml:space="preserve"> Interim </w:t>
      </w:r>
      <w:r w:rsidRPr="00231984">
        <w:rPr>
          <w:rFonts w:ascii="Times New Roman" w:hAnsi="Times New Roman" w:cs="Times New Roman"/>
          <w:sz w:val="24"/>
          <w:szCs w:val="24"/>
        </w:rPr>
        <w:t xml:space="preserve">budget reflects a </w:t>
      </w:r>
      <w:r w:rsidR="00DE5688" w:rsidRPr="00231984">
        <w:rPr>
          <w:rFonts w:ascii="Times New Roman" w:hAnsi="Times New Roman" w:cs="Times New Roman"/>
          <w:sz w:val="24"/>
          <w:szCs w:val="24"/>
        </w:rPr>
        <w:t>51</w:t>
      </w:r>
      <w:r w:rsidRPr="00231984">
        <w:rPr>
          <w:rFonts w:ascii="Times New Roman" w:hAnsi="Times New Roman" w:cs="Times New Roman"/>
          <w:sz w:val="24"/>
          <w:szCs w:val="24"/>
        </w:rPr>
        <w:t xml:space="preserve">% investment in Personnel expenses and </w:t>
      </w:r>
      <w:r w:rsidR="00DE5688" w:rsidRPr="00231984">
        <w:rPr>
          <w:rFonts w:ascii="Times New Roman" w:hAnsi="Times New Roman" w:cs="Times New Roman"/>
          <w:sz w:val="24"/>
          <w:szCs w:val="24"/>
        </w:rPr>
        <w:t>48</w:t>
      </w:r>
      <w:r w:rsidRPr="00231984">
        <w:rPr>
          <w:rFonts w:ascii="Times New Roman" w:hAnsi="Times New Roman" w:cs="Times New Roman"/>
          <w:sz w:val="24"/>
          <w:szCs w:val="24"/>
        </w:rPr>
        <w:t>% allocated to the operations of the organization.</w:t>
      </w:r>
      <w:r w:rsidR="00760D46" w:rsidRPr="00231984">
        <w:rPr>
          <w:rFonts w:ascii="Times New Roman" w:hAnsi="Times New Roman" w:cs="Times New Roman"/>
          <w:sz w:val="24"/>
          <w:szCs w:val="24"/>
        </w:rPr>
        <w:t xml:space="preserve"> </w:t>
      </w:r>
      <w:r w:rsidR="001C1210" w:rsidRPr="00231984">
        <w:rPr>
          <w:rFonts w:ascii="Times New Roman" w:hAnsi="Times New Roman" w:cs="Times New Roman"/>
          <w:sz w:val="24"/>
          <w:szCs w:val="24"/>
        </w:rPr>
        <w:t>This</w:t>
      </w:r>
      <w:r w:rsidR="00DE5688" w:rsidRPr="00231984">
        <w:rPr>
          <w:rFonts w:ascii="Times New Roman" w:hAnsi="Times New Roman" w:cs="Times New Roman"/>
          <w:sz w:val="24"/>
          <w:szCs w:val="24"/>
        </w:rPr>
        <w:t xml:space="preserve"> reflects </w:t>
      </w:r>
      <w:r w:rsidR="009D5DA5" w:rsidRPr="00231984">
        <w:rPr>
          <w:rFonts w:ascii="Times New Roman" w:hAnsi="Times New Roman" w:cs="Times New Roman"/>
          <w:sz w:val="24"/>
          <w:szCs w:val="24"/>
        </w:rPr>
        <w:t>a</w:t>
      </w:r>
      <w:r w:rsidR="00DE5688" w:rsidRPr="00231984">
        <w:rPr>
          <w:rFonts w:ascii="Times New Roman" w:hAnsi="Times New Roman" w:cs="Times New Roman"/>
          <w:sz w:val="24"/>
          <w:szCs w:val="24"/>
        </w:rPr>
        <w:t xml:space="preserve"> slight shift from the 2</w:t>
      </w:r>
      <w:r w:rsidR="00DE5688" w:rsidRPr="00231984">
        <w:rPr>
          <w:rFonts w:ascii="Times New Roman" w:hAnsi="Times New Roman" w:cs="Times New Roman"/>
          <w:sz w:val="24"/>
          <w:szCs w:val="24"/>
          <w:vertAlign w:val="superscript"/>
        </w:rPr>
        <w:t>nd</w:t>
      </w:r>
      <w:r w:rsidR="00DE5688" w:rsidRPr="00231984">
        <w:rPr>
          <w:rFonts w:ascii="Times New Roman" w:hAnsi="Times New Roman" w:cs="Times New Roman"/>
          <w:sz w:val="24"/>
          <w:szCs w:val="24"/>
        </w:rPr>
        <w:t xml:space="preserve"> Interim that reflected Personnel investments as 45% and Operational investments as 55%. The return to in-person instruction facilitated the need for additional staff to support the transition. The outline for the specific use of these funds is reflected in the 2021-2022 LCAP.</w:t>
      </w:r>
      <w:r w:rsidR="001C1210" w:rsidRPr="00231984">
        <w:rPr>
          <w:rFonts w:ascii="Times New Roman" w:hAnsi="Times New Roman" w:cs="Times New Roman"/>
          <w:sz w:val="24"/>
          <w:szCs w:val="24"/>
        </w:rPr>
        <w:t xml:space="preserve"> </w:t>
      </w:r>
      <w:r w:rsidR="00CD629C" w:rsidRPr="00231984">
        <w:rPr>
          <w:rFonts w:ascii="Times New Roman" w:hAnsi="Times New Roman" w:cs="Times New Roman"/>
          <w:sz w:val="24"/>
          <w:szCs w:val="24"/>
        </w:rPr>
        <w:t>The total expenses for the 20</w:t>
      </w:r>
      <w:r w:rsidR="000D1A1A" w:rsidRPr="00231984">
        <w:rPr>
          <w:rFonts w:ascii="Times New Roman" w:hAnsi="Times New Roman" w:cs="Times New Roman"/>
          <w:sz w:val="24"/>
          <w:szCs w:val="24"/>
        </w:rPr>
        <w:t>2</w:t>
      </w:r>
      <w:r w:rsidR="00DE5688" w:rsidRPr="00231984">
        <w:rPr>
          <w:rFonts w:ascii="Times New Roman" w:hAnsi="Times New Roman" w:cs="Times New Roman"/>
          <w:sz w:val="24"/>
          <w:szCs w:val="24"/>
        </w:rPr>
        <w:t>1</w:t>
      </w:r>
      <w:r w:rsidR="00CD629C" w:rsidRPr="00231984">
        <w:rPr>
          <w:rFonts w:ascii="Times New Roman" w:hAnsi="Times New Roman" w:cs="Times New Roman"/>
          <w:sz w:val="24"/>
          <w:szCs w:val="24"/>
        </w:rPr>
        <w:t>-202</w:t>
      </w:r>
      <w:r w:rsidR="00DE5688" w:rsidRPr="00231984">
        <w:rPr>
          <w:rFonts w:ascii="Times New Roman" w:hAnsi="Times New Roman" w:cs="Times New Roman"/>
          <w:sz w:val="24"/>
          <w:szCs w:val="24"/>
        </w:rPr>
        <w:t>2</w:t>
      </w:r>
      <w:r w:rsidR="00CD629C" w:rsidRPr="00231984">
        <w:rPr>
          <w:rFonts w:ascii="Times New Roman" w:hAnsi="Times New Roman" w:cs="Times New Roman"/>
          <w:sz w:val="24"/>
          <w:szCs w:val="24"/>
        </w:rPr>
        <w:t xml:space="preserve"> school year are </w:t>
      </w:r>
      <w:r w:rsidR="000D1A1A" w:rsidRPr="00231984">
        <w:rPr>
          <w:rFonts w:ascii="Times New Roman" w:hAnsi="Times New Roman" w:cs="Times New Roman"/>
          <w:sz w:val="24"/>
          <w:szCs w:val="24"/>
        </w:rPr>
        <w:t xml:space="preserve">projected at </w:t>
      </w:r>
      <w:r w:rsidR="00CD629C" w:rsidRPr="00231984">
        <w:rPr>
          <w:rFonts w:ascii="Times New Roman" w:hAnsi="Times New Roman" w:cs="Times New Roman"/>
          <w:sz w:val="24"/>
          <w:szCs w:val="24"/>
        </w:rPr>
        <w:t>$</w:t>
      </w:r>
      <w:r w:rsidR="000D1A1A" w:rsidRPr="00231984">
        <w:rPr>
          <w:rFonts w:ascii="Times New Roman" w:hAnsi="Times New Roman" w:cs="Times New Roman"/>
          <w:sz w:val="24"/>
          <w:szCs w:val="24"/>
        </w:rPr>
        <w:t>1</w:t>
      </w:r>
      <w:r w:rsidR="00DE5688" w:rsidRPr="00231984">
        <w:rPr>
          <w:rFonts w:ascii="Times New Roman" w:hAnsi="Times New Roman" w:cs="Times New Roman"/>
          <w:sz w:val="24"/>
          <w:szCs w:val="24"/>
        </w:rPr>
        <w:t>8</w:t>
      </w:r>
      <w:r w:rsidR="00760D46" w:rsidRPr="00231984">
        <w:rPr>
          <w:rFonts w:ascii="Times New Roman" w:hAnsi="Times New Roman" w:cs="Times New Roman"/>
          <w:sz w:val="24"/>
          <w:szCs w:val="24"/>
        </w:rPr>
        <w:t>,</w:t>
      </w:r>
      <w:r w:rsidR="00DE5688" w:rsidRPr="00231984">
        <w:rPr>
          <w:rFonts w:ascii="Times New Roman" w:hAnsi="Times New Roman" w:cs="Times New Roman"/>
          <w:sz w:val="24"/>
          <w:szCs w:val="24"/>
        </w:rPr>
        <w:t>073</w:t>
      </w:r>
      <w:r w:rsidR="004A5F2B" w:rsidRPr="00231984">
        <w:rPr>
          <w:rFonts w:ascii="Times New Roman" w:hAnsi="Times New Roman" w:cs="Times New Roman"/>
          <w:sz w:val="24"/>
          <w:szCs w:val="24"/>
        </w:rPr>
        <w:t>,</w:t>
      </w:r>
      <w:r w:rsidR="00DE5688" w:rsidRPr="00231984">
        <w:rPr>
          <w:rFonts w:ascii="Times New Roman" w:hAnsi="Times New Roman" w:cs="Times New Roman"/>
          <w:sz w:val="24"/>
          <w:szCs w:val="24"/>
        </w:rPr>
        <w:t>266</w:t>
      </w:r>
      <w:r w:rsidR="00CD629C" w:rsidRPr="00231984">
        <w:rPr>
          <w:rFonts w:ascii="Times New Roman" w:hAnsi="Times New Roman" w:cs="Times New Roman"/>
          <w:sz w:val="24"/>
          <w:szCs w:val="24"/>
        </w:rPr>
        <w:t>.</w:t>
      </w:r>
    </w:p>
    <w:p w:rsidR="004E5E3C" w:rsidRDefault="004E5E3C" w:rsidP="00687FE6">
      <w:pPr>
        <w:jc w:val="both"/>
        <w:rPr>
          <w:rFonts w:ascii="Times New Roman" w:hAnsi="Times New Roman" w:cs="Times New Roman"/>
          <w:sz w:val="24"/>
          <w:szCs w:val="24"/>
        </w:rPr>
      </w:pPr>
    </w:p>
    <w:p w:rsidR="00D623C2" w:rsidRDefault="00DE5688"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A81883">
            <wp:extent cx="6017891" cy="2177143"/>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693" cy="2238935"/>
                    </a:xfrm>
                    <a:prstGeom prst="rect">
                      <a:avLst/>
                    </a:prstGeom>
                    <a:noFill/>
                  </pic:spPr>
                </pic:pic>
              </a:graphicData>
            </a:graphic>
          </wp:inline>
        </w:drawing>
      </w:r>
    </w:p>
    <w:p w:rsidR="00DB67FC" w:rsidRDefault="00DB67FC" w:rsidP="000D1A1A">
      <w:pPr>
        <w:jc w:val="center"/>
        <w:rPr>
          <w:rFonts w:ascii="Times New Roman" w:hAnsi="Times New Roman" w:cs="Times New Roman"/>
          <w:b/>
          <w:sz w:val="24"/>
          <w:szCs w:val="24"/>
        </w:rPr>
      </w:pPr>
    </w:p>
    <w:p w:rsidR="00DB67FC" w:rsidRDefault="00DB67FC" w:rsidP="00DB67FC">
      <w:pPr>
        <w:rPr>
          <w:rFonts w:ascii="Times New Roman" w:hAnsi="Times New Roman" w:cs="Times New Roman"/>
          <w:sz w:val="24"/>
          <w:szCs w:val="24"/>
        </w:rPr>
      </w:pPr>
      <w:r w:rsidRPr="00DB67FC">
        <w:rPr>
          <w:rFonts w:ascii="Times New Roman" w:hAnsi="Times New Roman" w:cs="Times New Roman"/>
          <w:sz w:val="24"/>
          <w:szCs w:val="24"/>
        </w:rPr>
        <w:t>Expense Allocation for each school is reflected below. Any changes to budget allocation are outlined as well</w:t>
      </w:r>
      <w:r>
        <w:rPr>
          <w:rFonts w:ascii="Times New Roman" w:hAnsi="Times New Roman" w:cs="Times New Roman"/>
          <w:sz w:val="24"/>
          <w:szCs w:val="24"/>
        </w:rPr>
        <w:t>.</w:t>
      </w:r>
    </w:p>
    <w:p w:rsidR="00760D46" w:rsidRPr="00E7076D" w:rsidRDefault="00E7076D" w:rsidP="00DB67FC">
      <w:pPr>
        <w:rPr>
          <w:rFonts w:ascii="Times New Roman" w:hAnsi="Times New Roman" w:cs="Times New Roman"/>
          <w:b/>
          <w:sz w:val="32"/>
          <w:szCs w:val="32"/>
        </w:rPr>
      </w:pPr>
      <w:bookmarkStart w:id="7" w:name="_Hlk73535523"/>
      <w:r w:rsidRPr="00E7076D">
        <w:rPr>
          <w:rFonts w:ascii="Times New Roman" w:hAnsi="Times New Roman" w:cs="Times New Roman"/>
          <w:b/>
          <w:sz w:val="32"/>
          <w:szCs w:val="32"/>
        </w:rPr>
        <w:t>American Indian Public Charter</w:t>
      </w:r>
    </w:p>
    <w:bookmarkEnd w:id="7"/>
    <w:p w:rsidR="00760D46" w:rsidRDefault="00912C67" w:rsidP="00DB67FC">
      <w:pPr>
        <w:rPr>
          <w:rFonts w:ascii="Times New Roman" w:hAnsi="Times New Roman" w:cs="Times New Roman"/>
          <w:sz w:val="24"/>
          <w:szCs w:val="24"/>
        </w:rPr>
      </w:pPr>
      <w:r w:rsidRPr="00912C67">
        <w:drawing>
          <wp:inline distT="0" distB="0" distL="0" distR="0">
            <wp:extent cx="6153150" cy="236215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046" cy="2365952"/>
                    </a:xfrm>
                    <a:prstGeom prst="rect">
                      <a:avLst/>
                    </a:prstGeom>
                    <a:noFill/>
                    <a:ln>
                      <a:noFill/>
                    </a:ln>
                  </pic:spPr>
                </pic:pic>
              </a:graphicData>
            </a:graphic>
          </wp:inline>
        </w:drawing>
      </w:r>
    </w:p>
    <w:p w:rsidR="00E7076D" w:rsidRDefault="00E7076D" w:rsidP="00DB67FC">
      <w:pPr>
        <w:rPr>
          <w:rFonts w:ascii="Times New Roman" w:hAnsi="Times New Roman" w:cs="Times New Roman"/>
          <w:sz w:val="24"/>
          <w:szCs w:val="24"/>
        </w:rPr>
      </w:pPr>
    </w:p>
    <w:p w:rsidR="00E7076D" w:rsidRPr="00E7076D" w:rsidRDefault="00E7076D" w:rsidP="00DB67FC">
      <w:pPr>
        <w:rPr>
          <w:rFonts w:ascii="Times New Roman" w:hAnsi="Times New Roman" w:cs="Times New Roman"/>
          <w:b/>
          <w:sz w:val="24"/>
          <w:szCs w:val="24"/>
        </w:rPr>
      </w:pPr>
    </w:p>
    <w:p w:rsidR="00E7076D" w:rsidRPr="00E7076D" w:rsidRDefault="00E7076D" w:rsidP="00DB67FC">
      <w:pPr>
        <w:rPr>
          <w:rFonts w:ascii="Times New Roman" w:hAnsi="Times New Roman" w:cs="Times New Roman"/>
          <w:b/>
          <w:i/>
          <w:sz w:val="24"/>
          <w:szCs w:val="24"/>
          <w:u w:val="single"/>
        </w:rPr>
      </w:pPr>
      <w:r w:rsidRPr="00E7076D">
        <w:rPr>
          <w:rFonts w:ascii="Times New Roman" w:hAnsi="Times New Roman" w:cs="Times New Roman"/>
          <w:b/>
          <w:i/>
          <w:sz w:val="24"/>
          <w:szCs w:val="24"/>
          <w:u w:val="single"/>
        </w:rPr>
        <w:t>Explanations</w:t>
      </w:r>
    </w:p>
    <w:p w:rsidR="00760D46" w:rsidRDefault="00912C67" w:rsidP="00DB67FC">
      <w:pPr>
        <w:rPr>
          <w:rFonts w:ascii="Times New Roman" w:hAnsi="Times New Roman" w:cs="Times New Roman"/>
          <w:sz w:val="24"/>
          <w:szCs w:val="24"/>
        </w:rPr>
      </w:pPr>
      <w:r w:rsidRPr="00912C67">
        <w:drawing>
          <wp:inline distT="0" distB="0" distL="0" distR="0">
            <wp:extent cx="6289675" cy="232394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6935" cy="2330325"/>
                    </a:xfrm>
                    <a:prstGeom prst="rect">
                      <a:avLst/>
                    </a:prstGeom>
                    <a:noFill/>
                    <a:ln>
                      <a:noFill/>
                    </a:ln>
                  </pic:spPr>
                </pic:pic>
              </a:graphicData>
            </a:graphic>
          </wp:inline>
        </w:drawing>
      </w:r>
      <w:r w:rsidR="00E7076D">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2455454</wp:posOffset>
                </wp:positionV>
                <wp:extent cx="6215380" cy="21772"/>
                <wp:effectExtent l="0" t="0" r="33020" b="35560"/>
                <wp:wrapNone/>
                <wp:docPr id="1030" name="Straight Connector 1030"/>
                <wp:cNvGraphicFramePr/>
                <a:graphic xmlns:a="http://schemas.openxmlformats.org/drawingml/2006/main">
                  <a:graphicData uri="http://schemas.microsoft.com/office/word/2010/wordprocessingShape">
                    <wps:wsp>
                      <wps:cNvCnPr/>
                      <wps:spPr>
                        <a:xfrm>
                          <a:off x="0" y="0"/>
                          <a:ext cx="6215380" cy="217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4D2D6" id="Straight Connector 103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93.35pt" to="489.4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" strokecolor="#4472c4 [3204]" strokeweight=".5pt">
                <v:stroke joinstyle="miter"/>
              </v:line>
            </w:pict>
          </mc:Fallback>
        </mc:AlternateContent>
      </w:r>
    </w:p>
    <w:p w:rsidR="00760D46" w:rsidRDefault="00E7076D" w:rsidP="00DB67FC">
      <w:pPr>
        <w:rPr>
          <w:rFonts w:ascii="Times New Roman" w:hAnsi="Times New Roman" w:cs="Times New Roman"/>
          <w:sz w:val="24"/>
          <w:szCs w:val="24"/>
        </w:rPr>
      </w:pPr>
      <w:r w:rsidRPr="00E7076D">
        <w:rPr>
          <w:rFonts w:ascii="Times New Roman" w:hAnsi="Times New Roman" w:cs="Times New Roman"/>
          <w:b/>
          <w:sz w:val="32"/>
          <w:szCs w:val="32"/>
        </w:rPr>
        <w:t>American Indian Public Charter</w:t>
      </w:r>
      <w:r>
        <w:rPr>
          <w:rFonts w:ascii="Times New Roman" w:hAnsi="Times New Roman" w:cs="Times New Roman"/>
          <w:b/>
          <w:sz w:val="32"/>
          <w:szCs w:val="32"/>
        </w:rPr>
        <w:t xml:space="preserve"> II</w:t>
      </w:r>
    </w:p>
    <w:p w:rsidR="00760D46" w:rsidRDefault="00912C67" w:rsidP="00DB67FC">
      <w:pPr>
        <w:rPr>
          <w:rFonts w:ascii="Times New Roman" w:hAnsi="Times New Roman" w:cs="Times New Roman"/>
          <w:sz w:val="24"/>
          <w:szCs w:val="24"/>
        </w:rPr>
      </w:pPr>
      <w:r w:rsidRPr="00912C67">
        <w:drawing>
          <wp:inline distT="0" distB="0" distL="0" distR="0">
            <wp:extent cx="6362700" cy="2162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63877" cy="2162575"/>
                    </a:xfrm>
                    <a:prstGeom prst="rect">
                      <a:avLst/>
                    </a:prstGeom>
                    <a:noFill/>
                    <a:ln>
                      <a:noFill/>
                    </a:ln>
                  </pic:spPr>
                </pic:pic>
              </a:graphicData>
            </a:graphic>
          </wp:inline>
        </w:drawing>
      </w:r>
    </w:p>
    <w:p w:rsidR="00E7076D" w:rsidRPr="00E7076D" w:rsidRDefault="00E7076D" w:rsidP="00E7076D">
      <w:pPr>
        <w:rPr>
          <w:rFonts w:ascii="Times New Roman" w:hAnsi="Times New Roman" w:cs="Times New Roman"/>
          <w:b/>
          <w:i/>
          <w:sz w:val="24"/>
          <w:szCs w:val="24"/>
          <w:u w:val="single"/>
        </w:rPr>
      </w:pPr>
      <w:bookmarkStart w:id="8" w:name="_Hlk73535665"/>
      <w:r w:rsidRPr="00E7076D">
        <w:rPr>
          <w:rFonts w:ascii="Times New Roman" w:hAnsi="Times New Roman" w:cs="Times New Roman"/>
          <w:b/>
          <w:i/>
          <w:sz w:val="24"/>
          <w:szCs w:val="24"/>
          <w:u w:val="single"/>
        </w:rPr>
        <w:t>Explanations</w:t>
      </w:r>
    </w:p>
    <w:bookmarkEnd w:id="8"/>
    <w:p w:rsidR="00F13F4F" w:rsidRDefault="00912C67" w:rsidP="00DB67FC">
      <w:pPr>
        <w:rPr>
          <w:rFonts w:ascii="Times New Roman" w:hAnsi="Times New Roman" w:cs="Times New Roman"/>
          <w:sz w:val="24"/>
          <w:szCs w:val="24"/>
        </w:rPr>
      </w:pPr>
      <w:r w:rsidRPr="00912C67">
        <w:drawing>
          <wp:inline distT="0" distB="0" distL="0" distR="0">
            <wp:extent cx="6410325" cy="20858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511" cy="2101168"/>
                    </a:xfrm>
                    <a:prstGeom prst="rect">
                      <a:avLst/>
                    </a:prstGeom>
                    <a:noFill/>
                    <a:ln>
                      <a:noFill/>
                    </a:ln>
                  </pic:spPr>
                </pic:pic>
              </a:graphicData>
            </a:graphic>
          </wp:inline>
        </w:drawing>
      </w:r>
    </w:p>
    <w:p w:rsidR="00E7076D" w:rsidRDefault="00E7076D" w:rsidP="00DB67FC">
      <w:pPr>
        <w:rPr>
          <w:rFonts w:ascii="Times New Roman" w:hAnsi="Times New Roman" w:cs="Times New Roman"/>
          <w:sz w:val="24"/>
          <w:szCs w:val="24"/>
        </w:rPr>
      </w:pPr>
    </w:p>
    <w:p w:rsidR="00E7076D" w:rsidRDefault="00E7076D" w:rsidP="00DB67FC">
      <w:pPr>
        <w:rPr>
          <w:rFonts w:ascii="Times New Roman" w:hAnsi="Times New Roman" w:cs="Times New Roman"/>
          <w:sz w:val="24"/>
          <w:szCs w:val="24"/>
        </w:rPr>
      </w:pPr>
    </w:p>
    <w:p w:rsidR="009D5DA5" w:rsidRDefault="009D5DA5" w:rsidP="00DB67FC">
      <w:pPr>
        <w:rPr>
          <w:rFonts w:ascii="Times New Roman" w:hAnsi="Times New Roman" w:cs="Times New Roman"/>
          <w:sz w:val="24"/>
          <w:szCs w:val="24"/>
        </w:rPr>
      </w:pPr>
    </w:p>
    <w:p w:rsidR="00E7076D" w:rsidRDefault="00E7076D" w:rsidP="00DB67FC">
      <w:pPr>
        <w:rPr>
          <w:rFonts w:ascii="Times New Roman" w:hAnsi="Times New Roman" w:cs="Times New Roman"/>
          <w:sz w:val="24"/>
          <w:szCs w:val="24"/>
        </w:rPr>
      </w:pPr>
      <w:r w:rsidRPr="00E7076D">
        <w:rPr>
          <w:rFonts w:ascii="Times New Roman" w:hAnsi="Times New Roman" w:cs="Times New Roman"/>
          <w:b/>
          <w:sz w:val="32"/>
          <w:szCs w:val="32"/>
        </w:rPr>
        <w:t xml:space="preserve">American Indian Public </w:t>
      </w:r>
      <w:r>
        <w:rPr>
          <w:rFonts w:ascii="Times New Roman" w:hAnsi="Times New Roman" w:cs="Times New Roman"/>
          <w:b/>
          <w:sz w:val="32"/>
          <w:szCs w:val="32"/>
        </w:rPr>
        <w:t>High School</w:t>
      </w:r>
    </w:p>
    <w:p w:rsidR="00F13F4F" w:rsidRDefault="00912C67" w:rsidP="00DB67FC">
      <w:pPr>
        <w:rPr>
          <w:rFonts w:ascii="Times New Roman" w:hAnsi="Times New Roman" w:cs="Times New Roman"/>
          <w:sz w:val="24"/>
          <w:szCs w:val="24"/>
        </w:rPr>
      </w:pPr>
      <w:r w:rsidRPr="00912C67">
        <w:drawing>
          <wp:inline distT="0" distB="0" distL="0" distR="0">
            <wp:extent cx="6229717" cy="2619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4063" cy="2633816"/>
                    </a:xfrm>
                    <a:prstGeom prst="rect">
                      <a:avLst/>
                    </a:prstGeom>
                    <a:noFill/>
                    <a:ln>
                      <a:noFill/>
                    </a:ln>
                  </pic:spPr>
                </pic:pic>
              </a:graphicData>
            </a:graphic>
          </wp:inline>
        </w:drawing>
      </w:r>
    </w:p>
    <w:p w:rsidR="009D5DA5" w:rsidRDefault="009D5DA5" w:rsidP="009D5DA5">
      <w:pPr>
        <w:rPr>
          <w:rFonts w:ascii="Times New Roman" w:hAnsi="Times New Roman" w:cs="Times New Roman"/>
          <w:b/>
          <w:i/>
          <w:sz w:val="24"/>
          <w:szCs w:val="24"/>
          <w:u w:val="single"/>
        </w:rPr>
      </w:pPr>
    </w:p>
    <w:p w:rsidR="009D5DA5" w:rsidRPr="00E7076D" w:rsidRDefault="009D5DA5" w:rsidP="009D5DA5">
      <w:pPr>
        <w:rPr>
          <w:rFonts w:ascii="Times New Roman" w:hAnsi="Times New Roman" w:cs="Times New Roman"/>
          <w:b/>
          <w:i/>
          <w:sz w:val="24"/>
          <w:szCs w:val="24"/>
          <w:u w:val="single"/>
        </w:rPr>
      </w:pPr>
      <w:r w:rsidRPr="00E7076D">
        <w:rPr>
          <w:rFonts w:ascii="Times New Roman" w:hAnsi="Times New Roman" w:cs="Times New Roman"/>
          <w:b/>
          <w:i/>
          <w:sz w:val="24"/>
          <w:szCs w:val="24"/>
          <w:u w:val="single"/>
        </w:rPr>
        <w:t>Explanations</w:t>
      </w:r>
    </w:p>
    <w:p w:rsidR="00F13F4F" w:rsidRDefault="00912C67" w:rsidP="00DB67FC">
      <w:pPr>
        <w:rPr>
          <w:rFonts w:ascii="Times New Roman" w:hAnsi="Times New Roman" w:cs="Times New Roman"/>
          <w:sz w:val="24"/>
          <w:szCs w:val="24"/>
        </w:rPr>
      </w:pPr>
      <w:r w:rsidRPr="00912C67">
        <w:drawing>
          <wp:inline distT="0" distB="0" distL="0" distR="0">
            <wp:extent cx="6215380" cy="272408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1706" cy="2731240"/>
                    </a:xfrm>
                    <a:prstGeom prst="rect">
                      <a:avLst/>
                    </a:prstGeom>
                    <a:noFill/>
                    <a:ln>
                      <a:noFill/>
                    </a:ln>
                  </pic:spPr>
                </pic:pic>
              </a:graphicData>
            </a:graphic>
          </wp:inline>
        </w:drawing>
      </w:r>
    </w:p>
    <w:tbl>
      <w:tblPr>
        <w:tblW w:w="8216" w:type="dxa"/>
        <w:tblLook w:val="04A0" w:firstRow="1" w:lastRow="0" w:firstColumn="1" w:lastColumn="0" w:noHBand="0" w:noVBand="1"/>
      </w:tblPr>
      <w:tblGrid>
        <w:gridCol w:w="8216"/>
      </w:tblGrid>
      <w:tr w:rsidR="00617C22" w:rsidRPr="00617C22" w:rsidTr="00F13F4F">
        <w:trPr>
          <w:trHeight w:val="216"/>
        </w:trPr>
        <w:tc>
          <w:tcPr>
            <w:tcW w:w="8216" w:type="dxa"/>
            <w:tcBorders>
              <w:top w:val="nil"/>
              <w:left w:val="nil"/>
              <w:bottom w:val="nil"/>
              <w:right w:val="nil"/>
            </w:tcBorders>
            <w:shd w:val="clear" w:color="auto" w:fill="auto"/>
            <w:noWrap/>
            <w:vAlign w:val="bottom"/>
          </w:tcPr>
          <w:p w:rsidR="00617C22" w:rsidRPr="00617C22" w:rsidRDefault="00617C22" w:rsidP="00617C22">
            <w:pPr>
              <w:pStyle w:val="NoSpacing"/>
              <w:rPr>
                <w:sz w:val="20"/>
                <w:szCs w:val="20"/>
              </w:rPr>
            </w:pPr>
          </w:p>
        </w:tc>
      </w:tr>
      <w:tr w:rsidR="00617C22" w:rsidRPr="00617C22" w:rsidTr="00F13F4F">
        <w:trPr>
          <w:trHeight w:val="216"/>
        </w:trPr>
        <w:tc>
          <w:tcPr>
            <w:tcW w:w="8216" w:type="dxa"/>
            <w:tcBorders>
              <w:top w:val="nil"/>
              <w:left w:val="nil"/>
              <w:bottom w:val="nil"/>
              <w:right w:val="nil"/>
            </w:tcBorders>
            <w:shd w:val="clear" w:color="auto" w:fill="auto"/>
            <w:noWrap/>
            <w:vAlign w:val="bottom"/>
          </w:tcPr>
          <w:p w:rsidR="00617C22" w:rsidRPr="00617C22" w:rsidRDefault="00617C22" w:rsidP="00617C22">
            <w:pPr>
              <w:pStyle w:val="NoSpacing"/>
              <w:rPr>
                <w:sz w:val="20"/>
                <w:szCs w:val="20"/>
              </w:rPr>
            </w:pPr>
          </w:p>
        </w:tc>
      </w:tr>
      <w:tr w:rsidR="00617C22" w:rsidRPr="00617C22" w:rsidTr="00F13F4F">
        <w:trPr>
          <w:trHeight w:val="216"/>
        </w:trPr>
        <w:tc>
          <w:tcPr>
            <w:tcW w:w="8216" w:type="dxa"/>
            <w:tcBorders>
              <w:top w:val="nil"/>
              <w:left w:val="nil"/>
              <w:bottom w:val="nil"/>
              <w:right w:val="nil"/>
            </w:tcBorders>
            <w:shd w:val="clear" w:color="auto" w:fill="auto"/>
            <w:noWrap/>
            <w:vAlign w:val="bottom"/>
          </w:tcPr>
          <w:p w:rsidR="00617C22" w:rsidRPr="00617C22" w:rsidRDefault="00617C22" w:rsidP="00617C22">
            <w:pPr>
              <w:pStyle w:val="NoSpacing"/>
              <w:rPr>
                <w:sz w:val="20"/>
                <w:szCs w:val="20"/>
              </w:rPr>
            </w:pPr>
          </w:p>
        </w:tc>
      </w:tr>
    </w:tbl>
    <w:p w:rsidR="00617C22" w:rsidRDefault="00617C22" w:rsidP="00DB67FC">
      <w:pPr>
        <w:rPr>
          <w:rFonts w:ascii="Times New Roman" w:hAnsi="Times New Roman" w:cs="Times New Roman"/>
          <w:sz w:val="24"/>
          <w:szCs w:val="24"/>
        </w:rPr>
      </w:pPr>
    </w:p>
    <w:p w:rsidR="00617C22" w:rsidRDefault="00617C22" w:rsidP="00DB67FC">
      <w:pPr>
        <w:rPr>
          <w:rFonts w:ascii="Times New Roman" w:hAnsi="Times New Roman" w:cs="Times New Roman"/>
          <w:sz w:val="24"/>
          <w:szCs w:val="24"/>
        </w:rPr>
      </w:pPr>
    </w:p>
    <w:p w:rsidR="00F13F4F" w:rsidRDefault="00F13F4F" w:rsidP="00DB67FC">
      <w:pPr>
        <w:rPr>
          <w:rFonts w:ascii="Times New Roman" w:hAnsi="Times New Roman" w:cs="Times New Roman"/>
          <w:sz w:val="24"/>
          <w:szCs w:val="24"/>
        </w:rPr>
      </w:pP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13F4F">
        <w:rPr>
          <w:rFonts w:ascii="Times New Roman" w:hAnsi="Times New Roman" w:cs="Times New Roman"/>
          <w:sz w:val="24"/>
          <w:szCs w:val="24"/>
        </w:rPr>
        <w:t>52</w:t>
      </w:r>
      <w:r w:rsidRPr="00CD4F7C">
        <w:rPr>
          <w:rFonts w:ascii="Times New Roman" w:hAnsi="Times New Roman" w:cs="Times New Roman"/>
          <w:sz w:val="24"/>
          <w:szCs w:val="24"/>
        </w:rPr>
        <w:t>% of expenses across all American Indian Public 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AIMS offers a competitive compensation package for both certificated and classified staff. Employee Benefit expense at AIMS averages</w:t>
      </w:r>
      <w:r w:rsidR="00F13F4F">
        <w:rPr>
          <w:rFonts w:ascii="Times New Roman" w:hAnsi="Times New Roman" w:cs="Times New Roman"/>
          <w:sz w:val="24"/>
          <w:szCs w:val="24"/>
        </w:rPr>
        <w:t xml:space="preserve"> 23</w:t>
      </w:r>
      <w:r w:rsidR="00687FE6" w:rsidRPr="00687FE6">
        <w:rPr>
          <w:rFonts w:ascii="Times New Roman" w:hAnsi="Times New Roman" w:cs="Times New Roman"/>
          <w:sz w:val="24"/>
          <w:szCs w:val="24"/>
        </w:rPr>
        <w:t>% across all schools. This can vary greatly due to two primary factors: health and welfare benefits and PERS</w:t>
      </w:r>
      <w:r w:rsidR="00F13F4F">
        <w:rPr>
          <w:rFonts w:ascii="Times New Roman" w:hAnsi="Times New Roman" w:cs="Times New Roman"/>
          <w:sz w:val="24"/>
          <w:szCs w:val="24"/>
        </w:rPr>
        <w:t xml:space="preserve"> </w:t>
      </w:r>
      <w:r w:rsidR="00231984">
        <w:rPr>
          <w:rFonts w:ascii="Times New Roman" w:hAnsi="Times New Roman" w:cs="Times New Roman"/>
          <w:sz w:val="24"/>
          <w:szCs w:val="24"/>
        </w:rPr>
        <w:t>participation</w:t>
      </w:r>
      <w:r w:rsidR="00687FE6" w:rsidRPr="00687FE6">
        <w:rPr>
          <w:rFonts w:ascii="Times New Roman" w:hAnsi="Times New Roman" w:cs="Times New Roman"/>
          <w:sz w:val="24"/>
          <w:szCs w:val="24"/>
        </w:rPr>
        <w:t xml:space="preserve">. 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Compensation for staff at American Indian Public Charter (AIPCS)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9D5DA5" w:rsidRDefault="009D5DA5" w:rsidP="006121AD">
      <w:pPr>
        <w:jc w:val="both"/>
        <w:rPr>
          <w:rFonts w:ascii="Times New Roman" w:hAnsi="Times New Roman" w:cs="Times New Roman"/>
          <w:sz w:val="24"/>
          <w:szCs w:val="24"/>
        </w:rPr>
      </w:pPr>
    </w:p>
    <w:p w:rsidR="009D5DA5" w:rsidRDefault="009D5DA5" w:rsidP="006121AD">
      <w:pPr>
        <w:jc w:val="both"/>
        <w:rPr>
          <w:rFonts w:ascii="Times New Roman" w:hAnsi="Times New Roman" w:cs="Times New Roman"/>
          <w:sz w:val="24"/>
          <w:szCs w:val="24"/>
        </w:rPr>
      </w:pPr>
    </w:p>
    <w:p w:rsidR="009D5DA5" w:rsidRDefault="009D5DA5" w:rsidP="006121AD">
      <w:pPr>
        <w:jc w:val="both"/>
        <w:rPr>
          <w:rFonts w:ascii="Times New Roman" w:hAnsi="Times New Roman" w:cs="Times New Roman"/>
          <w:sz w:val="24"/>
          <w:szCs w:val="24"/>
        </w:rPr>
      </w:pPr>
    </w:p>
    <w:p w:rsidR="009D5DA5" w:rsidRDefault="009D5DA5" w:rsidP="006121AD">
      <w:pPr>
        <w:jc w:val="both"/>
        <w:rPr>
          <w:rFonts w:ascii="Times New Roman" w:hAnsi="Times New Roman" w:cs="Times New Roman"/>
          <w:sz w:val="24"/>
          <w:szCs w:val="24"/>
        </w:rPr>
      </w:pPr>
    </w:p>
    <w:p w:rsidR="009D5DA5" w:rsidRDefault="009D5DA5" w:rsidP="006121AD">
      <w:pPr>
        <w:jc w:val="both"/>
        <w:rPr>
          <w:rFonts w:ascii="Times New Roman" w:hAnsi="Times New Roman" w:cs="Times New Roman"/>
          <w:sz w:val="24"/>
          <w:szCs w:val="24"/>
        </w:rPr>
      </w:pPr>
    </w:p>
    <w:p w:rsidR="00912C67" w:rsidRDefault="00912C67" w:rsidP="006121AD">
      <w:pPr>
        <w:jc w:val="both"/>
        <w:rPr>
          <w:rFonts w:ascii="Times New Roman" w:hAnsi="Times New Roman" w:cs="Times New Roman"/>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FA1A5A">
        <w:rPr>
          <w:rFonts w:ascii="Times New Roman" w:hAnsi="Times New Roman" w:cs="Times New Roman"/>
          <w:sz w:val="24"/>
          <w:szCs w:val="24"/>
        </w:rPr>
        <w:t xml:space="preserve">To capitalize an expense in </w:t>
      </w:r>
      <w:proofErr w:type="gramStart"/>
      <w:r w:rsidR="00F13F4F">
        <w:rPr>
          <w:rFonts w:ascii="Times New Roman" w:hAnsi="Times New Roman" w:cs="Times New Roman"/>
          <w:sz w:val="24"/>
          <w:szCs w:val="24"/>
        </w:rPr>
        <w:t>school</w:t>
      </w:r>
      <w:proofErr w:type="gramEnd"/>
      <w:r w:rsidR="00FA1A5A">
        <w:rPr>
          <w:rFonts w:ascii="Times New Roman" w:hAnsi="Times New Roman" w:cs="Times New Roman"/>
          <w:sz w:val="24"/>
          <w:szCs w:val="24"/>
        </w:rPr>
        <w:t xml:space="preserve"> finance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DB67FC"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the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encroaches on the General Fund to pay OUSD to provide the needed services. </w:t>
      </w:r>
      <w:r w:rsidR="00DB67FC">
        <w:rPr>
          <w:rFonts w:ascii="Times New Roman" w:hAnsi="Times New Roman" w:cs="Times New Roman"/>
          <w:sz w:val="24"/>
          <w:szCs w:val="24"/>
        </w:rPr>
        <w:t xml:space="preserve">During Budget Development the projection assumed $1,900 per ADA, </w:t>
      </w:r>
      <w:r w:rsidR="00E52C16">
        <w:rPr>
          <w:rFonts w:ascii="Times New Roman" w:hAnsi="Times New Roman" w:cs="Times New Roman"/>
          <w:sz w:val="24"/>
          <w:szCs w:val="24"/>
        </w:rPr>
        <w:t>during the 2</w:t>
      </w:r>
      <w:r w:rsidR="00F13F4F">
        <w:rPr>
          <w:rFonts w:ascii="Times New Roman" w:hAnsi="Times New Roman" w:cs="Times New Roman"/>
          <w:sz w:val="24"/>
          <w:szCs w:val="24"/>
        </w:rPr>
        <w:t>1</w:t>
      </w:r>
      <w:r w:rsidR="00E52C16">
        <w:rPr>
          <w:rFonts w:ascii="Times New Roman" w:hAnsi="Times New Roman" w:cs="Times New Roman"/>
          <w:sz w:val="24"/>
          <w:szCs w:val="24"/>
        </w:rPr>
        <w:t>-2</w:t>
      </w:r>
      <w:r w:rsidR="00F13F4F">
        <w:rPr>
          <w:rFonts w:ascii="Times New Roman" w:hAnsi="Times New Roman" w:cs="Times New Roman"/>
          <w:sz w:val="24"/>
          <w:szCs w:val="24"/>
        </w:rPr>
        <w:t>2</w:t>
      </w:r>
      <w:r w:rsidR="00E52C16">
        <w:rPr>
          <w:rFonts w:ascii="Times New Roman" w:hAnsi="Times New Roman" w:cs="Times New Roman"/>
          <w:sz w:val="24"/>
          <w:szCs w:val="24"/>
        </w:rPr>
        <w:t xml:space="preserve"> fiscal year, the rate </w:t>
      </w:r>
      <w:r w:rsidR="00F13F4F">
        <w:rPr>
          <w:rFonts w:ascii="Times New Roman" w:hAnsi="Times New Roman" w:cs="Times New Roman"/>
          <w:sz w:val="24"/>
          <w:szCs w:val="24"/>
        </w:rPr>
        <w:t xml:space="preserve">for 20-21 </w:t>
      </w:r>
      <w:r w:rsidR="00E52C16">
        <w:rPr>
          <w:rFonts w:ascii="Times New Roman" w:hAnsi="Times New Roman" w:cs="Times New Roman"/>
          <w:sz w:val="24"/>
          <w:szCs w:val="24"/>
        </w:rPr>
        <w:t>was</w:t>
      </w:r>
      <w:r w:rsidR="00DB67FC">
        <w:rPr>
          <w:rFonts w:ascii="Times New Roman" w:hAnsi="Times New Roman" w:cs="Times New Roman"/>
          <w:sz w:val="24"/>
          <w:szCs w:val="24"/>
        </w:rPr>
        <w:t xml:space="preserve"> $1,500 per ADA.</w:t>
      </w:r>
    </w:p>
    <w:p w:rsidR="009D5DA5" w:rsidRDefault="009D5DA5" w:rsidP="00CD4F7C">
      <w:pPr>
        <w:jc w:val="both"/>
        <w:rPr>
          <w:rFonts w:ascii="Times New Roman" w:hAnsi="Times New Roman" w:cs="Times New Roman"/>
          <w:sz w:val="24"/>
          <w:szCs w:val="24"/>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F13F4F" w:rsidP="003B03CB">
      <w:pPr>
        <w:jc w:val="both"/>
        <w:rPr>
          <w:rFonts w:ascii="Times New Roman" w:hAnsi="Times New Roman" w:cs="Times New Roman"/>
          <w:sz w:val="24"/>
          <w:szCs w:val="24"/>
        </w:rPr>
      </w:pPr>
      <w:r>
        <w:rPr>
          <w:rFonts w:ascii="Times New Roman" w:hAnsi="Times New Roman" w:cs="Times New Roman"/>
          <w:sz w:val="24"/>
          <w:szCs w:val="24"/>
        </w:rPr>
        <w:t xml:space="preserve">For the </w:t>
      </w:r>
      <w:r w:rsidR="0042557B">
        <w:rPr>
          <w:rFonts w:ascii="Times New Roman" w:hAnsi="Times New Roman" w:cs="Times New Roman"/>
          <w:sz w:val="24"/>
          <w:szCs w:val="24"/>
        </w:rPr>
        <w:t>202</w:t>
      </w:r>
      <w:r>
        <w:rPr>
          <w:rFonts w:ascii="Times New Roman" w:hAnsi="Times New Roman" w:cs="Times New Roman"/>
          <w:sz w:val="24"/>
          <w:szCs w:val="24"/>
        </w:rPr>
        <w:t>1</w:t>
      </w:r>
      <w:r w:rsidR="0042557B">
        <w:rPr>
          <w:rFonts w:ascii="Times New Roman" w:hAnsi="Times New Roman" w:cs="Times New Roman"/>
          <w:sz w:val="24"/>
          <w:szCs w:val="24"/>
        </w:rPr>
        <w:t>-202</w:t>
      </w:r>
      <w:r>
        <w:rPr>
          <w:rFonts w:ascii="Times New Roman" w:hAnsi="Times New Roman" w:cs="Times New Roman"/>
          <w:sz w:val="24"/>
          <w:szCs w:val="24"/>
        </w:rPr>
        <w:t>2 Adoption</w:t>
      </w:r>
      <w:r w:rsidR="0042557B">
        <w:rPr>
          <w:rFonts w:ascii="Times New Roman" w:hAnsi="Times New Roman" w:cs="Times New Roman"/>
          <w:sz w:val="24"/>
          <w:szCs w:val="24"/>
        </w:rPr>
        <w:t>,</w:t>
      </w:r>
      <w:r w:rsidR="00F27DF2" w:rsidRPr="00F27DF2">
        <w:rPr>
          <w:rFonts w:ascii="Times New Roman" w:hAnsi="Times New Roman" w:cs="Times New Roman"/>
          <w:sz w:val="24"/>
          <w:szCs w:val="24"/>
        </w:rPr>
        <w:t xml:space="preserve"> </w:t>
      </w:r>
      <w:r w:rsidR="00D623C2">
        <w:rPr>
          <w:rFonts w:ascii="Times New Roman" w:hAnsi="Times New Roman" w:cs="Times New Roman"/>
          <w:sz w:val="24"/>
          <w:szCs w:val="24"/>
        </w:rPr>
        <w:t>AIMS K-</w:t>
      </w:r>
      <w:r w:rsidR="00760D46">
        <w:rPr>
          <w:rFonts w:ascii="Times New Roman" w:hAnsi="Times New Roman" w:cs="Times New Roman"/>
          <w:sz w:val="24"/>
          <w:szCs w:val="24"/>
        </w:rPr>
        <w:t>12 has</w:t>
      </w:r>
      <w:r w:rsidR="00DB67FC">
        <w:rPr>
          <w:rFonts w:ascii="Times New Roman" w:hAnsi="Times New Roman" w:cs="Times New Roman"/>
          <w:sz w:val="24"/>
          <w:szCs w:val="24"/>
        </w:rPr>
        <w:t xml:space="preserve"> projected </w:t>
      </w:r>
      <w:r w:rsidR="003B03CB">
        <w:rPr>
          <w:rFonts w:ascii="Times New Roman" w:hAnsi="Times New Roman" w:cs="Times New Roman"/>
          <w:sz w:val="24"/>
          <w:szCs w:val="24"/>
        </w:rPr>
        <w:t>$</w:t>
      </w:r>
      <w:r w:rsidR="00503954" w:rsidRPr="00503954">
        <w:rPr>
          <w:rFonts w:ascii="Times New Roman" w:hAnsi="Times New Roman" w:cs="Times New Roman"/>
          <w:sz w:val="24"/>
          <w:szCs w:val="24"/>
        </w:rPr>
        <w:t>18,</w:t>
      </w:r>
      <w:r w:rsidR="00912C67">
        <w:rPr>
          <w:rFonts w:ascii="Times New Roman" w:hAnsi="Times New Roman" w:cs="Times New Roman"/>
          <w:sz w:val="24"/>
          <w:szCs w:val="24"/>
        </w:rPr>
        <w:t>715,859</w:t>
      </w:r>
      <w:r w:rsidR="003B03CB">
        <w:rPr>
          <w:rFonts w:ascii="Times New Roman" w:hAnsi="Times New Roman" w:cs="Times New Roman"/>
          <w:sz w:val="24"/>
          <w:szCs w:val="24"/>
        </w:rPr>
        <w:t xml:space="preserve"> in revenue. The composition of those funds are as follows:</w:t>
      </w:r>
    </w:p>
    <w:p w:rsidR="00912C67" w:rsidRDefault="00912C67" w:rsidP="003B03CB">
      <w:pPr>
        <w:jc w:val="both"/>
        <w:rPr>
          <w:rFonts w:ascii="Times New Roman" w:hAnsi="Times New Roman" w:cs="Times New Roman"/>
          <w:sz w:val="24"/>
          <w:szCs w:val="24"/>
        </w:rPr>
      </w:pPr>
    </w:p>
    <w:p w:rsidR="00760D46" w:rsidRDefault="00912C67" w:rsidP="00912C67">
      <w:pPr>
        <w:jc w:val="center"/>
        <w:rPr>
          <w:rFonts w:ascii="Times New Roman" w:hAnsi="Times New Roman" w:cs="Times New Roman"/>
          <w:sz w:val="24"/>
          <w:szCs w:val="24"/>
        </w:rPr>
      </w:pPr>
      <w:r w:rsidRPr="00912C67">
        <w:drawing>
          <wp:inline distT="0" distB="0" distL="0" distR="0">
            <wp:extent cx="5676900"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6900" cy="1828800"/>
                    </a:xfrm>
                    <a:prstGeom prst="rect">
                      <a:avLst/>
                    </a:prstGeom>
                    <a:noFill/>
                    <a:ln>
                      <a:noFill/>
                    </a:ln>
                  </pic:spPr>
                </pic:pic>
              </a:graphicData>
            </a:graphic>
          </wp:inline>
        </w:drawing>
      </w: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912C67" w:rsidRDefault="00912C67" w:rsidP="00912C67">
      <w:pPr>
        <w:jc w:val="center"/>
        <w:rPr>
          <w:rFonts w:ascii="Times New Roman" w:hAnsi="Times New Roman" w:cs="Times New Roman"/>
          <w:sz w:val="24"/>
          <w:szCs w:val="24"/>
        </w:rPr>
      </w:pPr>
    </w:p>
    <w:p w:rsid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w:t>
      </w:r>
      <w:r w:rsidR="00DB67FC">
        <w:rPr>
          <w:rFonts w:ascii="Times New Roman" w:hAnsi="Times New Roman" w:cs="Times New Roman"/>
          <w:sz w:val="24"/>
          <w:szCs w:val="24"/>
        </w:rPr>
        <w:t xml:space="preserve"> K12 has projected to expense</w:t>
      </w:r>
      <w:r>
        <w:rPr>
          <w:rFonts w:ascii="Times New Roman" w:hAnsi="Times New Roman" w:cs="Times New Roman"/>
          <w:sz w:val="24"/>
          <w:szCs w:val="24"/>
        </w:rPr>
        <w:t xml:space="preserve"> $</w:t>
      </w:r>
      <w:r w:rsidR="00F13F4F">
        <w:rPr>
          <w:rFonts w:ascii="Times New Roman" w:hAnsi="Times New Roman" w:cs="Times New Roman"/>
          <w:sz w:val="24"/>
          <w:szCs w:val="24"/>
        </w:rPr>
        <w:t>18,073,266</w:t>
      </w:r>
      <w:r>
        <w:rPr>
          <w:rFonts w:ascii="Times New Roman" w:hAnsi="Times New Roman" w:cs="Times New Roman"/>
          <w:sz w:val="24"/>
          <w:szCs w:val="24"/>
        </w:rPr>
        <w:t xml:space="preserve"> during the 20</w:t>
      </w:r>
      <w:r w:rsidR="00DB67FC">
        <w:rPr>
          <w:rFonts w:ascii="Times New Roman" w:hAnsi="Times New Roman" w:cs="Times New Roman"/>
          <w:sz w:val="24"/>
          <w:szCs w:val="24"/>
        </w:rPr>
        <w:t>2</w:t>
      </w:r>
      <w:r w:rsidR="00F13F4F">
        <w:rPr>
          <w:rFonts w:ascii="Times New Roman" w:hAnsi="Times New Roman" w:cs="Times New Roman"/>
          <w:sz w:val="24"/>
          <w:szCs w:val="24"/>
        </w:rPr>
        <w:t>1</w:t>
      </w:r>
      <w:r>
        <w:rPr>
          <w:rFonts w:ascii="Times New Roman" w:hAnsi="Times New Roman" w:cs="Times New Roman"/>
          <w:sz w:val="24"/>
          <w:szCs w:val="24"/>
        </w:rPr>
        <w:t>-202</w:t>
      </w:r>
      <w:r w:rsidR="00F13F4F">
        <w:rPr>
          <w:rFonts w:ascii="Times New Roman" w:hAnsi="Times New Roman" w:cs="Times New Roman"/>
          <w:sz w:val="24"/>
          <w:szCs w:val="24"/>
        </w:rPr>
        <w:t>2 fiscal year</w:t>
      </w:r>
      <w:r w:rsidR="00FA1A5A">
        <w:rPr>
          <w:rFonts w:ascii="Times New Roman" w:hAnsi="Times New Roman" w:cs="Times New Roman"/>
          <w:sz w:val="24"/>
          <w:szCs w:val="24"/>
        </w:rPr>
        <w:t>.</w:t>
      </w:r>
    </w:p>
    <w:p w:rsidR="00CD4F7C" w:rsidRDefault="00F13F4F" w:rsidP="00FA1A5A">
      <w:pPr>
        <w:jc w:val="center"/>
        <w:rPr>
          <w:rFonts w:ascii="Times New Roman" w:hAnsi="Times New Roman" w:cs="Times New Roman"/>
          <w:b/>
          <w:sz w:val="24"/>
          <w:szCs w:val="24"/>
        </w:rPr>
      </w:pPr>
      <w:r w:rsidRPr="00F13F4F">
        <w:rPr>
          <w:noProof/>
        </w:rPr>
        <w:drawing>
          <wp:inline distT="0" distB="0" distL="0" distR="0">
            <wp:extent cx="5998028" cy="2046605"/>
            <wp:effectExtent l="0" t="0" r="317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9854" cy="2047228"/>
                    </a:xfrm>
                    <a:prstGeom prst="rect">
                      <a:avLst/>
                    </a:prstGeom>
                    <a:noFill/>
                    <a:ln>
                      <a:noFill/>
                    </a:ln>
                  </pic:spPr>
                </pic:pic>
              </a:graphicData>
            </a:graphic>
          </wp:inline>
        </w:drawing>
      </w:r>
    </w:p>
    <w:p w:rsidR="00F13F4F" w:rsidRDefault="00F13F4F" w:rsidP="00FA1A5A">
      <w:pPr>
        <w:jc w:val="center"/>
        <w:rPr>
          <w:rFonts w:ascii="Times New Roman" w:hAnsi="Times New Roman" w:cs="Times New Roman"/>
          <w:b/>
          <w:sz w:val="24"/>
          <w:szCs w:val="24"/>
        </w:rPr>
      </w:pPr>
    </w:p>
    <w:p w:rsidR="00FA1A5A" w:rsidRDefault="00FA1A5A" w:rsidP="00F13F4F">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Projected revenues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sidR="00F13F4F">
        <w:rPr>
          <w:rFonts w:ascii="Times New Roman" w:hAnsi="Times New Roman" w:cs="Times New Roman"/>
          <w:b/>
          <w:sz w:val="24"/>
          <w:szCs w:val="24"/>
        </w:rPr>
        <w:t>18,</w:t>
      </w:r>
      <w:r w:rsidR="00912C67">
        <w:rPr>
          <w:rFonts w:ascii="Times New Roman" w:hAnsi="Times New Roman" w:cs="Times New Roman"/>
          <w:b/>
          <w:sz w:val="24"/>
          <w:szCs w:val="24"/>
        </w:rPr>
        <w:t>715</w:t>
      </w:r>
      <w:r w:rsidR="00F13F4F">
        <w:rPr>
          <w:rFonts w:ascii="Times New Roman" w:hAnsi="Times New Roman" w:cs="Times New Roman"/>
          <w:b/>
          <w:sz w:val="24"/>
          <w:szCs w:val="24"/>
        </w:rPr>
        <w:t>,</w:t>
      </w:r>
      <w:r w:rsidR="00912C67">
        <w:rPr>
          <w:rFonts w:ascii="Times New Roman" w:hAnsi="Times New Roman" w:cs="Times New Roman"/>
          <w:b/>
          <w:sz w:val="24"/>
          <w:szCs w:val="24"/>
        </w:rPr>
        <w:t>859</w:t>
      </w:r>
    </w:p>
    <w:p w:rsidR="00FA1A5A" w:rsidRPr="00FA1A5A" w:rsidRDefault="00FA1A5A" w:rsidP="00F13F4F">
      <w:pPr>
        <w:ind w:firstLine="720"/>
        <w:jc w:val="center"/>
        <w:rPr>
          <w:rFonts w:ascii="Times New Roman" w:hAnsi="Times New Roman" w:cs="Times New Roman"/>
          <w:b/>
          <w:sz w:val="24"/>
          <w:szCs w:val="24"/>
          <w:u w:val="double"/>
        </w:rPr>
      </w:pPr>
      <w:r>
        <w:rPr>
          <w:rFonts w:ascii="Times New Roman" w:hAnsi="Times New Roman" w:cs="Times New Roman"/>
          <w:b/>
          <w:sz w:val="24"/>
          <w:szCs w:val="24"/>
        </w:rPr>
        <w:t xml:space="preserve">Projected Expenses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A1A5A">
        <w:rPr>
          <w:rFonts w:ascii="Times New Roman" w:hAnsi="Times New Roman" w:cs="Times New Roman"/>
          <w:b/>
          <w:sz w:val="24"/>
          <w:szCs w:val="24"/>
          <w:u w:val="double"/>
        </w:rPr>
        <w:t>$1</w:t>
      </w:r>
      <w:r w:rsidR="00F13F4F">
        <w:rPr>
          <w:rFonts w:ascii="Times New Roman" w:hAnsi="Times New Roman" w:cs="Times New Roman"/>
          <w:b/>
          <w:sz w:val="24"/>
          <w:szCs w:val="24"/>
          <w:u w:val="double"/>
        </w:rPr>
        <w:t>8,073,266</w:t>
      </w:r>
    </w:p>
    <w:p w:rsidR="00FA1A5A" w:rsidRDefault="00FA1A5A" w:rsidP="00F13F4F">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Surplus of Revenue </w:t>
      </w:r>
      <w:r w:rsidR="008013A4">
        <w:rPr>
          <w:rFonts w:ascii="Times New Roman" w:hAnsi="Times New Roman" w:cs="Times New Roman"/>
          <w:b/>
          <w:sz w:val="24"/>
          <w:szCs w:val="24"/>
        </w:rPr>
        <w:t>Vs</w:t>
      </w:r>
      <w:r>
        <w:rPr>
          <w:rFonts w:ascii="Times New Roman" w:hAnsi="Times New Roman" w:cs="Times New Roman"/>
          <w:b/>
          <w:sz w:val="24"/>
          <w:szCs w:val="24"/>
        </w:rPr>
        <w:t xml:space="preserve"> Expense:</w:t>
      </w:r>
      <w:r>
        <w:rPr>
          <w:rFonts w:ascii="Times New Roman" w:hAnsi="Times New Roman" w:cs="Times New Roman"/>
          <w:b/>
          <w:sz w:val="24"/>
          <w:szCs w:val="24"/>
        </w:rPr>
        <w:tab/>
      </w:r>
      <w:r w:rsidR="00F13F4F">
        <w:rPr>
          <w:rFonts w:ascii="Times New Roman" w:hAnsi="Times New Roman" w:cs="Times New Roman"/>
          <w:b/>
          <w:sz w:val="24"/>
          <w:szCs w:val="24"/>
        </w:rPr>
        <w:t xml:space="preserve">   </w:t>
      </w:r>
      <w:r>
        <w:rPr>
          <w:rFonts w:ascii="Times New Roman" w:hAnsi="Times New Roman" w:cs="Times New Roman"/>
          <w:b/>
          <w:sz w:val="24"/>
          <w:szCs w:val="24"/>
        </w:rPr>
        <w:t>$</w:t>
      </w:r>
      <w:r w:rsidR="00912C67">
        <w:rPr>
          <w:rFonts w:ascii="Times New Roman" w:hAnsi="Times New Roman" w:cs="Times New Roman"/>
          <w:b/>
          <w:sz w:val="24"/>
          <w:szCs w:val="24"/>
        </w:rPr>
        <w:t>642,593</w:t>
      </w:r>
    </w:p>
    <w:p w:rsidR="00F13F4F" w:rsidRDefault="00F13F4F" w:rsidP="00F13F4F">
      <w:pPr>
        <w:ind w:firstLine="720"/>
        <w:jc w:val="center"/>
        <w:rPr>
          <w:rFonts w:ascii="Times New Roman" w:hAnsi="Times New Roman" w:cs="Times New Roman"/>
          <w:b/>
          <w:sz w:val="24"/>
          <w:szCs w:val="24"/>
        </w:rPr>
      </w:pPr>
    </w:p>
    <w:p w:rsidR="00DA5DD0" w:rsidRPr="00F13F4F" w:rsidRDefault="00F13F4F" w:rsidP="00FD2A27">
      <w:pPr>
        <w:jc w:val="both"/>
        <w:rPr>
          <w:rFonts w:ascii="Times New Roman" w:hAnsi="Times New Roman" w:cs="Times New Roman"/>
          <w:sz w:val="24"/>
          <w:szCs w:val="24"/>
        </w:rPr>
      </w:pPr>
      <w:r w:rsidRPr="00F13F4F">
        <w:rPr>
          <w:rFonts w:ascii="Times New Roman" w:hAnsi="Times New Roman" w:cs="Times New Roman"/>
          <w:sz w:val="24"/>
          <w:szCs w:val="24"/>
        </w:rPr>
        <w:t xml:space="preserve">The Surplus represents </w:t>
      </w:r>
      <w:r w:rsidR="00912C67">
        <w:rPr>
          <w:rFonts w:ascii="Times New Roman" w:hAnsi="Times New Roman" w:cs="Times New Roman"/>
          <w:sz w:val="24"/>
          <w:szCs w:val="24"/>
        </w:rPr>
        <w:t>4</w:t>
      </w:r>
      <w:r w:rsidRPr="00F13F4F">
        <w:rPr>
          <w:rFonts w:ascii="Times New Roman" w:hAnsi="Times New Roman" w:cs="Times New Roman"/>
          <w:sz w:val="24"/>
          <w:szCs w:val="24"/>
        </w:rPr>
        <w:t>% of Local Control Funding Formula (LCFF)revenue. Contributing to the beginning fund balance of $</w:t>
      </w:r>
      <w:r w:rsidR="00912C67">
        <w:rPr>
          <w:rFonts w:ascii="Times New Roman" w:hAnsi="Times New Roman" w:cs="Times New Roman"/>
          <w:sz w:val="24"/>
          <w:szCs w:val="24"/>
        </w:rPr>
        <w:t>5,344,332</w:t>
      </w:r>
      <w:r w:rsidRPr="00F13F4F">
        <w:rPr>
          <w:rFonts w:ascii="Times New Roman" w:hAnsi="Times New Roman" w:cs="Times New Roman"/>
          <w:sz w:val="24"/>
          <w:szCs w:val="24"/>
        </w:rPr>
        <w:t xml:space="preserve"> bringing the projected Ending Fund Balance to $</w:t>
      </w:r>
      <w:r w:rsidR="00912C67">
        <w:rPr>
          <w:rFonts w:ascii="Times New Roman" w:hAnsi="Times New Roman" w:cs="Times New Roman"/>
          <w:sz w:val="24"/>
          <w:szCs w:val="24"/>
        </w:rPr>
        <w:t>6,018,630</w:t>
      </w:r>
      <w:r w:rsidRPr="00F13F4F">
        <w:rPr>
          <w:rFonts w:ascii="Times New Roman" w:hAnsi="Times New Roman" w:cs="Times New Roman"/>
          <w:sz w:val="24"/>
          <w:szCs w:val="24"/>
        </w:rPr>
        <w:t xml:space="preserve">. </w:t>
      </w:r>
      <w:bookmarkStart w:id="9" w:name="_GoBack"/>
      <w:bookmarkEnd w:id="9"/>
    </w:p>
    <w:p w:rsidR="0078385D" w:rsidRDefault="0078385D" w:rsidP="00CD4F7C">
      <w:pPr>
        <w:jc w:val="both"/>
        <w:rPr>
          <w:rFonts w:ascii="Times New Roman" w:hAnsi="Times New Roman" w:cs="Times New Roman"/>
          <w:b/>
          <w:sz w:val="24"/>
          <w:szCs w:val="24"/>
        </w:rPr>
      </w:pPr>
    </w:p>
    <w:p w:rsidR="00D623C2" w:rsidRDefault="00D623C2" w:rsidP="00CD4F7C">
      <w:pPr>
        <w:jc w:val="both"/>
        <w:rPr>
          <w:rFonts w:ascii="Times New Roman" w:hAnsi="Times New Roman" w:cs="Times New Roman"/>
          <w:b/>
          <w:sz w:val="24"/>
          <w:szCs w:val="24"/>
        </w:rPr>
      </w:pPr>
    </w:p>
    <w:p w:rsidR="004A5F2B" w:rsidRDefault="004A5F2B" w:rsidP="00D36057">
      <w:pPr>
        <w:jc w:val="both"/>
        <w:rPr>
          <w:noProof/>
        </w:rPr>
      </w:pPr>
    </w:p>
    <w:p w:rsidR="00EB681E" w:rsidRDefault="00EB681E"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F13F4F" w:rsidRDefault="00F13F4F" w:rsidP="00D36057">
      <w:pPr>
        <w:jc w:val="both"/>
        <w:rPr>
          <w:rFonts w:ascii="Times New Roman" w:hAnsi="Times New Roman" w:cs="Times New Roman"/>
          <w:b/>
          <w:sz w:val="24"/>
          <w:szCs w:val="24"/>
        </w:rPr>
      </w:pPr>
    </w:p>
    <w:p w:rsidR="00DA5DD0" w:rsidRDefault="008B309A" w:rsidP="00D36057">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Multi Year Reports</w:t>
      </w:r>
    </w:p>
    <w:p w:rsidR="00F86F75" w:rsidRDefault="00912C67" w:rsidP="00D36057">
      <w:pPr>
        <w:jc w:val="both"/>
        <w:rPr>
          <w:rFonts w:ascii="Times New Roman" w:hAnsi="Times New Roman" w:cs="Times New Roman"/>
          <w:b/>
          <w:sz w:val="24"/>
          <w:szCs w:val="24"/>
          <w:u w:val="single"/>
        </w:rPr>
      </w:pPr>
      <w:r w:rsidRPr="00912C67">
        <w:drawing>
          <wp:inline distT="0" distB="0" distL="0" distR="0">
            <wp:extent cx="6191250" cy="661951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01746" cy="6630739"/>
                    </a:xfrm>
                    <a:prstGeom prst="rect">
                      <a:avLst/>
                    </a:prstGeom>
                    <a:noFill/>
                    <a:ln>
                      <a:noFill/>
                    </a:ln>
                  </pic:spPr>
                </pic:pic>
              </a:graphicData>
            </a:graphic>
          </wp:inline>
        </w:drawing>
      </w:r>
    </w:p>
    <w:p w:rsidR="00F86F75" w:rsidRDefault="00F86F75" w:rsidP="00D36057">
      <w:pPr>
        <w:jc w:val="both"/>
        <w:rPr>
          <w:rFonts w:ascii="Times New Roman" w:hAnsi="Times New Roman" w:cs="Times New Roman"/>
          <w:b/>
          <w:sz w:val="24"/>
          <w:szCs w:val="24"/>
          <w:u w:val="single"/>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4A5F2B" w:rsidRDefault="00912C67" w:rsidP="00BE1DDD">
      <w:pPr>
        <w:rPr>
          <w:rFonts w:ascii="Times New Roman" w:hAnsi="Times New Roman" w:cs="Times New Roman"/>
          <w:sz w:val="24"/>
          <w:szCs w:val="24"/>
        </w:rPr>
      </w:pPr>
      <w:r w:rsidRPr="00912C67">
        <w:drawing>
          <wp:inline distT="0" distB="0" distL="0" distR="0">
            <wp:extent cx="6143625" cy="69342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49095" cy="6940374"/>
                    </a:xfrm>
                    <a:prstGeom prst="rect">
                      <a:avLst/>
                    </a:prstGeom>
                    <a:noFill/>
                    <a:ln>
                      <a:noFill/>
                    </a:ln>
                  </pic:spPr>
                </pic:pic>
              </a:graphicData>
            </a:graphic>
          </wp:inline>
        </w:drawing>
      </w:r>
    </w:p>
    <w:p w:rsidR="004A5F2B" w:rsidRDefault="004A5F2B" w:rsidP="00BE1DDD">
      <w:pPr>
        <w:rPr>
          <w:rFonts w:ascii="Times New Roman" w:hAnsi="Times New Roman" w:cs="Times New Roman"/>
          <w:sz w:val="24"/>
          <w:szCs w:val="24"/>
        </w:rPr>
      </w:pPr>
    </w:p>
    <w:p w:rsidR="004A5F2B" w:rsidRDefault="004A5F2B" w:rsidP="00BE1DDD">
      <w:pPr>
        <w:rPr>
          <w:rFonts w:ascii="Times New Roman" w:hAnsi="Times New Roman" w:cs="Times New Roman"/>
          <w:sz w:val="24"/>
          <w:szCs w:val="24"/>
        </w:rPr>
      </w:pPr>
    </w:p>
    <w:p w:rsidR="008B309A" w:rsidRDefault="008B309A" w:rsidP="00BE1DDD">
      <w:pPr>
        <w:rPr>
          <w:rFonts w:ascii="Times New Roman" w:hAnsi="Times New Roman" w:cs="Times New Roman"/>
          <w:sz w:val="24"/>
          <w:szCs w:val="24"/>
        </w:rPr>
      </w:pPr>
    </w:p>
    <w:p w:rsidR="00912C67" w:rsidRDefault="00912C67" w:rsidP="00BE1DDD">
      <w:pPr>
        <w:rPr>
          <w:rFonts w:ascii="Times New Roman" w:hAnsi="Times New Roman" w:cs="Times New Roman"/>
          <w:sz w:val="24"/>
          <w:szCs w:val="24"/>
        </w:rPr>
      </w:pPr>
      <w:r w:rsidRPr="00912C67">
        <w:lastRenderedPageBreak/>
        <w:drawing>
          <wp:inline distT="0" distB="0" distL="0" distR="0">
            <wp:extent cx="6190950" cy="667702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03071" cy="6690097"/>
                    </a:xfrm>
                    <a:prstGeom prst="rect">
                      <a:avLst/>
                    </a:prstGeom>
                    <a:noFill/>
                    <a:ln>
                      <a:noFill/>
                    </a:ln>
                  </pic:spPr>
                </pic:pic>
              </a:graphicData>
            </a:graphic>
          </wp:inline>
        </w:drawing>
      </w:r>
    </w:p>
    <w:p w:rsidR="00912C67" w:rsidRDefault="00912C67" w:rsidP="00BE1DDD">
      <w:pPr>
        <w:rPr>
          <w:rFonts w:ascii="Times New Roman" w:hAnsi="Times New Roman" w:cs="Times New Roman"/>
          <w:sz w:val="24"/>
          <w:szCs w:val="24"/>
        </w:rPr>
      </w:pPr>
    </w:p>
    <w:p w:rsidR="005379C7" w:rsidRPr="00687FE6" w:rsidRDefault="005379C7" w:rsidP="00BE1DDD">
      <w:pPr>
        <w:rPr>
          <w:rFonts w:ascii="Times New Roman" w:hAnsi="Times New Roman" w:cs="Times New Roman"/>
          <w:sz w:val="24"/>
          <w:szCs w:val="24"/>
        </w:rPr>
      </w:pPr>
    </w:p>
    <w:sectPr w:rsidR="005379C7" w:rsidRPr="00687FE6" w:rsidSect="006121AD">
      <w:headerReference w:type="default" r:id="rId28"/>
      <w:footerReference w:type="default" r:id="rId2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872" w:rsidRDefault="003F6872" w:rsidP="006121AD">
      <w:pPr>
        <w:spacing w:after="0" w:line="240" w:lineRule="auto"/>
      </w:pPr>
      <w:r>
        <w:separator/>
      </w:r>
    </w:p>
  </w:endnote>
  <w:endnote w:type="continuationSeparator" w:id="0">
    <w:p w:rsidR="003F6872" w:rsidRDefault="003F6872"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8013A4" w:rsidRDefault="008013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568C">
          <w:rPr>
            <w:noProof/>
          </w:rPr>
          <w:t>13</w:t>
        </w:r>
        <w:r>
          <w:rPr>
            <w:noProof/>
          </w:rPr>
          <w:fldChar w:fldCharType="end"/>
        </w:r>
        <w:r>
          <w:t xml:space="preserve"> | </w:t>
        </w:r>
        <w:r>
          <w:rPr>
            <w:color w:val="7F7F7F" w:themeColor="background1" w:themeShade="7F"/>
            <w:spacing w:val="60"/>
          </w:rPr>
          <w:t>Page</w:t>
        </w:r>
      </w:p>
    </w:sdtContent>
  </w:sdt>
  <w:p w:rsidR="008013A4" w:rsidRDefault="0080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872" w:rsidRDefault="003F6872" w:rsidP="006121AD">
      <w:pPr>
        <w:spacing w:after="0" w:line="240" w:lineRule="auto"/>
      </w:pPr>
      <w:r>
        <w:separator/>
      </w:r>
    </w:p>
  </w:footnote>
  <w:footnote w:type="continuationSeparator" w:id="0">
    <w:p w:rsidR="003F6872" w:rsidRDefault="003F6872"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0"/>
  </w:num>
  <w:num w:numId="5">
    <w:abstractNumId w:val="4"/>
  </w:num>
  <w:num w:numId="6">
    <w:abstractNumId w:val="8"/>
  </w:num>
  <w:num w:numId="7">
    <w:abstractNumId w:val="7"/>
  </w:num>
  <w:num w:numId="8">
    <w:abstractNumId w:val="6"/>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71D53"/>
    <w:rsid w:val="00073BA9"/>
    <w:rsid w:val="00096960"/>
    <w:rsid w:val="000D1A1A"/>
    <w:rsid w:val="000E1467"/>
    <w:rsid w:val="000E256D"/>
    <w:rsid w:val="00131236"/>
    <w:rsid w:val="00131CB6"/>
    <w:rsid w:val="001671A7"/>
    <w:rsid w:val="001A040B"/>
    <w:rsid w:val="001A7B02"/>
    <w:rsid w:val="001C1210"/>
    <w:rsid w:val="001C7654"/>
    <w:rsid w:val="001F4123"/>
    <w:rsid w:val="002005D1"/>
    <w:rsid w:val="0022095C"/>
    <w:rsid w:val="00231984"/>
    <w:rsid w:val="00241BCE"/>
    <w:rsid w:val="002645A5"/>
    <w:rsid w:val="002757CC"/>
    <w:rsid w:val="00281CE1"/>
    <w:rsid w:val="002A33DD"/>
    <w:rsid w:val="002C16F3"/>
    <w:rsid w:val="00323840"/>
    <w:rsid w:val="00324307"/>
    <w:rsid w:val="0035049B"/>
    <w:rsid w:val="003515B6"/>
    <w:rsid w:val="00362314"/>
    <w:rsid w:val="003B03CB"/>
    <w:rsid w:val="003B11A7"/>
    <w:rsid w:val="003D3CAA"/>
    <w:rsid w:val="003F4029"/>
    <w:rsid w:val="003F529B"/>
    <w:rsid w:val="003F6872"/>
    <w:rsid w:val="0042557B"/>
    <w:rsid w:val="004414A3"/>
    <w:rsid w:val="00460B31"/>
    <w:rsid w:val="0048522E"/>
    <w:rsid w:val="004A1837"/>
    <w:rsid w:val="004A5F2B"/>
    <w:rsid w:val="004B631B"/>
    <w:rsid w:val="004C43F8"/>
    <w:rsid w:val="004C683A"/>
    <w:rsid w:val="004E1D9A"/>
    <w:rsid w:val="004E5E3C"/>
    <w:rsid w:val="004F6C02"/>
    <w:rsid w:val="00503954"/>
    <w:rsid w:val="0051090B"/>
    <w:rsid w:val="005370FB"/>
    <w:rsid w:val="005379C7"/>
    <w:rsid w:val="00547C04"/>
    <w:rsid w:val="00560ABB"/>
    <w:rsid w:val="005656BE"/>
    <w:rsid w:val="0057415F"/>
    <w:rsid w:val="005741F4"/>
    <w:rsid w:val="00577A20"/>
    <w:rsid w:val="005849BA"/>
    <w:rsid w:val="005E47AB"/>
    <w:rsid w:val="005F15BA"/>
    <w:rsid w:val="005F7676"/>
    <w:rsid w:val="006079FA"/>
    <w:rsid w:val="006121AD"/>
    <w:rsid w:val="00617C22"/>
    <w:rsid w:val="00624EA6"/>
    <w:rsid w:val="0066659D"/>
    <w:rsid w:val="00671965"/>
    <w:rsid w:val="00686E4D"/>
    <w:rsid w:val="00687FE6"/>
    <w:rsid w:val="006931F3"/>
    <w:rsid w:val="00697AA4"/>
    <w:rsid w:val="006A313F"/>
    <w:rsid w:val="006A5620"/>
    <w:rsid w:val="006A7EDB"/>
    <w:rsid w:val="006C4142"/>
    <w:rsid w:val="006D5BFD"/>
    <w:rsid w:val="006F2902"/>
    <w:rsid w:val="006F73DD"/>
    <w:rsid w:val="00713CF6"/>
    <w:rsid w:val="0072406C"/>
    <w:rsid w:val="007345C7"/>
    <w:rsid w:val="00755545"/>
    <w:rsid w:val="00760D46"/>
    <w:rsid w:val="0078385D"/>
    <w:rsid w:val="00785E2A"/>
    <w:rsid w:val="00794F19"/>
    <w:rsid w:val="007976C7"/>
    <w:rsid w:val="007A1872"/>
    <w:rsid w:val="007A5D51"/>
    <w:rsid w:val="007C63C1"/>
    <w:rsid w:val="007E7E93"/>
    <w:rsid w:val="008013A4"/>
    <w:rsid w:val="008064C3"/>
    <w:rsid w:val="00830A4E"/>
    <w:rsid w:val="00844F69"/>
    <w:rsid w:val="00860DDF"/>
    <w:rsid w:val="008B04CE"/>
    <w:rsid w:val="008B309A"/>
    <w:rsid w:val="008F017A"/>
    <w:rsid w:val="00900CD4"/>
    <w:rsid w:val="00906E74"/>
    <w:rsid w:val="009104D8"/>
    <w:rsid w:val="00912908"/>
    <w:rsid w:val="00912C67"/>
    <w:rsid w:val="00925863"/>
    <w:rsid w:val="009541BC"/>
    <w:rsid w:val="00962CAC"/>
    <w:rsid w:val="00977091"/>
    <w:rsid w:val="009B7851"/>
    <w:rsid w:val="009B7CF7"/>
    <w:rsid w:val="009C3008"/>
    <w:rsid w:val="009D34FF"/>
    <w:rsid w:val="009D5DA5"/>
    <w:rsid w:val="009E2334"/>
    <w:rsid w:val="00A0475B"/>
    <w:rsid w:val="00A254A5"/>
    <w:rsid w:val="00A42CAB"/>
    <w:rsid w:val="00A45F9F"/>
    <w:rsid w:val="00A464C4"/>
    <w:rsid w:val="00A57F8B"/>
    <w:rsid w:val="00A671BB"/>
    <w:rsid w:val="00A706AA"/>
    <w:rsid w:val="00A973CB"/>
    <w:rsid w:val="00AA49A6"/>
    <w:rsid w:val="00AA7636"/>
    <w:rsid w:val="00AD20B8"/>
    <w:rsid w:val="00AE3049"/>
    <w:rsid w:val="00AE54D8"/>
    <w:rsid w:val="00AF15D3"/>
    <w:rsid w:val="00B23FB6"/>
    <w:rsid w:val="00B925F1"/>
    <w:rsid w:val="00BA6F10"/>
    <w:rsid w:val="00BB29C7"/>
    <w:rsid w:val="00BE1DDD"/>
    <w:rsid w:val="00C02478"/>
    <w:rsid w:val="00C40319"/>
    <w:rsid w:val="00C4568C"/>
    <w:rsid w:val="00C459E9"/>
    <w:rsid w:val="00C60AFC"/>
    <w:rsid w:val="00C84A19"/>
    <w:rsid w:val="00C978B0"/>
    <w:rsid w:val="00CD4F7C"/>
    <w:rsid w:val="00CD629C"/>
    <w:rsid w:val="00CE3C22"/>
    <w:rsid w:val="00D00661"/>
    <w:rsid w:val="00D103A3"/>
    <w:rsid w:val="00D116A5"/>
    <w:rsid w:val="00D33143"/>
    <w:rsid w:val="00D36057"/>
    <w:rsid w:val="00D623C2"/>
    <w:rsid w:val="00D835B8"/>
    <w:rsid w:val="00D97709"/>
    <w:rsid w:val="00DA08E8"/>
    <w:rsid w:val="00DA5DD0"/>
    <w:rsid w:val="00DB67FC"/>
    <w:rsid w:val="00DC0CA2"/>
    <w:rsid w:val="00DC4DCF"/>
    <w:rsid w:val="00DD1018"/>
    <w:rsid w:val="00DE3DC5"/>
    <w:rsid w:val="00DE5688"/>
    <w:rsid w:val="00E047FD"/>
    <w:rsid w:val="00E13281"/>
    <w:rsid w:val="00E46062"/>
    <w:rsid w:val="00E46C98"/>
    <w:rsid w:val="00E52957"/>
    <w:rsid w:val="00E52C16"/>
    <w:rsid w:val="00E61344"/>
    <w:rsid w:val="00E61744"/>
    <w:rsid w:val="00E7076D"/>
    <w:rsid w:val="00E744CE"/>
    <w:rsid w:val="00E77BAF"/>
    <w:rsid w:val="00EA7238"/>
    <w:rsid w:val="00EB2B6C"/>
    <w:rsid w:val="00EB2DF1"/>
    <w:rsid w:val="00EB681E"/>
    <w:rsid w:val="00EF213B"/>
    <w:rsid w:val="00F13F4F"/>
    <w:rsid w:val="00F1778A"/>
    <w:rsid w:val="00F27DF2"/>
    <w:rsid w:val="00F35E6B"/>
    <w:rsid w:val="00F64991"/>
    <w:rsid w:val="00F7162A"/>
    <w:rsid w:val="00F86F75"/>
    <w:rsid w:val="00F87FFC"/>
    <w:rsid w:val="00F97C65"/>
    <w:rsid w:val="00FA1A5A"/>
    <w:rsid w:val="00FD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9A32"/>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805469945">
      <w:bodyDiv w:val="1"/>
      <w:marLeft w:val="0"/>
      <w:marRight w:val="0"/>
      <w:marTop w:val="0"/>
      <w:marBottom w:val="0"/>
      <w:divBdr>
        <w:top w:val="none" w:sz="0" w:space="0" w:color="auto"/>
        <w:left w:val="none" w:sz="0" w:space="0" w:color="auto"/>
        <w:bottom w:val="none" w:sz="0" w:space="0" w:color="auto"/>
        <w:right w:val="none" w:sz="0" w:space="0" w:color="auto"/>
      </w:divBdr>
    </w:div>
    <w:div w:id="885876498">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5E1E-9A42-47D3-AD11-D663DA56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18</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17</cp:revision>
  <dcterms:created xsi:type="dcterms:W3CDTF">2021-05-24T19:33:00Z</dcterms:created>
  <dcterms:modified xsi:type="dcterms:W3CDTF">2021-06-08T00:04:00Z</dcterms:modified>
</cp:coreProperties>
</file>