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B5" w:rsidRDefault="00A477B5" w:rsidP="003F5F64">
      <w:pPr>
        <w:pStyle w:val="NormalWeb"/>
        <w:shd w:val="clear" w:color="auto" w:fill="FFFFFF"/>
        <w:rPr>
          <w:color w:val="000000"/>
          <w:sz w:val="22"/>
          <w:szCs w:val="22"/>
        </w:rPr>
      </w:pPr>
      <w:bookmarkStart w:id="0" w:name="_GoBack"/>
      <w:r>
        <w:rPr>
          <w:color w:val="000000"/>
          <w:sz w:val="22"/>
          <w:szCs w:val="22"/>
        </w:rPr>
        <w:t xml:space="preserve">AR 315(a) Federal Fund Management </w:t>
      </w:r>
    </w:p>
    <w:bookmarkEnd w:id="0"/>
    <w:p w:rsidR="003F5F64" w:rsidRDefault="003F5F64" w:rsidP="003F5F64">
      <w:pPr>
        <w:pStyle w:val="NormalWeb"/>
        <w:shd w:val="clear" w:color="auto" w:fill="FFFFFF"/>
        <w:rPr>
          <w:color w:val="000000"/>
          <w:sz w:val="22"/>
          <w:szCs w:val="22"/>
        </w:rPr>
      </w:pPr>
      <w:r>
        <w:rPr>
          <w:color w:val="000000"/>
          <w:sz w:val="22"/>
          <w:szCs w:val="22"/>
        </w:rPr>
        <w:t xml:space="preserve">To ensure the lawful expenditure of any federal formula or discretionary grant funds awarded to the district, the Superintendent or designee shall comply with the requirements of the Office of Management and Budget's Uniform Administrative Requirements, Cost Principles, and Audit Requirements for Federal Awards (the "Uniform Guidance"), as contained </w:t>
      </w:r>
      <w:r w:rsidRPr="00622E57">
        <w:rPr>
          <w:color w:val="000000"/>
          <w:sz w:val="22"/>
          <w:szCs w:val="22"/>
          <w:highlight w:val="yellow"/>
        </w:rPr>
        <w:t>in 2 CFR 200.0-200.521</w:t>
      </w:r>
      <w:r>
        <w:rPr>
          <w:color w:val="000000"/>
          <w:sz w:val="22"/>
          <w:szCs w:val="22"/>
        </w:rPr>
        <w:t xml:space="preserve"> and Appendices I-XII.</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Allowable Costs</w:t>
      </w:r>
    </w:p>
    <w:p w:rsidR="003F5F64" w:rsidRDefault="003F5F64" w:rsidP="003F5F64">
      <w:pPr>
        <w:pStyle w:val="NormalWeb"/>
        <w:shd w:val="clear" w:color="auto" w:fill="FFFFFF"/>
        <w:rPr>
          <w:color w:val="000000"/>
          <w:sz w:val="22"/>
          <w:szCs w:val="22"/>
        </w:rPr>
      </w:pPr>
      <w:r>
        <w:rPr>
          <w:color w:val="000000"/>
          <w:sz w:val="22"/>
          <w:szCs w:val="22"/>
        </w:rPr>
        <w:t>Prior to obligating or spending any federal grant funds, the Superintendent or designee shall determine whether a proposed purchase is an allowable expenditure in accordance with 2 CFR 200.400-200.475 and the terms and conditions of the award. He/she shall also determine whether the expense is a direct or indirect cost as defined in 2 CFR 200.413 and 200.414 and, if the purchase will benefit other programs not included in the grant award, the appropriate share to be allocated to the federal grant.</w:t>
      </w:r>
    </w:p>
    <w:p w:rsidR="003F5F64" w:rsidRDefault="003F5F64" w:rsidP="003F5F64">
      <w:pPr>
        <w:pStyle w:val="NormalWeb"/>
        <w:shd w:val="clear" w:color="auto" w:fill="FFFFFF"/>
        <w:rPr>
          <w:color w:val="000000"/>
          <w:sz w:val="22"/>
          <w:szCs w:val="22"/>
        </w:rPr>
      </w:pPr>
      <w:r w:rsidRPr="004A4845">
        <w:rPr>
          <w:color w:val="000000"/>
          <w:sz w:val="22"/>
          <w:szCs w:val="22"/>
          <w:highlight w:val="yellow"/>
        </w:rPr>
        <w:t>(cf. </w:t>
      </w:r>
      <w:hyperlink r:id="rId4" w:history="1">
        <w:r w:rsidRPr="004A4845">
          <w:rPr>
            <w:rStyle w:val="Hyperlink"/>
            <w:sz w:val="22"/>
            <w:szCs w:val="22"/>
            <w:highlight w:val="yellow"/>
          </w:rPr>
          <w:t>3350</w:t>
        </w:r>
      </w:hyperlink>
      <w:r w:rsidRPr="004A4845">
        <w:rPr>
          <w:color w:val="000000"/>
          <w:sz w:val="22"/>
          <w:szCs w:val="22"/>
          <w:highlight w:val="yellow"/>
        </w:rPr>
        <w:t> - Travel Expenses)</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review and approve all transactions involving federal grant funds and shall ensure the proper coding of expenditures consistent with the California School Accounting Manual.</w:t>
      </w:r>
    </w:p>
    <w:p w:rsidR="003F5F64" w:rsidRPr="004A4845" w:rsidRDefault="003F5F64" w:rsidP="003F5F64">
      <w:pPr>
        <w:pStyle w:val="NormalWeb"/>
        <w:shd w:val="clear" w:color="auto" w:fill="FFFFFF"/>
        <w:rPr>
          <w:color w:val="000000"/>
          <w:sz w:val="22"/>
          <w:szCs w:val="22"/>
          <w:highlight w:val="yellow"/>
        </w:rPr>
      </w:pPr>
      <w:r w:rsidRPr="004A4845">
        <w:rPr>
          <w:color w:val="000000"/>
          <w:sz w:val="22"/>
          <w:szCs w:val="22"/>
          <w:highlight w:val="yellow"/>
        </w:rPr>
        <w:t>(cf. </w:t>
      </w:r>
      <w:hyperlink r:id="rId5" w:history="1">
        <w:r w:rsidRPr="004A4845">
          <w:rPr>
            <w:rStyle w:val="Hyperlink"/>
            <w:sz w:val="22"/>
            <w:szCs w:val="22"/>
            <w:highlight w:val="yellow"/>
          </w:rPr>
          <w:t>3300</w:t>
        </w:r>
      </w:hyperlink>
      <w:r w:rsidRPr="004A4845">
        <w:rPr>
          <w:color w:val="000000"/>
          <w:sz w:val="22"/>
          <w:szCs w:val="22"/>
          <w:highlight w:val="yellow"/>
        </w:rPr>
        <w:t> - Expenditures and Purchases)</w:t>
      </w:r>
    </w:p>
    <w:p w:rsidR="003F5F64" w:rsidRDefault="003F5F64" w:rsidP="003F5F64">
      <w:pPr>
        <w:pStyle w:val="NormalWeb"/>
        <w:shd w:val="clear" w:color="auto" w:fill="FFFFFF"/>
        <w:rPr>
          <w:color w:val="000000"/>
          <w:sz w:val="22"/>
          <w:szCs w:val="22"/>
        </w:rPr>
      </w:pPr>
      <w:r w:rsidRPr="004A4845">
        <w:rPr>
          <w:color w:val="000000"/>
          <w:sz w:val="22"/>
          <w:szCs w:val="22"/>
          <w:highlight w:val="yellow"/>
        </w:rPr>
        <w:t>(cf. </w:t>
      </w:r>
      <w:hyperlink r:id="rId6" w:history="1">
        <w:r w:rsidRPr="004A4845">
          <w:rPr>
            <w:rStyle w:val="Hyperlink"/>
            <w:sz w:val="22"/>
            <w:szCs w:val="22"/>
            <w:highlight w:val="yellow"/>
          </w:rPr>
          <w:t>3314</w:t>
        </w:r>
      </w:hyperlink>
      <w:r w:rsidRPr="004A4845">
        <w:rPr>
          <w:color w:val="000000"/>
          <w:sz w:val="22"/>
          <w:szCs w:val="22"/>
          <w:highlight w:val="yellow"/>
        </w:rPr>
        <w:t> - Payment for Goods and Services)</w:t>
      </w:r>
    </w:p>
    <w:p w:rsidR="003F5F64" w:rsidRDefault="003F5F64" w:rsidP="003F5F64">
      <w:pPr>
        <w:pStyle w:val="NormalWeb"/>
        <w:shd w:val="clear" w:color="auto" w:fill="FFFFFF"/>
        <w:rPr>
          <w:color w:val="000000"/>
          <w:sz w:val="22"/>
          <w:szCs w:val="22"/>
        </w:rPr>
      </w:pPr>
      <w:r>
        <w:rPr>
          <w:color w:val="000000"/>
          <w:sz w:val="22"/>
          <w:szCs w:val="22"/>
        </w:rPr>
        <w:t>Period of Performance</w:t>
      </w:r>
    </w:p>
    <w:p w:rsidR="003F5F64" w:rsidRDefault="003F5F64" w:rsidP="003F5F64">
      <w:pPr>
        <w:pStyle w:val="NormalWeb"/>
        <w:shd w:val="clear" w:color="auto" w:fill="FFFFFF"/>
        <w:rPr>
          <w:color w:val="000000"/>
          <w:sz w:val="22"/>
          <w:szCs w:val="22"/>
        </w:rPr>
      </w:pPr>
      <w:r>
        <w:rPr>
          <w:color w:val="000000"/>
          <w:sz w:val="22"/>
          <w:szCs w:val="22"/>
        </w:rPr>
        <w:t>All obligations of federal funds shall occur on or between the beginning and ending dates of the grant project and shall be paid no later than 90 days after the end of the funding period, unless specifically authorized by the grant award to be carried over beyond the initial term of the grant. (2 CFR 200.77, 200.308, 200.309, 200.343)</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Procurement</w:t>
      </w:r>
    </w:p>
    <w:p w:rsidR="003F5F64" w:rsidRDefault="003F5F64" w:rsidP="003F5F64">
      <w:pPr>
        <w:pStyle w:val="NormalWeb"/>
        <w:shd w:val="clear" w:color="auto" w:fill="FFFFFF"/>
        <w:rPr>
          <w:color w:val="000000"/>
          <w:sz w:val="22"/>
          <w:szCs w:val="22"/>
        </w:rPr>
      </w:pPr>
      <w:r>
        <w:rPr>
          <w:color w:val="000000"/>
          <w:sz w:val="22"/>
          <w:szCs w:val="22"/>
        </w:rPr>
        <w:t>When procuring goods and services with a federal grant, the Superintendent or designee shall comply with the standards contained in 2 CFR 200.317-200.326 and Appendix II of Part 200, or with any applicable state law or district policy that is more restrictive.</w:t>
      </w:r>
    </w:p>
    <w:p w:rsidR="003F5F64" w:rsidRDefault="003F5F64" w:rsidP="003F5F64">
      <w:pPr>
        <w:pStyle w:val="NormalWeb"/>
        <w:shd w:val="clear" w:color="auto" w:fill="FFFFFF"/>
        <w:rPr>
          <w:color w:val="000000"/>
          <w:sz w:val="22"/>
          <w:szCs w:val="22"/>
        </w:rPr>
      </w:pPr>
      <w:r>
        <w:rPr>
          <w:color w:val="000000"/>
          <w:sz w:val="22"/>
          <w:szCs w:val="22"/>
        </w:rPr>
        <w:t>As appropriate to encourage greater economy and efficiency, the Superintendent or designee shall avoid acquisition of unnecessary or duplicative items, give consideration to consolidating or breaking out procurements, analyze lease versus purchase alternatives, consider entering into an interagency agreement for procurement of common or shared goods and services, and/or use federal excess or surplus property. (2 CFR 200.318)</w:t>
      </w:r>
    </w:p>
    <w:p w:rsidR="003F5F64" w:rsidRDefault="003F5F64" w:rsidP="003F5F64">
      <w:pPr>
        <w:pStyle w:val="NormalWeb"/>
        <w:shd w:val="clear" w:color="auto" w:fill="FFFFFF"/>
        <w:rPr>
          <w:color w:val="000000"/>
          <w:sz w:val="22"/>
          <w:szCs w:val="22"/>
        </w:rPr>
      </w:pPr>
      <w:r>
        <w:rPr>
          <w:color w:val="000000"/>
          <w:sz w:val="22"/>
          <w:szCs w:val="22"/>
        </w:rPr>
        <w:t>The procurement of goods or services with federal funds shall be conducted in a manner that provides full and open competition in accordance with state laws and district regulations and the following requirements:</w:t>
      </w:r>
    </w:p>
    <w:p w:rsidR="003F5F64" w:rsidRDefault="003F5F64" w:rsidP="003F5F64">
      <w:pPr>
        <w:pStyle w:val="NormalWeb"/>
        <w:shd w:val="clear" w:color="auto" w:fill="FFFFFF"/>
        <w:rPr>
          <w:color w:val="000000"/>
          <w:sz w:val="22"/>
          <w:szCs w:val="22"/>
        </w:rPr>
      </w:pPr>
      <w:r>
        <w:rPr>
          <w:color w:val="000000"/>
          <w:sz w:val="22"/>
          <w:szCs w:val="22"/>
        </w:rPr>
        <w:lastRenderedPageBreak/>
        <w:t>1. Any purchase of supplies or services that does not exceed the "micro-purchase" threshold specified in 48 CFR 2.101 may be awarded without soliciting competitive quotes, provided that the district considers the price to be reasonable and maintains written evidence of this reasonableness in the record of all micro-purchases. (2 CFR 200.67, 200.320)</w:t>
      </w:r>
    </w:p>
    <w:p w:rsidR="003F5F64" w:rsidRDefault="003F5F64" w:rsidP="003F5F64">
      <w:pPr>
        <w:pStyle w:val="NormalWeb"/>
        <w:shd w:val="clear" w:color="auto" w:fill="FFFFFF"/>
        <w:rPr>
          <w:color w:val="000000"/>
          <w:sz w:val="22"/>
          <w:szCs w:val="22"/>
        </w:rPr>
      </w:pPr>
      <w:r>
        <w:rPr>
          <w:color w:val="000000"/>
          <w:sz w:val="22"/>
          <w:szCs w:val="22"/>
        </w:rPr>
        <w:t>2. For any purchase that exceeds the micro-purchase threshold but is less than the bid limit required by Public Contract Code </w:t>
      </w:r>
      <w:hyperlink r:id="rId7" w:history="1">
        <w:r>
          <w:rPr>
            <w:rStyle w:val="Hyperlink"/>
            <w:sz w:val="22"/>
            <w:szCs w:val="22"/>
          </w:rPr>
          <w:t>20111</w:t>
        </w:r>
      </w:hyperlink>
      <w:r>
        <w:rPr>
          <w:color w:val="000000"/>
          <w:sz w:val="22"/>
          <w:szCs w:val="22"/>
        </w:rPr>
        <w:t>, the Superintendent or designee shall utilize "small-purchase" procedures that include obtaining price or rate quotes from an adequate number of qualified sources. (2 CFR 200.320)</w:t>
      </w:r>
      <w:r w:rsidR="004A4845">
        <w:rPr>
          <w:color w:val="000000"/>
          <w:sz w:val="22"/>
          <w:szCs w:val="22"/>
        </w:rPr>
        <w:t xml:space="preserve">. The micro threshold has been defined as $10,000. </w:t>
      </w:r>
    </w:p>
    <w:p w:rsidR="003F5F64" w:rsidRDefault="003F5F64" w:rsidP="003F5F64">
      <w:pPr>
        <w:pStyle w:val="NormalWeb"/>
        <w:shd w:val="clear" w:color="auto" w:fill="FFFFFF"/>
        <w:rPr>
          <w:color w:val="000000"/>
          <w:sz w:val="22"/>
          <w:szCs w:val="22"/>
        </w:rPr>
      </w:pPr>
      <w:r>
        <w:rPr>
          <w:color w:val="000000"/>
          <w:sz w:val="22"/>
          <w:szCs w:val="22"/>
        </w:rPr>
        <w:t>3. Contracts for goods or services over the bid limits required by Public Contract Code </w:t>
      </w:r>
      <w:hyperlink r:id="rId8" w:history="1">
        <w:r>
          <w:rPr>
            <w:rStyle w:val="Hyperlink"/>
            <w:sz w:val="22"/>
            <w:szCs w:val="22"/>
          </w:rPr>
          <w:t>20111</w:t>
        </w:r>
      </w:hyperlink>
      <w:r>
        <w:rPr>
          <w:color w:val="000000"/>
          <w:sz w:val="22"/>
          <w:szCs w:val="22"/>
        </w:rPr>
        <w:t> shall be awarded pursuant to California law - Bids, unless exempt from bidding under the law.</w:t>
      </w:r>
    </w:p>
    <w:p w:rsidR="003F5F64" w:rsidRDefault="003F5F64" w:rsidP="003F5F64">
      <w:pPr>
        <w:pStyle w:val="NormalWeb"/>
        <w:shd w:val="clear" w:color="auto" w:fill="FFFFFF"/>
        <w:rPr>
          <w:color w:val="000000"/>
          <w:sz w:val="22"/>
          <w:szCs w:val="22"/>
        </w:rPr>
      </w:pPr>
      <w:r w:rsidRPr="004A4845">
        <w:rPr>
          <w:color w:val="000000"/>
          <w:sz w:val="22"/>
          <w:szCs w:val="22"/>
          <w:highlight w:val="yellow"/>
        </w:rPr>
        <w:t>(cf. </w:t>
      </w:r>
      <w:hyperlink r:id="rId9" w:history="1">
        <w:r w:rsidRPr="004A4845">
          <w:rPr>
            <w:rStyle w:val="Hyperlink"/>
            <w:sz w:val="22"/>
            <w:szCs w:val="22"/>
            <w:highlight w:val="yellow"/>
          </w:rPr>
          <w:t>3311</w:t>
        </w:r>
      </w:hyperlink>
      <w:r w:rsidRPr="004A4845">
        <w:rPr>
          <w:color w:val="000000"/>
          <w:sz w:val="22"/>
          <w:szCs w:val="22"/>
          <w:highlight w:val="yellow"/>
        </w:rPr>
        <w:t> - Bids)</w:t>
      </w:r>
    </w:p>
    <w:p w:rsidR="003F5F64" w:rsidRDefault="003F5F64" w:rsidP="003F5F64">
      <w:pPr>
        <w:pStyle w:val="NormalWeb"/>
        <w:shd w:val="clear" w:color="auto" w:fill="FFFFFF"/>
        <w:rPr>
          <w:color w:val="000000"/>
          <w:sz w:val="22"/>
          <w:szCs w:val="22"/>
        </w:rPr>
      </w:pPr>
      <w:r>
        <w:rPr>
          <w:color w:val="000000"/>
          <w:sz w:val="22"/>
          <w:szCs w:val="22"/>
        </w:rPr>
        <w:t>4. If a purchase is exempt from bidding and the district's solicitation is by a request for proposals, the award may be made by either a fixed-price or cost-reimbursement type contract awarded to the entity whose proposal is most advantageous to the program, with price and other factors considered. (2 CFR 200.320)</w:t>
      </w:r>
    </w:p>
    <w:p w:rsidR="003F5F64" w:rsidRDefault="003F5F64" w:rsidP="003F5F64">
      <w:pPr>
        <w:pStyle w:val="NormalWeb"/>
        <w:shd w:val="clear" w:color="auto" w:fill="FFFFFF"/>
        <w:rPr>
          <w:color w:val="000000"/>
          <w:sz w:val="22"/>
          <w:szCs w:val="22"/>
        </w:rPr>
      </w:pPr>
      <w:r w:rsidRPr="004A4845">
        <w:rPr>
          <w:color w:val="000000"/>
          <w:sz w:val="22"/>
          <w:szCs w:val="22"/>
          <w:highlight w:val="yellow"/>
        </w:rPr>
        <w:t>(cf. </w:t>
      </w:r>
      <w:hyperlink r:id="rId10" w:history="1">
        <w:r w:rsidRPr="004A4845">
          <w:rPr>
            <w:rStyle w:val="Hyperlink"/>
            <w:sz w:val="22"/>
            <w:szCs w:val="22"/>
            <w:highlight w:val="yellow"/>
          </w:rPr>
          <w:t>3312</w:t>
        </w:r>
      </w:hyperlink>
      <w:r w:rsidRPr="004A4845">
        <w:rPr>
          <w:color w:val="000000"/>
          <w:sz w:val="22"/>
          <w:szCs w:val="22"/>
          <w:highlight w:val="yellow"/>
        </w:rPr>
        <w:t> - Contracts)</w:t>
      </w:r>
    </w:p>
    <w:p w:rsidR="003F5F64" w:rsidRDefault="003F5F64" w:rsidP="003F5F64">
      <w:pPr>
        <w:pStyle w:val="NormalWeb"/>
        <w:shd w:val="clear" w:color="auto" w:fill="FFFFFF"/>
        <w:rPr>
          <w:color w:val="000000"/>
          <w:sz w:val="22"/>
          <w:szCs w:val="22"/>
        </w:rPr>
      </w:pPr>
      <w:r>
        <w:rPr>
          <w:color w:val="000000"/>
          <w:sz w:val="22"/>
          <w:szCs w:val="22"/>
        </w:rPr>
        <w:t>5. Procurement by noncompetitive proposals (sole sourcing) may be used only when the item is available exclusively from a single source, the need or emergency will not permit a delay resulting from competitive solicitation, the awarding agency expressly authorizes sole sourcing in response to the district's request, and/or competition is determined inadequate after solicitation of a number of sources. (2 CFR 200.320)</w:t>
      </w:r>
    </w:p>
    <w:p w:rsidR="003F5F64" w:rsidRDefault="003F5F64" w:rsidP="003F5F64">
      <w:pPr>
        <w:pStyle w:val="NormalWeb"/>
        <w:shd w:val="clear" w:color="auto" w:fill="FFFFFF"/>
        <w:rPr>
          <w:color w:val="000000"/>
          <w:sz w:val="22"/>
          <w:szCs w:val="22"/>
        </w:rPr>
      </w:pPr>
      <w:r>
        <w:rPr>
          <w:color w:val="000000"/>
          <w:sz w:val="22"/>
          <w:szCs w:val="22"/>
        </w:rPr>
        <w:t>6. Time and materials type contracts may be used only after a determination that no other contract is suitable and if the contract includes a ceiling price that the contractor exceeds at its own risk. Time and materials type contract means a contract for which the cost is the sum of the actual cost of materials and direct labor hours charged at fixed hourly rates that reflect wages, general administrative expenses, and profit. (200.328)</w:t>
      </w:r>
    </w:p>
    <w:p w:rsidR="003F5F64" w:rsidRDefault="003F5F64" w:rsidP="003F5F64">
      <w:pPr>
        <w:pStyle w:val="NormalWeb"/>
        <w:shd w:val="clear" w:color="auto" w:fill="FFFFFF"/>
        <w:rPr>
          <w:color w:val="000000"/>
          <w:sz w:val="22"/>
          <w:szCs w:val="22"/>
        </w:rPr>
      </w:pPr>
      <w:r>
        <w:rPr>
          <w:color w:val="000000"/>
          <w:sz w:val="22"/>
          <w:szCs w:val="22"/>
        </w:rPr>
        <w:t>For any purchase of $25,000 or more, the Superintendent or designee shall verify that any vendor which is used to procure goods or services is not excluded or disqualified by the federal government. (2 CFR 180.220, 200.213)</w:t>
      </w:r>
    </w:p>
    <w:p w:rsidR="003F5F64" w:rsidRDefault="003F5F64" w:rsidP="003F5F64">
      <w:pPr>
        <w:pStyle w:val="NormalWeb"/>
        <w:shd w:val="clear" w:color="auto" w:fill="FFFFFF"/>
        <w:rPr>
          <w:color w:val="000000"/>
          <w:sz w:val="22"/>
          <w:szCs w:val="22"/>
        </w:rPr>
      </w:pPr>
      <w:r>
        <w:rPr>
          <w:color w:val="000000"/>
          <w:sz w:val="22"/>
          <w:szCs w:val="22"/>
        </w:rPr>
        <w:t>All solicitations shall incorporate a clear and accurate description of the technical requirements for the material, product, or service to be procured. Such description shall not, in competitive procurements, contain features which unduly restrict competition. The description shall avoid detailed product specifications to the extent possible, but may include a statement of the qualitative nature of the material, product, or service to be procured and, when necessary, shall set forth those minimum essential characteristics and standards to which it must conform if it is to satisfy its intended use. When it is impractical or not economical to make a clear and accurate description of the technical requirements, a brand name or equivalent description may be used to define the performance or other salient requirements of procurement, clearly stating the specific features of the named brand which must be met by offers. In addition, every solicitation shall identify all requirements which the offer must fulfill and any other factors to be used in evaluating bids or proposals. (2 CFR 200.319)</w:t>
      </w:r>
    </w:p>
    <w:p w:rsidR="003F5F64" w:rsidRDefault="003F5F64" w:rsidP="003F5F64">
      <w:pPr>
        <w:pStyle w:val="NormalWeb"/>
        <w:shd w:val="clear" w:color="auto" w:fill="FFFFFF"/>
        <w:rPr>
          <w:color w:val="000000"/>
          <w:sz w:val="22"/>
          <w:szCs w:val="22"/>
        </w:rPr>
      </w:pPr>
      <w:r>
        <w:rPr>
          <w:color w:val="000000"/>
          <w:sz w:val="22"/>
          <w:szCs w:val="22"/>
        </w:rPr>
        <w:lastRenderedPageBreak/>
        <w:t>The Superintendent or designee shall maintain sufficient records to document the procurement, including, but not limited to, the rationale for the method of procurement, selection of the contract type, contractor selection or rejection, and the basis for the contract price. (2 CFR 200.318)</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ensure that all contracts for purchases using federal grant funds contain the applicable contract provisions described in Appendix II to Part 200 - Contract Provisions for Non-Federal Entity Contracts Under Federal Awards. (2 CFR 200.326)</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Capital Expenditures</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obtain prior written approval from the awarding agency before using federal funds to make capital expenditures, including the acquisition of land, facilities, equipment, and intellectual property and expenditures to make additions, improvements, modifications, replacements, rearrangements, reinstallations, renovations, or alterations to capital assets that materially increase their value or useful life. (2 CFR 200.12, 200.13, 200.20, 200.33, 200.48, 200.58, 200.89, 200.313, 200.439)</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Conflict of Interest</w:t>
      </w:r>
    </w:p>
    <w:p w:rsidR="003F5F64" w:rsidRDefault="003F5F64" w:rsidP="003F5F64">
      <w:pPr>
        <w:pStyle w:val="NormalWeb"/>
        <w:shd w:val="clear" w:color="auto" w:fill="FFFFFF"/>
        <w:rPr>
          <w:color w:val="000000"/>
          <w:sz w:val="22"/>
          <w:szCs w:val="22"/>
        </w:rPr>
      </w:pPr>
      <w:r>
        <w:rPr>
          <w:color w:val="000000"/>
          <w:sz w:val="22"/>
          <w:szCs w:val="22"/>
        </w:rPr>
        <w:t>No Board of Trustees member, district employee, or district representative shall participate in the selection, award, or administration of a contract supported by federal funds if he/she has a real or apparent conflict of interest, such as when he/she or a member of his/her immediate family, his/her partner, or an organization which employs or is about to employ any of them has a financial interest in or a tangible personal benefit from a firm considered for a contract. Such persons are prohibited from soliciting or accepting gratuities, favors, or anything of monetary value from contractors or subcontractors unless the gift is an unsolicited item of nominal value. (2 CFR 200.318)</w:t>
      </w:r>
    </w:p>
    <w:p w:rsidR="003F5F64" w:rsidRDefault="003F5F64" w:rsidP="003F5F64">
      <w:pPr>
        <w:pStyle w:val="NormalWeb"/>
        <w:shd w:val="clear" w:color="auto" w:fill="FFFFFF"/>
        <w:rPr>
          <w:color w:val="000000"/>
          <w:sz w:val="22"/>
          <w:szCs w:val="22"/>
        </w:rPr>
      </w:pPr>
      <w:r>
        <w:rPr>
          <w:color w:val="000000"/>
          <w:sz w:val="22"/>
          <w:szCs w:val="22"/>
        </w:rPr>
        <w:t>Employees engaged in the selection, award, and administration of contracts shall also comply with B</w:t>
      </w:r>
      <w:r w:rsidR="004A4845">
        <w:rPr>
          <w:color w:val="000000"/>
          <w:sz w:val="22"/>
          <w:szCs w:val="22"/>
        </w:rPr>
        <w:t xml:space="preserve">oard policy </w:t>
      </w:r>
      <w:r>
        <w:rPr>
          <w:color w:val="000000"/>
          <w:sz w:val="22"/>
          <w:szCs w:val="22"/>
        </w:rPr>
        <w:t>- Conflict of Interest.</w:t>
      </w:r>
    </w:p>
    <w:p w:rsidR="003F5F64" w:rsidRPr="004A4845" w:rsidRDefault="003F5F64" w:rsidP="003F5F64">
      <w:pPr>
        <w:pStyle w:val="NormalWeb"/>
        <w:shd w:val="clear" w:color="auto" w:fill="FFFFFF"/>
        <w:rPr>
          <w:color w:val="000000"/>
          <w:sz w:val="22"/>
          <w:szCs w:val="22"/>
          <w:u w:val="single"/>
        </w:rPr>
      </w:pPr>
      <w:r w:rsidRPr="004A4845">
        <w:rPr>
          <w:color w:val="000000"/>
          <w:sz w:val="22"/>
          <w:szCs w:val="22"/>
          <w:u w:val="single"/>
        </w:rPr>
        <w:t>Cash Management</w:t>
      </w:r>
    </w:p>
    <w:p w:rsidR="003F5F64" w:rsidRDefault="003F5F64" w:rsidP="003F5F64">
      <w:pPr>
        <w:pStyle w:val="NormalWeb"/>
        <w:shd w:val="clear" w:color="auto" w:fill="FFFFFF"/>
        <w:rPr>
          <w:color w:val="000000"/>
          <w:sz w:val="22"/>
          <w:szCs w:val="22"/>
        </w:rPr>
      </w:pPr>
      <w:r>
        <w:rPr>
          <w:color w:val="000000"/>
          <w:sz w:val="22"/>
          <w:szCs w:val="22"/>
        </w:rPr>
        <w:t>The Superintendent or designee shall ensure the district's compliance with 2 CFR 200.305 pertaining to payments and cash management, including compliance with applicable methods and procedures that minimize the time elapsing between the transfer of funds to the district and the district's disbursement of funds. (2 CFR 200.305)</w:t>
      </w:r>
    </w:p>
    <w:p w:rsidR="004A4845" w:rsidRDefault="004A4845" w:rsidP="003F5F64">
      <w:pPr>
        <w:pStyle w:val="NormalWeb"/>
        <w:shd w:val="clear" w:color="auto" w:fill="FFFFFF"/>
        <w:rPr>
          <w:color w:val="000000"/>
          <w:sz w:val="22"/>
          <w:szCs w:val="22"/>
        </w:rPr>
      </w:pPr>
      <w:r>
        <w:rPr>
          <w:color w:val="000000"/>
          <w:sz w:val="22"/>
          <w:szCs w:val="22"/>
        </w:rPr>
        <w:t xml:space="preserve">(BP- </w:t>
      </w:r>
      <w:r w:rsidRPr="004A4845">
        <w:rPr>
          <w:color w:val="4472C4" w:themeColor="accent1"/>
          <w:sz w:val="22"/>
          <w:szCs w:val="22"/>
          <w:u w:val="single"/>
        </w:rPr>
        <w:t>1100 Cash Management Procedures</w:t>
      </w:r>
      <w:r>
        <w:rPr>
          <w:color w:val="000000"/>
          <w:sz w:val="22"/>
          <w:szCs w:val="22"/>
        </w:rPr>
        <w:t>)</w:t>
      </w:r>
    </w:p>
    <w:p w:rsidR="003F5F64" w:rsidRDefault="003F5F64" w:rsidP="003F5F64">
      <w:pPr>
        <w:pStyle w:val="NormalWeb"/>
        <w:shd w:val="clear" w:color="auto" w:fill="FFFFFF"/>
        <w:rPr>
          <w:color w:val="000000"/>
          <w:sz w:val="22"/>
          <w:szCs w:val="22"/>
        </w:rPr>
      </w:pPr>
      <w:r>
        <w:rPr>
          <w:color w:val="000000"/>
          <w:sz w:val="22"/>
          <w:szCs w:val="22"/>
        </w:rPr>
        <w:t>When authorized by law, the district may receive advance payments of federal grant funds, limited to the minimum amounts needed and timed in accordance with the actual immediate cash requirements of the district for carrying out the purpose of the program or project. Except under specified conditions, the district shall maintain the advance payments in an interest-bearing account. The district shall remit interest earned on the advanced payment to the awarding agency on an annual basis, but may retain interest amounts specified in 2 CFR 200.305 for administrative expenses. (2 CFR 200.305)</w:t>
      </w:r>
    </w:p>
    <w:p w:rsidR="003F5F64" w:rsidRDefault="003F5F64" w:rsidP="003F5F64">
      <w:pPr>
        <w:pStyle w:val="NormalWeb"/>
        <w:shd w:val="clear" w:color="auto" w:fill="FFFFFF"/>
        <w:rPr>
          <w:color w:val="000000"/>
          <w:sz w:val="22"/>
          <w:szCs w:val="22"/>
        </w:rPr>
      </w:pPr>
      <w:r>
        <w:rPr>
          <w:color w:val="000000"/>
          <w:sz w:val="22"/>
          <w:szCs w:val="22"/>
        </w:rPr>
        <w:t>When required by the awarding agency, the district shall instead submit a request for reimbursement of actual expenses incurred. The district may also request reimbursement as an alternative to receiving advance payments. (2 CFR 200.305)</w:t>
      </w:r>
    </w:p>
    <w:p w:rsidR="003F5F64" w:rsidRDefault="003F5F64" w:rsidP="003F5F64">
      <w:pPr>
        <w:pStyle w:val="NormalWeb"/>
        <w:shd w:val="clear" w:color="auto" w:fill="FFFFFF"/>
        <w:rPr>
          <w:color w:val="000000"/>
          <w:sz w:val="22"/>
          <w:szCs w:val="22"/>
        </w:rPr>
      </w:pPr>
      <w:r>
        <w:rPr>
          <w:color w:val="000000"/>
          <w:sz w:val="22"/>
          <w:szCs w:val="22"/>
        </w:rPr>
        <w:lastRenderedPageBreak/>
        <w:t>The Superintendent or designee shall maintain source documentation supporting the expenditure of federal funds, such as invoices, time sheets, payroll stubs, or other appropriate documentation.</w:t>
      </w:r>
    </w:p>
    <w:p w:rsidR="003F5F64" w:rsidRDefault="003F5F64" w:rsidP="003F5F64">
      <w:pPr>
        <w:pStyle w:val="NormalWeb"/>
        <w:shd w:val="clear" w:color="auto" w:fill="FFFFFF"/>
        <w:rPr>
          <w:color w:val="000000"/>
          <w:sz w:val="22"/>
          <w:szCs w:val="22"/>
        </w:rPr>
      </w:pPr>
      <w:r>
        <w:rPr>
          <w:color w:val="000000"/>
          <w:sz w:val="22"/>
          <w:szCs w:val="22"/>
        </w:rPr>
        <w:t>Personnel</w:t>
      </w:r>
    </w:p>
    <w:p w:rsidR="003F5F64" w:rsidRDefault="003F5F64" w:rsidP="003F5F64">
      <w:pPr>
        <w:pStyle w:val="NormalWeb"/>
        <w:shd w:val="clear" w:color="auto" w:fill="FFFFFF"/>
        <w:rPr>
          <w:color w:val="000000"/>
          <w:sz w:val="22"/>
          <w:szCs w:val="22"/>
        </w:rPr>
      </w:pPr>
      <w:r>
        <w:rPr>
          <w:color w:val="000000"/>
          <w:sz w:val="22"/>
          <w:szCs w:val="22"/>
        </w:rPr>
        <w:t>All district employees who are paid in full or in part with federal funds, including employees whose salary is paid with state or local funds but is used to meet a required match or in-kind contribution to a federal program, shall document the amount of time they spend on grant activities. (2 CFR 200.430)</w:t>
      </w:r>
    </w:p>
    <w:p w:rsidR="004A4845" w:rsidRDefault="004A4845" w:rsidP="003F5F64">
      <w:pPr>
        <w:pStyle w:val="NormalWeb"/>
        <w:shd w:val="clear" w:color="auto" w:fill="FFFFFF"/>
        <w:rPr>
          <w:color w:val="000000"/>
          <w:sz w:val="22"/>
          <w:szCs w:val="22"/>
        </w:rPr>
      </w:pPr>
      <w:r>
        <w:rPr>
          <w:color w:val="000000"/>
          <w:sz w:val="22"/>
          <w:szCs w:val="22"/>
        </w:rPr>
        <w:t xml:space="preserve">(AR- </w:t>
      </w:r>
      <w:r w:rsidRPr="004A4845">
        <w:rPr>
          <w:color w:val="4472C4" w:themeColor="accent1"/>
          <w:sz w:val="22"/>
          <w:szCs w:val="22"/>
          <w:u w:val="single"/>
        </w:rPr>
        <w:t>315(c) Time Accounting</w:t>
      </w:r>
      <w:r>
        <w:rPr>
          <w:color w:val="000000"/>
          <w:sz w:val="22"/>
          <w:szCs w:val="22"/>
        </w:rPr>
        <w:t xml:space="preserve">) </w:t>
      </w:r>
    </w:p>
    <w:p w:rsidR="003F5F64" w:rsidRDefault="003F5F64" w:rsidP="003F5F64">
      <w:pPr>
        <w:pStyle w:val="NormalWeb"/>
        <w:shd w:val="clear" w:color="auto" w:fill="FFFFFF"/>
        <w:rPr>
          <w:color w:val="000000"/>
          <w:sz w:val="22"/>
          <w:szCs w:val="22"/>
        </w:rPr>
      </w:pPr>
      <w:r>
        <w:rPr>
          <w:color w:val="000000"/>
          <w:sz w:val="22"/>
          <w:szCs w:val="22"/>
        </w:rPr>
        <w:t>Records</w:t>
      </w:r>
    </w:p>
    <w:p w:rsidR="003F5F64" w:rsidRDefault="003F5F64" w:rsidP="003F5F64">
      <w:pPr>
        <w:pStyle w:val="NormalWeb"/>
        <w:shd w:val="clear" w:color="auto" w:fill="FFFFFF"/>
        <w:rPr>
          <w:color w:val="000000"/>
          <w:sz w:val="22"/>
          <w:szCs w:val="22"/>
        </w:rPr>
      </w:pPr>
      <w:r>
        <w:rPr>
          <w:color w:val="000000"/>
          <w:sz w:val="22"/>
          <w:szCs w:val="22"/>
        </w:rPr>
        <w:t>Except as otherwise provided in 2 CFR 200.333, or where state law or district policy requires a longer retention period, financial records, supporting documents, statistical records, and all other district records related to a federal award shall be retained for a period of three years from the date of submission of the final expenditure report or, for a federal award that is renewed quarterly or annually, from the date of the submission of the quarterly or annual financial report. (2 CFR 200.333)</w:t>
      </w:r>
    </w:p>
    <w:p w:rsidR="003F5F64" w:rsidRDefault="003F5F64" w:rsidP="003F5F64">
      <w:pPr>
        <w:pStyle w:val="NormalWeb"/>
        <w:shd w:val="clear" w:color="auto" w:fill="FFFFFF"/>
        <w:rPr>
          <w:color w:val="000000"/>
          <w:sz w:val="22"/>
          <w:szCs w:val="22"/>
        </w:rPr>
      </w:pPr>
      <w:r>
        <w:rPr>
          <w:color w:val="000000"/>
          <w:sz w:val="22"/>
          <w:szCs w:val="22"/>
        </w:rPr>
        <w:t>(</w:t>
      </w:r>
      <w:r w:rsidR="004A4845">
        <w:rPr>
          <w:color w:val="000000"/>
          <w:sz w:val="22"/>
          <w:szCs w:val="22"/>
        </w:rPr>
        <w:t xml:space="preserve">BP- 311 </w:t>
      </w:r>
      <w:r w:rsidR="004A4845" w:rsidRPr="004A4845">
        <w:rPr>
          <w:color w:val="4472C4" w:themeColor="accent1"/>
          <w:sz w:val="22"/>
          <w:szCs w:val="22"/>
          <w:u w:val="single"/>
        </w:rPr>
        <w:t>Record Retention and Disposal</w:t>
      </w:r>
      <w:r w:rsidR="004A4845">
        <w:rPr>
          <w:color w:val="000000"/>
          <w:sz w:val="22"/>
          <w:szCs w:val="22"/>
        </w:rPr>
        <w:t>)</w:t>
      </w:r>
    </w:p>
    <w:p w:rsidR="001003D3" w:rsidRDefault="001003D3" w:rsidP="003F5F64">
      <w:pPr>
        <w:pStyle w:val="NormalWeb"/>
        <w:shd w:val="clear" w:color="auto" w:fill="FFFFFF"/>
        <w:rPr>
          <w:color w:val="000000"/>
          <w:sz w:val="22"/>
          <w:szCs w:val="22"/>
        </w:rPr>
      </w:pPr>
    </w:p>
    <w:p w:rsidR="001003D3" w:rsidRDefault="001003D3" w:rsidP="003F5F64">
      <w:pPr>
        <w:pStyle w:val="NormalWeb"/>
        <w:shd w:val="clear" w:color="auto" w:fill="FFFFFF"/>
        <w:rPr>
          <w:color w:val="000000"/>
          <w:sz w:val="22"/>
          <w:szCs w:val="22"/>
        </w:rPr>
      </w:pPr>
    </w:p>
    <w:p w:rsidR="004A4845" w:rsidRDefault="004A4845" w:rsidP="003F5F64">
      <w:pPr>
        <w:pStyle w:val="NormalWeb"/>
        <w:shd w:val="clear" w:color="auto" w:fill="FFFFFF"/>
        <w:rPr>
          <w:color w:val="000000"/>
          <w:sz w:val="22"/>
          <w:szCs w:val="22"/>
        </w:rPr>
      </w:pPr>
    </w:p>
    <w:p w:rsidR="004A4845" w:rsidRDefault="004A4845" w:rsidP="003F5F64">
      <w:pPr>
        <w:pStyle w:val="NormalWeb"/>
        <w:shd w:val="clear" w:color="auto" w:fill="FFFFFF"/>
        <w:rPr>
          <w:color w:val="000000"/>
          <w:sz w:val="22"/>
          <w:szCs w:val="22"/>
        </w:rPr>
      </w:pPr>
    </w:p>
    <w:p w:rsidR="004A4845" w:rsidRDefault="004A4845" w:rsidP="003F5F64">
      <w:pPr>
        <w:pStyle w:val="NormalWeb"/>
        <w:shd w:val="clear" w:color="auto" w:fill="FFFFFF"/>
        <w:rPr>
          <w:color w:val="000000"/>
          <w:sz w:val="22"/>
          <w:szCs w:val="22"/>
        </w:rPr>
      </w:pPr>
    </w:p>
    <w:p w:rsidR="001003D3" w:rsidRDefault="001003D3" w:rsidP="003F5F64">
      <w:pPr>
        <w:pStyle w:val="NormalWeb"/>
        <w:shd w:val="clear" w:color="auto" w:fill="FFFFFF"/>
        <w:rPr>
          <w:color w:val="000000"/>
          <w:sz w:val="22"/>
          <w:szCs w:val="22"/>
        </w:rPr>
      </w:pPr>
      <w:r>
        <w:rPr>
          <w:color w:val="000000"/>
          <w:sz w:val="22"/>
          <w:szCs w:val="22"/>
        </w:rPr>
        <w:t>Appendices</w:t>
      </w:r>
    </w:p>
    <w:p w:rsidR="001003D3" w:rsidRDefault="001003D3" w:rsidP="003F5F64">
      <w:pPr>
        <w:pStyle w:val="NormalWeb"/>
        <w:shd w:val="clear" w:color="auto" w:fill="FFFFFF"/>
        <w:rPr>
          <w:color w:val="000000"/>
          <w:sz w:val="22"/>
          <w:szCs w:val="22"/>
        </w:rPr>
      </w:pPr>
    </w:p>
    <w:p w:rsidR="001003D3" w:rsidRDefault="001003D3" w:rsidP="003F5F64">
      <w:pPr>
        <w:pStyle w:val="NormalWeb"/>
        <w:shd w:val="clear" w:color="auto" w:fill="FFFFFF"/>
        <w:rPr>
          <w:color w:val="000000"/>
          <w:sz w:val="22"/>
          <w:szCs w:val="22"/>
        </w:rPr>
      </w:pPr>
      <w:r>
        <w:rPr>
          <w:color w:val="000000"/>
          <w:sz w:val="22"/>
          <w:szCs w:val="22"/>
        </w:rPr>
        <w:t>Procurement</w:t>
      </w:r>
    </w:p>
    <w:p w:rsidR="001003D3" w:rsidRDefault="001003D3" w:rsidP="003F5F64">
      <w:pPr>
        <w:pStyle w:val="NormalWeb"/>
        <w:shd w:val="clear" w:color="auto" w:fill="FFFFFF"/>
        <w:rPr>
          <w:rFonts w:ascii="Verdana" w:eastAsiaTheme="minorHAnsi" w:hAnsi="Verdana" w:cstheme="minorBidi"/>
          <w:color w:val="333333"/>
          <w:sz w:val="22"/>
          <w:szCs w:val="22"/>
          <w:shd w:val="clear" w:color="auto" w:fill="FFFFFF"/>
        </w:rPr>
      </w:pPr>
      <w:r w:rsidRPr="001003D3">
        <w:rPr>
          <w:rFonts w:ascii="Verdana" w:eastAsiaTheme="minorHAnsi" w:hAnsi="Verdana" w:cstheme="minorBidi"/>
          <w:i/>
          <w:iCs/>
          <w:color w:val="333333"/>
          <w:sz w:val="22"/>
          <w:szCs w:val="22"/>
          <w:shd w:val="clear" w:color="auto" w:fill="FFFFFF"/>
        </w:rPr>
        <w:t>Micro-purchase</w:t>
      </w:r>
      <w:r w:rsidRPr="001003D3">
        <w:rPr>
          <w:rFonts w:ascii="Verdana" w:eastAsiaTheme="minorHAnsi" w:hAnsi="Verdana" w:cstheme="minorBidi"/>
          <w:color w:val="333333"/>
          <w:sz w:val="22"/>
          <w:szCs w:val="22"/>
          <w:shd w:val="clear" w:color="auto" w:fill="FFFFFF"/>
        </w:rPr>
        <w:t> means an </w:t>
      </w:r>
      <w:hyperlink r:id="rId11" w:history="1">
        <w:r w:rsidRPr="001003D3">
          <w:rPr>
            <w:rFonts w:ascii="Verdana" w:eastAsiaTheme="minorHAnsi" w:hAnsi="Verdana" w:cstheme="minorBidi"/>
            <w:color w:val="0068AC"/>
            <w:sz w:val="22"/>
            <w:szCs w:val="22"/>
            <w:u w:val="single"/>
            <w:shd w:val="clear" w:color="auto" w:fill="FFFFFF"/>
          </w:rPr>
          <w:t>acquisition</w:t>
        </w:r>
      </w:hyperlink>
      <w:r w:rsidRPr="001003D3">
        <w:rPr>
          <w:rFonts w:ascii="Verdana" w:eastAsiaTheme="minorHAnsi" w:hAnsi="Verdana" w:cstheme="minorBidi"/>
          <w:color w:val="333333"/>
          <w:sz w:val="22"/>
          <w:szCs w:val="22"/>
          <w:shd w:val="clear" w:color="auto" w:fill="FFFFFF"/>
        </w:rPr>
        <w:t> of </w:t>
      </w:r>
      <w:hyperlink r:id="rId12" w:history="1">
        <w:r w:rsidRPr="001003D3">
          <w:rPr>
            <w:rFonts w:ascii="Verdana" w:eastAsiaTheme="minorHAnsi" w:hAnsi="Verdana" w:cstheme="minorBidi"/>
            <w:color w:val="0068AC"/>
            <w:sz w:val="22"/>
            <w:szCs w:val="22"/>
            <w:u w:val="single"/>
            <w:shd w:val="clear" w:color="auto" w:fill="FFFFFF"/>
          </w:rPr>
          <w:t>supplies</w:t>
        </w:r>
      </w:hyperlink>
      <w:r w:rsidRPr="001003D3">
        <w:rPr>
          <w:rFonts w:ascii="Verdana" w:eastAsiaTheme="minorHAnsi" w:hAnsi="Verdana" w:cstheme="minorBidi"/>
          <w:color w:val="333333"/>
          <w:sz w:val="22"/>
          <w:szCs w:val="22"/>
          <w:shd w:val="clear" w:color="auto" w:fill="FFFFFF"/>
        </w:rPr>
        <w:t> or services using </w:t>
      </w:r>
      <w:hyperlink r:id="rId13" w:history="1">
        <w:r w:rsidRPr="001003D3">
          <w:rPr>
            <w:rFonts w:ascii="Verdana" w:eastAsiaTheme="minorHAnsi" w:hAnsi="Verdana" w:cstheme="minorBidi"/>
            <w:color w:val="8B0000"/>
            <w:sz w:val="22"/>
            <w:szCs w:val="22"/>
            <w:u w:val="single"/>
          </w:rPr>
          <w:t>simplified acquisition procedures</w:t>
        </w:r>
      </w:hyperlink>
      <w:r w:rsidRPr="001003D3">
        <w:rPr>
          <w:rFonts w:ascii="Verdana" w:eastAsiaTheme="minorHAnsi" w:hAnsi="Verdana" w:cstheme="minorBidi"/>
          <w:color w:val="333333"/>
          <w:sz w:val="22"/>
          <w:szCs w:val="22"/>
          <w:shd w:val="clear" w:color="auto" w:fill="FFFFFF"/>
        </w:rPr>
        <w:t>, the aggregate amount of which does not exceed the </w:t>
      </w:r>
      <w:hyperlink r:id="rId14" w:history="1">
        <w:r w:rsidRPr="001003D3">
          <w:rPr>
            <w:rFonts w:ascii="Verdana" w:eastAsiaTheme="minorHAnsi" w:hAnsi="Verdana" w:cstheme="minorBidi"/>
            <w:color w:val="0068AC"/>
            <w:sz w:val="22"/>
            <w:szCs w:val="22"/>
            <w:u w:val="single"/>
            <w:shd w:val="clear" w:color="auto" w:fill="FFFFFF"/>
          </w:rPr>
          <w:t>micro-purchase threshold</w:t>
        </w:r>
      </w:hyperlink>
      <w:r w:rsidRPr="001003D3">
        <w:rPr>
          <w:rFonts w:ascii="Verdana" w:eastAsiaTheme="minorHAnsi" w:hAnsi="Verdana" w:cstheme="minorBidi"/>
          <w:color w:val="333333"/>
          <w:sz w:val="22"/>
          <w:szCs w:val="22"/>
          <w:shd w:val="clear" w:color="auto" w:fill="FFFFFF"/>
        </w:rPr>
        <w:t>.</w:t>
      </w:r>
    </w:p>
    <w:p w:rsidR="00622E57" w:rsidRDefault="00622E57" w:rsidP="003F5F64">
      <w:pPr>
        <w:pStyle w:val="NormalWeb"/>
        <w:shd w:val="clear" w:color="auto" w:fill="FFFFFF"/>
        <w:rPr>
          <w:color w:val="000000"/>
          <w:sz w:val="22"/>
          <w:szCs w:val="22"/>
        </w:rPr>
      </w:pPr>
      <w:r>
        <w:rPr>
          <w:rStyle w:val="et03"/>
          <w:rFonts w:ascii="Verdana" w:hAnsi="Verdana"/>
          <w:i/>
          <w:iCs/>
          <w:color w:val="333333"/>
          <w:shd w:val="clear" w:color="auto" w:fill="FFFFFF"/>
        </w:rPr>
        <w:t>Micro-purchase threshold</w:t>
      </w:r>
      <w:r>
        <w:rPr>
          <w:rFonts w:ascii="Verdana" w:hAnsi="Verdana"/>
          <w:color w:val="333333"/>
          <w:shd w:val="clear" w:color="auto" w:fill="FFFFFF"/>
        </w:rPr>
        <w:t> means $10,000</w:t>
      </w:r>
    </w:p>
    <w:p w:rsidR="001003D3" w:rsidRDefault="001003D3" w:rsidP="003F5F64">
      <w:pPr>
        <w:pStyle w:val="NormalWeb"/>
        <w:shd w:val="clear" w:color="auto" w:fill="FFFFFF"/>
        <w:rPr>
          <w:color w:val="000000"/>
          <w:sz w:val="22"/>
          <w:szCs w:val="22"/>
        </w:rPr>
      </w:pPr>
    </w:p>
    <w:p w:rsidR="001F1304" w:rsidRDefault="001F1304"/>
    <w:sectPr w:rsidR="001F1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64"/>
    <w:rsid w:val="001003D3"/>
    <w:rsid w:val="001F1304"/>
    <w:rsid w:val="003F5F64"/>
    <w:rsid w:val="004A4845"/>
    <w:rsid w:val="00622E57"/>
    <w:rsid w:val="00A477B5"/>
    <w:rsid w:val="00EA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DEA7"/>
  <w15:chartTrackingRefBased/>
  <w15:docId w15:val="{C6EC4C29-4083-4D84-BA47-513F05E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F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F64"/>
    <w:rPr>
      <w:color w:val="0000FF"/>
      <w:u w:val="single"/>
    </w:rPr>
  </w:style>
  <w:style w:type="character" w:customStyle="1" w:styleId="et03">
    <w:name w:val="et03"/>
    <w:basedOn w:val="DefaultParagraphFont"/>
    <w:rsid w:val="0062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172746/3" TargetMode="External"/><Relationship Id="rId13" Type="http://schemas.openxmlformats.org/officeDocument/2006/relationships/hyperlink" Target="https://www.law.cornell.edu/definitions/index.php?width=840&amp;height=800&amp;iframe=true&amp;def_id=8a7f870ada580cd9592bb55ffe807763&amp;term_occur=999&amp;term_src=Title:48:Chapter:1:Subchapter:A:Part:2:Subpart:2.1:2.101" TargetMode="External"/><Relationship Id="rId3" Type="http://schemas.openxmlformats.org/officeDocument/2006/relationships/webSettings" Target="webSettings.xml"/><Relationship Id="rId7" Type="http://schemas.openxmlformats.org/officeDocument/2006/relationships/hyperlink" Target="http://www.gamutonline.net/district/sanleandrousd/displayPolicy/172746/3" TargetMode="External"/><Relationship Id="rId12" Type="http://schemas.openxmlformats.org/officeDocument/2006/relationships/hyperlink" Target="https://www.law.cornell.edu/definitions/index.php?width=840&amp;height=800&amp;iframe=true&amp;def_id=0565f92307e9f9b0c1c635c58d0b5439&amp;term_occur=999&amp;term_src=Title:48:Chapter:1:Subchapter:A:Part:2:Subpart:2.1:2.10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amutonline.net/district/sanleandrousd/displayPolicy/940930/3" TargetMode="External"/><Relationship Id="rId11" Type="http://schemas.openxmlformats.org/officeDocument/2006/relationships/hyperlink" Target="https://www.law.cornell.edu/definitions/index.php?width=840&amp;height=800&amp;iframe=true&amp;def_id=1034ea547ec7995884c12f64cdc9f655&amp;term_occur=999&amp;term_src=Title:48:Chapter:1:Subchapter:A:Part:2:Subpart:2.1:2.101" TargetMode="External"/><Relationship Id="rId5" Type="http://schemas.openxmlformats.org/officeDocument/2006/relationships/hyperlink" Target="http://www.gamutonline.net/district/sanleandrousd/displayPolicy/940924/3" TargetMode="External"/><Relationship Id="rId15" Type="http://schemas.openxmlformats.org/officeDocument/2006/relationships/fontTable" Target="fontTable.xml"/><Relationship Id="rId10" Type="http://schemas.openxmlformats.org/officeDocument/2006/relationships/hyperlink" Target="http://www.gamutonline.net/district/sanleandrousd/displayPolicy/940927/3" TargetMode="External"/><Relationship Id="rId4" Type="http://schemas.openxmlformats.org/officeDocument/2006/relationships/hyperlink" Target="http://www.gamutonline.net/district/sanleandrousd/displayPolicy/940935/3" TargetMode="External"/><Relationship Id="rId9" Type="http://schemas.openxmlformats.org/officeDocument/2006/relationships/hyperlink" Target="http://www.gamutonline.net/district/sanleandrousd/displayPolicy/940925/3" TargetMode="External"/><Relationship Id="rId14" Type="http://schemas.openxmlformats.org/officeDocument/2006/relationships/hyperlink" Target="https://www.law.cornell.edu/definitions/index.php?width=840&amp;height=800&amp;iframe=true&amp;def_id=faff9ad572cd78d192afe0210a555b2e&amp;term_occur=999&amp;term_src=Title:48:Chapter:1:Subchapter:A:Part:2:Subpart:2.1:2.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5</cp:revision>
  <dcterms:created xsi:type="dcterms:W3CDTF">2020-11-02T17:00:00Z</dcterms:created>
  <dcterms:modified xsi:type="dcterms:W3CDTF">2020-11-03T19:09:00Z</dcterms:modified>
</cp:coreProperties>
</file>