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DF" w:rsidRDefault="00264425">
      <w:pPr>
        <w:spacing w:before="90"/>
        <w:ind w:left="3825"/>
        <w:rPr>
          <w:b/>
          <w:i/>
          <w:sz w:val="24"/>
          <w:szCs w:val="24"/>
        </w:rPr>
      </w:pPr>
      <w:bookmarkStart w:id="0" w:name="_GoBack"/>
      <w:bookmarkEnd w:id="0"/>
      <w:r>
        <w:rPr>
          <w:b/>
          <w:i/>
          <w:sz w:val="32"/>
          <w:szCs w:val="32"/>
        </w:rPr>
        <w:t>Measure G1 Carryover Justification Form</w:t>
      </w:r>
      <w:r>
        <w:rPr>
          <w:noProof/>
        </w:rPr>
        <w:drawing>
          <wp:anchor distT="0" distB="0" distL="0" distR="0" simplePos="0" relativeHeight="251658240" behindDoc="0" locked="0" layoutInCell="1" hidden="0" allowOverlap="1">
            <wp:simplePos x="0" y="0"/>
            <wp:positionH relativeFrom="column">
              <wp:posOffset>177165</wp:posOffset>
            </wp:positionH>
            <wp:positionV relativeFrom="paragraph">
              <wp:posOffset>-109434</wp:posOffset>
            </wp:positionV>
            <wp:extent cx="1981200" cy="6286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1200" cy="628650"/>
                    </a:xfrm>
                    <a:prstGeom prst="rect">
                      <a:avLst/>
                    </a:prstGeom>
                    <a:ln/>
                  </pic:spPr>
                </pic:pic>
              </a:graphicData>
            </a:graphic>
          </wp:anchor>
        </w:drawing>
      </w:r>
    </w:p>
    <w:p w:rsidR="005C23DF" w:rsidRDefault="00264425">
      <w:pPr>
        <w:spacing w:before="144"/>
        <w:ind w:left="7346"/>
        <w:rPr>
          <w:b/>
          <w:i/>
          <w:sz w:val="24"/>
          <w:szCs w:val="24"/>
        </w:rPr>
      </w:pPr>
      <w:r>
        <w:rPr>
          <w:b/>
          <w:i/>
          <w:sz w:val="24"/>
          <w:szCs w:val="24"/>
        </w:rPr>
        <w:t>Due Date: November 2, 2020</w:t>
      </w:r>
    </w:p>
    <w:p w:rsidR="005C23DF" w:rsidRDefault="005C23DF">
      <w:pPr>
        <w:pBdr>
          <w:top w:val="nil"/>
          <w:left w:val="nil"/>
          <w:bottom w:val="nil"/>
          <w:right w:val="nil"/>
          <w:between w:val="nil"/>
        </w:pBdr>
        <w:spacing w:before="3"/>
        <w:rPr>
          <w:b/>
          <w:i/>
          <w:color w:val="000000"/>
          <w:sz w:val="16"/>
          <w:szCs w:val="16"/>
        </w:rPr>
      </w:pPr>
    </w:p>
    <w:tbl>
      <w:tblPr>
        <w:tblStyle w:val="af1"/>
        <w:tblW w:w="10875"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00"/>
        <w:gridCol w:w="2865"/>
        <w:gridCol w:w="2055"/>
        <w:gridCol w:w="3855"/>
      </w:tblGrid>
      <w:tr w:rsidR="005C23DF">
        <w:trPr>
          <w:trHeight w:val="525"/>
        </w:trPr>
        <w:tc>
          <w:tcPr>
            <w:tcW w:w="2100" w:type="dxa"/>
            <w:shd w:val="clear" w:color="auto" w:fill="D9EAD2"/>
          </w:tcPr>
          <w:p w:rsidR="005C23DF" w:rsidRDefault="00264425">
            <w:pPr>
              <w:pBdr>
                <w:top w:val="nil"/>
                <w:left w:val="nil"/>
                <w:bottom w:val="nil"/>
                <w:right w:val="nil"/>
                <w:between w:val="nil"/>
              </w:pBdr>
              <w:spacing w:before="108"/>
              <w:ind w:left="525"/>
              <w:rPr>
                <w:color w:val="000000"/>
              </w:rPr>
            </w:pPr>
            <w:r>
              <w:t>S</w:t>
            </w:r>
            <w:r>
              <w:rPr>
                <w:color w:val="000000"/>
              </w:rPr>
              <w:t>chool:</w:t>
            </w:r>
          </w:p>
        </w:tc>
        <w:tc>
          <w:tcPr>
            <w:tcW w:w="2865" w:type="dxa"/>
          </w:tcPr>
          <w:p w:rsidR="005C23DF" w:rsidRDefault="00264425">
            <w:r>
              <w:t xml:space="preserve">     American Indian PCS I</w:t>
            </w:r>
          </w:p>
        </w:tc>
        <w:tc>
          <w:tcPr>
            <w:tcW w:w="2055" w:type="dxa"/>
            <w:shd w:val="clear" w:color="auto" w:fill="D9EAD2"/>
          </w:tcPr>
          <w:p w:rsidR="005C23DF" w:rsidRDefault="00264425">
            <w:pPr>
              <w:pBdr>
                <w:top w:val="nil"/>
                <w:left w:val="nil"/>
                <w:bottom w:val="nil"/>
                <w:right w:val="nil"/>
                <w:between w:val="nil"/>
              </w:pBdr>
              <w:spacing w:before="108"/>
              <w:ind w:right="105"/>
              <w:jc w:val="right"/>
              <w:rPr>
                <w:color w:val="000000"/>
              </w:rPr>
            </w:pPr>
            <w:r>
              <w:rPr>
                <w:color w:val="000000"/>
              </w:rPr>
              <w:t>Contact/Principal</w:t>
            </w:r>
          </w:p>
        </w:tc>
        <w:tc>
          <w:tcPr>
            <w:tcW w:w="3855" w:type="dxa"/>
          </w:tcPr>
          <w:p w:rsidR="005C23DF" w:rsidRDefault="00264425">
            <w:r>
              <w:rPr>
                <w:rFonts w:ascii="Calibri" w:eastAsia="Calibri" w:hAnsi="Calibri" w:cs="Calibri"/>
                <w:sz w:val="24"/>
                <w:szCs w:val="24"/>
              </w:rPr>
              <w:t xml:space="preserve"> Peter </w:t>
            </w:r>
            <w:proofErr w:type="spellStart"/>
            <w:r>
              <w:rPr>
                <w:rFonts w:ascii="Calibri" w:eastAsia="Calibri" w:hAnsi="Calibri" w:cs="Calibri"/>
                <w:sz w:val="24"/>
                <w:szCs w:val="24"/>
              </w:rPr>
              <w:t>Holmquist</w:t>
            </w:r>
            <w:proofErr w:type="spellEnd"/>
          </w:p>
        </w:tc>
      </w:tr>
      <w:tr w:rsidR="005C23DF">
        <w:trPr>
          <w:trHeight w:val="429"/>
        </w:trPr>
        <w:tc>
          <w:tcPr>
            <w:tcW w:w="2100" w:type="dxa"/>
            <w:vMerge w:val="restart"/>
            <w:shd w:val="clear" w:color="auto" w:fill="D9EAD2"/>
          </w:tcPr>
          <w:p w:rsidR="005C23DF" w:rsidRDefault="005C23DF">
            <w:pPr>
              <w:pBdr>
                <w:top w:val="nil"/>
                <w:left w:val="nil"/>
                <w:bottom w:val="nil"/>
                <w:right w:val="nil"/>
                <w:between w:val="nil"/>
              </w:pBdr>
              <w:spacing w:before="6"/>
              <w:rPr>
                <w:b/>
                <w:i/>
                <w:color w:val="000000"/>
                <w:sz w:val="20"/>
                <w:szCs w:val="20"/>
              </w:rPr>
            </w:pPr>
          </w:p>
          <w:p w:rsidR="005C23DF" w:rsidRDefault="00264425">
            <w:pPr>
              <w:pBdr>
                <w:top w:val="nil"/>
                <w:left w:val="nil"/>
                <w:bottom w:val="nil"/>
                <w:right w:val="nil"/>
                <w:between w:val="nil"/>
              </w:pBdr>
              <w:ind w:left="375"/>
              <w:rPr>
                <w:color w:val="000000"/>
                <w:sz w:val="20"/>
                <w:szCs w:val="20"/>
              </w:rPr>
            </w:pPr>
            <w:r>
              <w:rPr>
                <w:color w:val="000000"/>
                <w:sz w:val="20"/>
                <w:szCs w:val="20"/>
              </w:rPr>
              <w:t>School Address:</w:t>
            </w:r>
          </w:p>
        </w:tc>
        <w:tc>
          <w:tcPr>
            <w:tcW w:w="2865" w:type="dxa"/>
            <w:vMerge w:val="restart"/>
          </w:tcPr>
          <w:p w:rsidR="005C23DF" w:rsidRDefault="00264425">
            <w:pPr>
              <w:jc w:val="center"/>
              <w:rPr>
                <w:sz w:val="20"/>
                <w:szCs w:val="20"/>
              </w:rPr>
            </w:pPr>
            <w:r>
              <w:rPr>
                <w:sz w:val="20"/>
                <w:szCs w:val="20"/>
              </w:rPr>
              <w:t xml:space="preserve"> 171 12th Street </w:t>
            </w:r>
          </w:p>
          <w:p w:rsidR="005C23DF" w:rsidRDefault="00264425">
            <w:pPr>
              <w:jc w:val="center"/>
              <w:rPr>
                <w:sz w:val="20"/>
                <w:szCs w:val="20"/>
              </w:rPr>
            </w:pPr>
            <w:r>
              <w:rPr>
                <w:sz w:val="20"/>
                <w:szCs w:val="20"/>
              </w:rPr>
              <w:t>Oakland, CA 94607</w:t>
            </w:r>
          </w:p>
        </w:tc>
        <w:tc>
          <w:tcPr>
            <w:tcW w:w="2055" w:type="dxa"/>
            <w:shd w:val="clear" w:color="auto" w:fill="D9EAD2"/>
          </w:tcPr>
          <w:p w:rsidR="005C23DF" w:rsidRDefault="00264425">
            <w:pPr>
              <w:pBdr>
                <w:top w:val="nil"/>
                <w:left w:val="nil"/>
                <w:bottom w:val="nil"/>
                <w:right w:val="nil"/>
                <w:between w:val="nil"/>
              </w:pBdr>
              <w:spacing w:before="108"/>
              <w:ind w:right="103"/>
              <w:jc w:val="right"/>
              <w:rPr>
                <w:color w:val="000000"/>
                <w:sz w:val="20"/>
                <w:szCs w:val="20"/>
              </w:rPr>
            </w:pPr>
            <w:r>
              <w:rPr>
                <w:color w:val="000000"/>
                <w:sz w:val="20"/>
                <w:szCs w:val="20"/>
              </w:rPr>
              <w:t>Principal Email</w:t>
            </w:r>
          </w:p>
        </w:tc>
        <w:tc>
          <w:tcPr>
            <w:tcW w:w="3855" w:type="dxa"/>
          </w:tcPr>
          <w:p w:rsidR="005C23DF" w:rsidRDefault="00264425">
            <w:pPr>
              <w:rPr>
                <w:sz w:val="20"/>
                <w:szCs w:val="20"/>
              </w:rPr>
            </w:pPr>
            <w:r>
              <w:rPr>
                <w:rFonts w:ascii="Calibri" w:eastAsia="Calibri" w:hAnsi="Calibri" w:cs="Calibri"/>
                <w:sz w:val="24"/>
                <w:szCs w:val="24"/>
              </w:rPr>
              <w:t xml:space="preserve"> peter.holmquist@aimsk12.org</w:t>
            </w:r>
          </w:p>
        </w:tc>
      </w:tr>
      <w:tr w:rsidR="005C23DF">
        <w:trPr>
          <w:trHeight w:val="411"/>
        </w:trPr>
        <w:tc>
          <w:tcPr>
            <w:tcW w:w="2100" w:type="dxa"/>
            <w:vMerge/>
            <w:shd w:val="clear" w:color="auto" w:fill="D9EAD2"/>
          </w:tcPr>
          <w:p w:rsidR="005C23DF" w:rsidRDefault="005C23DF">
            <w:pPr>
              <w:pBdr>
                <w:top w:val="nil"/>
                <w:left w:val="nil"/>
                <w:bottom w:val="nil"/>
                <w:right w:val="nil"/>
                <w:between w:val="nil"/>
              </w:pBdr>
              <w:spacing w:line="276" w:lineRule="auto"/>
              <w:rPr>
                <w:sz w:val="20"/>
                <w:szCs w:val="20"/>
              </w:rPr>
            </w:pPr>
          </w:p>
        </w:tc>
        <w:tc>
          <w:tcPr>
            <w:tcW w:w="2865" w:type="dxa"/>
            <w:vMerge/>
          </w:tcPr>
          <w:p w:rsidR="005C23DF" w:rsidRDefault="005C23DF">
            <w:pPr>
              <w:pBdr>
                <w:top w:val="nil"/>
                <w:left w:val="nil"/>
                <w:bottom w:val="nil"/>
                <w:right w:val="nil"/>
                <w:between w:val="nil"/>
              </w:pBdr>
              <w:spacing w:line="276" w:lineRule="auto"/>
              <w:rPr>
                <w:sz w:val="20"/>
                <w:szCs w:val="20"/>
              </w:rPr>
            </w:pPr>
          </w:p>
        </w:tc>
        <w:tc>
          <w:tcPr>
            <w:tcW w:w="2055" w:type="dxa"/>
            <w:shd w:val="clear" w:color="auto" w:fill="D9EAD2"/>
          </w:tcPr>
          <w:p w:rsidR="005C23DF" w:rsidRDefault="00264425">
            <w:pPr>
              <w:pBdr>
                <w:top w:val="nil"/>
                <w:left w:val="nil"/>
                <w:bottom w:val="nil"/>
                <w:right w:val="nil"/>
                <w:between w:val="nil"/>
              </w:pBdr>
              <w:spacing w:before="108"/>
              <w:ind w:right="112"/>
              <w:jc w:val="right"/>
              <w:rPr>
                <w:color w:val="000000"/>
                <w:sz w:val="20"/>
                <w:szCs w:val="20"/>
              </w:rPr>
            </w:pPr>
            <w:r>
              <w:rPr>
                <w:color w:val="000000"/>
                <w:sz w:val="20"/>
                <w:szCs w:val="20"/>
              </w:rPr>
              <w:t>School Phone:</w:t>
            </w:r>
          </w:p>
        </w:tc>
        <w:tc>
          <w:tcPr>
            <w:tcW w:w="3855" w:type="dxa"/>
          </w:tcPr>
          <w:p w:rsidR="005C23DF" w:rsidRDefault="00264425">
            <w:pPr>
              <w:rPr>
                <w:sz w:val="20"/>
                <w:szCs w:val="20"/>
              </w:rPr>
            </w:pPr>
            <w:r>
              <w:rPr>
                <w:sz w:val="20"/>
                <w:szCs w:val="20"/>
              </w:rPr>
              <w:t xml:space="preserve"> 510-893-8701</w:t>
            </w:r>
          </w:p>
        </w:tc>
      </w:tr>
    </w:tbl>
    <w:p w:rsidR="005C23DF" w:rsidRDefault="005C23DF">
      <w:pPr>
        <w:pBdr>
          <w:top w:val="nil"/>
          <w:left w:val="nil"/>
          <w:bottom w:val="nil"/>
          <w:right w:val="nil"/>
          <w:between w:val="nil"/>
        </w:pBdr>
        <w:rPr>
          <w:b/>
          <w:i/>
          <w:color w:val="000000"/>
          <w:sz w:val="20"/>
          <w:szCs w:val="20"/>
        </w:rPr>
      </w:pPr>
    </w:p>
    <w:p w:rsidR="005C23DF" w:rsidRDefault="005C23DF">
      <w:pPr>
        <w:pBdr>
          <w:top w:val="nil"/>
          <w:left w:val="nil"/>
          <w:bottom w:val="nil"/>
          <w:right w:val="nil"/>
          <w:between w:val="nil"/>
        </w:pBdr>
        <w:spacing w:before="4"/>
        <w:rPr>
          <w:b/>
          <w:i/>
          <w:color w:val="000000"/>
          <w:sz w:val="20"/>
          <w:szCs w:val="20"/>
        </w:rPr>
      </w:pPr>
    </w:p>
    <w:p w:rsidR="005C23DF" w:rsidRDefault="00264425">
      <w:pPr>
        <w:pStyle w:val="Heading2"/>
        <w:spacing w:after="43"/>
        <w:ind w:left="180"/>
      </w:pPr>
      <w:r>
        <w:t>Please fill out the information below for school-wide carryover.</w:t>
      </w:r>
    </w:p>
    <w:tbl>
      <w:tblPr>
        <w:tblStyle w:val="af2"/>
        <w:tblW w:w="10845"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5"/>
        <w:gridCol w:w="6960"/>
      </w:tblGrid>
      <w:tr w:rsidR="005C23DF">
        <w:trPr>
          <w:trHeight w:val="495"/>
        </w:trPr>
        <w:tc>
          <w:tcPr>
            <w:tcW w:w="3885" w:type="dxa"/>
            <w:shd w:val="clear" w:color="auto" w:fill="D9EAD2"/>
          </w:tcPr>
          <w:p w:rsidR="005C23DF" w:rsidRDefault="00264425">
            <w:pPr>
              <w:pBdr>
                <w:top w:val="nil"/>
                <w:left w:val="nil"/>
                <w:bottom w:val="nil"/>
                <w:right w:val="nil"/>
                <w:between w:val="nil"/>
              </w:pBdr>
              <w:spacing w:before="108"/>
              <w:ind w:right="115"/>
              <w:jc w:val="right"/>
              <w:rPr>
                <w:color w:val="000000"/>
              </w:rPr>
            </w:pPr>
            <w:r>
              <w:rPr>
                <w:color w:val="000000"/>
              </w:rPr>
              <w:t>20</w:t>
            </w:r>
            <w:r>
              <w:t>19-20</w:t>
            </w:r>
            <w:r>
              <w:rPr>
                <w:color w:val="000000"/>
              </w:rPr>
              <w:t xml:space="preserve"> Measure G1 Allocation</w:t>
            </w:r>
          </w:p>
        </w:tc>
        <w:tc>
          <w:tcPr>
            <w:tcW w:w="6960" w:type="dxa"/>
          </w:tcPr>
          <w:p w:rsidR="005C23DF" w:rsidRDefault="00264425">
            <w:pPr>
              <w:pBdr>
                <w:top w:val="nil"/>
                <w:left w:val="nil"/>
                <w:bottom w:val="nil"/>
                <w:right w:val="nil"/>
                <w:between w:val="nil"/>
              </w:pBdr>
              <w:spacing w:before="108"/>
              <w:ind w:left="90"/>
              <w:rPr>
                <w:color w:val="000000"/>
              </w:rPr>
            </w:pPr>
            <w:r>
              <w:rPr>
                <w:rFonts w:ascii="Calibri" w:eastAsia="Calibri" w:hAnsi="Calibri" w:cs="Calibri"/>
                <w:b/>
              </w:rPr>
              <w:t>$49,410.00</w:t>
            </w:r>
          </w:p>
        </w:tc>
      </w:tr>
      <w:tr w:rsidR="005C23DF">
        <w:trPr>
          <w:trHeight w:val="495"/>
        </w:trPr>
        <w:tc>
          <w:tcPr>
            <w:tcW w:w="3885" w:type="dxa"/>
            <w:shd w:val="clear" w:color="auto" w:fill="D9EAD2"/>
          </w:tcPr>
          <w:p w:rsidR="005C23DF" w:rsidRDefault="00264425">
            <w:pPr>
              <w:spacing w:before="108"/>
              <w:ind w:right="115"/>
              <w:jc w:val="right"/>
              <w:rPr>
                <w:color w:val="000000"/>
              </w:rPr>
            </w:pPr>
            <w:r>
              <w:t>2018-19 Carryover Allocation</w:t>
            </w:r>
          </w:p>
        </w:tc>
        <w:tc>
          <w:tcPr>
            <w:tcW w:w="6960" w:type="dxa"/>
          </w:tcPr>
          <w:p w:rsidR="005C23DF" w:rsidRDefault="00264425">
            <w:pPr>
              <w:pBdr>
                <w:top w:val="nil"/>
                <w:left w:val="nil"/>
                <w:bottom w:val="nil"/>
                <w:right w:val="nil"/>
                <w:between w:val="nil"/>
              </w:pBdr>
              <w:spacing w:before="108"/>
              <w:ind w:left="90"/>
              <w:rPr>
                <w:rFonts w:ascii="Calibri" w:eastAsia="Calibri" w:hAnsi="Calibri" w:cs="Calibri"/>
                <w:b/>
              </w:rPr>
            </w:pPr>
            <w:r>
              <w:rPr>
                <w:rFonts w:ascii="Calibri" w:eastAsia="Calibri" w:hAnsi="Calibri" w:cs="Calibri"/>
                <w:b/>
              </w:rPr>
              <w:t>$16,114.00</w:t>
            </w:r>
          </w:p>
        </w:tc>
      </w:tr>
      <w:tr w:rsidR="005C23DF">
        <w:trPr>
          <w:trHeight w:val="495"/>
        </w:trPr>
        <w:tc>
          <w:tcPr>
            <w:tcW w:w="3885" w:type="dxa"/>
            <w:shd w:val="clear" w:color="auto" w:fill="D9EAD2"/>
          </w:tcPr>
          <w:p w:rsidR="005C23DF" w:rsidRDefault="00264425">
            <w:pPr>
              <w:pBdr>
                <w:top w:val="nil"/>
                <w:left w:val="nil"/>
                <w:bottom w:val="nil"/>
                <w:right w:val="nil"/>
                <w:between w:val="nil"/>
              </w:pBdr>
              <w:spacing w:before="108"/>
              <w:ind w:right="108"/>
              <w:jc w:val="right"/>
              <w:rPr>
                <w:color w:val="000000"/>
              </w:rPr>
            </w:pPr>
            <w:r>
              <w:rPr>
                <w:color w:val="000000"/>
              </w:rPr>
              <w:t>20</w:t>
            </w:r>
            <w:r>
              <w:t>19</w:t>
            </w:r>
            <w:r>
              <w:rPr>
                <w:color w:val="000000"/>
              </w:rPr>
              <w:t>-</w:t>
            </w:r>
            <w:r>
              <w:t>20</w:t>
            </w:r>
            <w:r>
              <w:rPr>
                <w:color w:val="000000"/>
              </w:rPr>
              <w:t xml:space="preserve"> Measure G1 Dollars Spent</w:t>
            </w:r>
          </w:p>
        </w:tc>
        <w:tc>
          <w:tcPr>
            <w:tcW w:w="6960" w:type="dxa"/>
          </w:tcPr>
          <w:p w:rsidR="005C23DF" w:rsidRDefault="00264425">
            <w:pPr>
              <w:pBdr>
                <w:top w:val="nil"/>
                <w:left w:val="nil"/>
                <w:bottom w:val="nil"/>
                <w:right w:val="nil"/>
                <w:between w:val="nil"/>
              </w:pBdr>
              <w:spacing w:before="108"/>
              <w:ind w:left="90"/>
              <w:rPr>
                <w:color w:val="000000"/>
              </w:rPr>
            </w:pPr>
            <w:r>
              <w:rPr>
                <w:rFonts w:ascii="Calibri" w:eastAsia="Calibri" w:hAnsi="Calibri" w:cs="Calibri"/>
                <w:b/>
              </w:rPr>
              <w:t>$27,350.51</w:t>
            </w:r>
          </w:p>
        </w:tc>
      </w:tr>
      <w:tr w:rsidR="005C23DF">
        <w:trPr>
          <w:trHeight w:val="495"/>
        </w:trPr>
        <w:tc>
          <w:tcPr>
            <w:tcW w:w="3885" w:type="dxa"/>
            <w:shd w:val="clear" w:color="auto" w:fill="D9EAD2"/>
          </w:tcPr>
          <w:p w:rsidR="005C23DF" w:rsidRDefault="00264425">
            <w:pPr>
              <w:pBdr>
                <w:top w:val="nil"/>
                <w:left w:val="nil"/>
                <w:bottom w:val="nil"/>
                <w:right w:val="nil"/>
                <w:between w:val="nil"/>
              </w:pBdr>
              <w:spacing w:before="108"/>
              <w:ind w:right="103"/>
              <w:jc w:val="right"/>
            </w:pPr>
            <w:r>
              <w:t>Total 2018-19 &amp; 2019-20</w:t>
            </w:r>
          </w:p>
          <w:p w:rsidR="005C23DF" w:rsidRDefault="00264425">
            <w:pPr>
              <w:pBdr>
                <w:top w:val="nil"/>
                <w:left w:val="nil"/>
                <w:bottom w:val="nil"/>
                <w:right w:val="nil"/>
                <w:between w:val="nil"/>
              </w:pBdr>
              <w:spacing w:before="108"/>
              <w:ind w:right="103"/>
              <w:jc w:val="right"/>
              <w:rPr>
                <w:color w:val="000000"/>
              </w:rPr>
            </w:pPr>
            <w:r>
              <w:rPr>
                <w:color w:val="000000"/>
              </w:rPr>
              <w:t>Carryover Amount</w:t>
            </w:r>
          </w:p>
        </w:tc>
        <w:tc>
          <w:tcPr>
            <w:tcW w:w="6960" w:type="dxa"/>
          </w:tcPr>
          <w:p w:rsidR="005C23DF" w:rsidRDefault="00264425">
            <w:pPr>
              <w:pBdr>
                <w:top w:val="nil"/>
                <w:left w:val="nil"/>
                <w:bottom w:val="nil"/>
                <w:right w:val="nil"/>
                <w:between w:val="nil"/>
              </w:pBdr>
              <w:spacing w:before="108"/>
              <w:ind w:left="90"/>
              <w:rPr>
                <w:color w:val="000000"/>
                <w:highlight w:val="yellow"/>
              </w:rPr>
            </w:pPr>
            <w:r>
              <w:rPr>
                <w:rFonts w:ascii="Calibri" w:eastAsia="Calibri" w:hAnsi="Calibri" w:cs="Calibri"/>
                <w:b/>
                <w:highlight w:val="yellow"/>
              </w:rPr>
              <w:t>$38,173.49</w:t>
            </w:r>
          </w:p>
        </w:tc>
      </w:tr>
    </w:tbl>
    <w:p w:rsidR="005C23DF" w:rsidRDefault="00264425">
      <w:pPr>
        <w:pStyle w:val="Heading1"/>
        <w:widowControl/>
        <w:spacing w:before="480" w:after="120" w:line="276" w:lineRule="auto"/>
        <w:ind w:left="0" w:firstLine="0"/>
        <w:rPr>
          <w:rFonts w:ascii="Arial" w:eastAsia="Arial" w:hAnsi="Arial" w:cs="Arial"/>
          <w:b/>
          <w:i/>
        </w:rPr>
      </w:pPr>
      <w:bookmarkStart w:id="1" w:name="_heading=h.5jvpsja2tg0x" w:colFirst="0" w:colLast="0"/>
      <w:bookmarkEnd w:id="1"/>
      <w:r>
        <w:rPr>
          <w:rFonts w:ascii="Arial" w:eastAsia="Arial" w:hAnsi="Arial" w:cs="Arial"/>
          <w:b/>
          <w:i/>
        </w:rPr>
        <w:t>Carryover Justification and Narrative</w:t>
      </w:r>
    </w:p>
    <w:p w:rsidR="005C23DF" w:rsidRDefault="00264425">
      <w:pPr>
        <w:widowControl/>
        <w:spacing w:after="80" w:line="256" w:lineRule="auto"/>
      </w:pPr>
      <w:r>
        <w:t>In the following section, please explain how you plan to use the Measure G1 carryover funds to develop strategic changes that meet the goals of the measure and that will lead to improved student outcomes.</w:t>
      </w:r>
    </w:p>
    <w:p w:rsidR="005C23DF" w:rsidRDefault="005C23DF">
      <w:pPr>
        <w:widowControl/>
        <w:spacing w:after="80" w:line="256" w:lineRule="auto"/>
        <w:ind w:left="-20"/>
      </w:pPr>
    </w:p>
    <w:p w:rsidR="005C23DF" w:rsidRDefault="00264425">
      <w:pPr>
        <w:widowControl/>
        <w:spacing w:after="80" w:line="256" w:lineRule="auto"/>
        <w:ind w:left="-20"/>
        <w:rPr>
          <w:i/>
        </w:rPr>
      </w:pPr>
      <w:r>
        <w:rPr>
          <w:i/>
        </w:rPr>
        <w:t>All budget items should total up to the total carry-over grant amount.</w:t>
      </w:r>
    </w:p>
    <w:p w:rsidR="005C23DF" w:rsidRDefault="00264425">
      <w:pPr>
        <w:spacing w:before="177" w:after="43"/>
        <w:ind w:left="495"/>
      </w:pPr>
      <w:r>
        <w:rPr>
          <w:b/>
          <w:i/>
        </w:rPr>
        <w:t>Summary of Proposed Use of Carryover for 2019-20</w:t>
      </w:r>
    </w:p>
    <w:tbl>
      <w:tblPr>
        <w:tblStyle w:val="af3"/>
        <w:tblW w:w="1084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0"/>
        <w:gridCol w:w="7380"/>
        <w:gridCol w:w="2325"/>
      </w:tblGrid>
      <w:tr w:rsidR="005C23DF">
        <w:trPr>
          <w:trHeight w:val="765"/>
        </w:trPr>
        <w:tc>
          <w:tcPr>
            <w:tcW w:w="8520" w:type="dxa"/>
            <w:gridSpan w:val="2"/>
            <w:shd w:val="clear" w:color="auto" w:fill="D9EAD2"/>
          </w:tcPr>
          <w:p w:rsidR="005C23DF" w:rsidRDefault="00264425">
            <w:pPr>
              <w:pBdr>
                <w:top w:val="nil"/>
                <w:left w:val="nil"/>
                <w:bottom w:val="nil"/>
                <w:right w:val="nil"/>
                <w:between w:val="nil"/>
              </w:pBdr>
              <w:spacing w:before="108"/>
              <w:ind w:left="144" w:right="166"/>
              <w:jc w:val="center"/>
              <w:rPr>
                <w:i/>
                <w:color w:val="000000"/>
              </w:rPr>
            </w:pPr>
            <w:r>
              <w:rPr>
                <w:color w:val="000000"/>
              </w:rPr>
              <w:t>20</w:t>
            </w:r>
            <w:r>
              <w:t xml:space="preserve">19-20 </w:t>
            </w:r>
            <w:r>
              <w:rPr>
                <w:color w:val="000000"/>
              </w:rPr>
              <w:t xml:space="preserve">Proposed Carryover Expenditures from </w:t>
            </w:r>
            <w:r>
              <w:rPr>
                <w:i/>
                <w:color w:val="000000"/>
              </w:rPr>
              <w:t>Budget Justification and Narrative Section</w:t>
            </w:r>
          </w:p>
          <w:p w:rsidR="005C23DF" w:rsidRDefault="005C23DF">
            <w:pPr>
              <w:pBdr>
                <w:top w:val="nil"/>
                <w:left w:val="nil"/>
                <w:bottom w:val="nil"/>
                <w:right w:val="nil"/>
                <w:between w:val="nil"/>
              </w:pBdr>
              <w:spacing w:before="16"/>
              <w:ind w:left="144" w:right="156"/>
              <w:jc w:val="center"/>
              <w:rPr>
                <w:color w:val="000000"/>
              </w:rPr>
            </w:pPr>
          </w:p>
        </w:tc>
        <w:tc>
          <w:tcPr>
            <w:tcW w:w="2325" w:type="dxa"/>
            <w:shd w:val="clear" w:color="auto" w:fill="D9EAD2"/>
          </w:tcPr>
          <w:p w:rsidR="005C23DF" w:rsidRDefault="00264425">
            <w:pPr>
              <w:pBdr>
                <w:top w:val="nil"/>
                <w:left w:val="nil"/>
                <w:bottom w:val="nil"/>
                <w:right w:val="nil"/>
                <w:between w:val="nil"/>
              </w:pBdr>
              <w:spacing w:before="108" w:line="256" w:lineRule="auto"/>
              <w:ind w:right="436"/>
              <w:jc w:val="center"/>
              <w:rPr>
                <w:color w:val="000000"/>
              </w:rPr>
            </w:pPr>
            <w:r>
              <w:rPr>
                <w:color w:val="000000"/>
              </w:rPr>
              <w:t>Budge</w:t>
            </w:r>
            <w:r>
              <w:t>t Amount</w:t>
            </w:r>
          </w:p>
        </w:tc>
      </w:tr>
      <w:tr w:rsidR="005C23DF">
        <w:trPr>
          <w:trHeight w:val="312"/>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1</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rPr>
                <w:sz w:val="24"/>
                <w:szCs w:val="24"/>
              </w:rPr>
              <w:t>Funding for 0.5 FTE Art teacher</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t>$30,000.00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2</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t>Student Incentives &amp; Promotion</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rPr>
                <w:sz w:val="24"/>
                <w:szCs w:val="24"/>
              </w:rPr>
              <w:t>$3,373.49</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3</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rPr>
                <w:sz w:val="24"/>
                <w:szCs w:val="24"/>
              </w:rPr>
              <w:t>Quarterly PBIS trainings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t>$700.00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4</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t>Art related trips and guest presentations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t>$800.00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5</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t>Music related trips and guest presentations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t>$500.00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6</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pPr>
            <w:r>
              <w:t>Art Supplies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5C23DF" w:rsidRDefault="00264425">
            <w:pPr>
              <w:spacing w:line="276" w:lineRule="auto"/>
              <w:jc w:val="right"/>
            </w:pPr>
            <w:r>
              <w:t>$1,500.00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t>7</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5C23DF" w:rsidRDefault="00264425">
            <w:pPr>
              <w:spacing w:line="276" w:lineRule="auto"/>
            </w:pPr>
            <w:r>
              <w:t>School Climate Events, Displays and PD</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5C23DF" w:rsidRDefault="00264425">
            <w:pPr>
              <w:spacing w:line="276" w:lineRule="auto"/>
              <w:jc w:val="right"/>
            </w:pPr>
            <w:r>
              <w:t>$800.00</w:t>
            </w:r>
          </w:p>
        </w:tc>
      </w:tr>
      <w:tr w:rsidR="005C23DF">
        <w:trPr>
          <w:trHeight w:val="357"/>
        </w:trPr>
        <w:tc>
          <w:tcPr>
            <w:tcW w:w="1140" w:type="dxa"/>
          </w:tcPr>
          <w:p w:rsidR="005C23DF" w:rsidRDefault="00264425">
            <w:pPr>
              <w:pBdr>
                <w:top w:val="nil"/>
                <w:left w:val="nil"/>
                <w:bottom w:val="nil"/>
                <w:right w:val="nil"/>
                <w:between w:val="nil"/>
              </w:pBdr>
              <w:spacing w:before="112"/>
              <w:ind w:right="21"/>
              <w:jc w:val="center"/>
              <w:rPr>
                <w:b/>
                <w:color w:val="000000"/>
              </w:rPr>
            </w:pPr>
            <w:r>
              <w:rPr>
                <w:b/>
                <w:color w:val="000000"/>
              </w:rPr>
              <w:lastRenderedPageBreak/>
              <w:t>8</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5C23DF" w:rsidRDefault="00264425">
            <w:pPr>
              <w:spacing w:line="276" w:lineRule="auto"/>
            </w:pPr>
            <w:r>
              <w:t>PBIS printer and supplies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5C23DF" w:rsidRDefault="00264425">
            <w:pPr>
              <w:spacing w:line="276" w:lineRule="auto"/>
              <w:jc w:val="right"/>
            </w:pPr>
            <w:r>
              <w:t>$500.00</w:t>
            </w:r>
          </w:p>
        </w:tc>
      </w:tr>
      <w:tr w:rsidR="005C23DF">
        <w:trPr>
          <w:trHeight w:val="357"/>
        </w:trPr>
        <w:tc>
          <w:tcPr>
            <w:tcW w:w="1140" w:type="dxa"/>
            <w:tcBorders>
              <w:top w:val="single" w:sz="6" w:space="0" w:color="000000"/>
              <w:left w:val="single" w:sz="6" w:space="0" w:color="000000"/>
              <w:bottom w:val="single" w:sz="6" w:space="0" w:color="000000"/>
              <w:right w:val="single" w:sz="6" w:space="0" w:color="000000"/>
            </w:tcBorders>
            <w:shd w:val="clear" w:color="auto" w:fill="D7E3BC"/>
          </w:tcPr>
          <w:p w:rsidR="005C23DF" w:rsidRDefault="005C23DF"/>
        </w:tc>
        <w:tc>
          <w:tcPr>
            <w:tcW w:w="7380" w:type="dxa"/>
            <w:tcBorders>
              <w:top w:val="single" w:sz="6" w:space="0" w:color="000000"/>
              <w:left w:val="single" w:sz="6" w:space="0" w:color="000000"/>
              <w:bottom w:val="single" w:sz="6" w:space="0" w:color="000000"/>
              <w:right w:val="single" w:sz="6" w:space="0" w:color="000000"/>
            </w:tcBorders>
            <w:shd w:val="clear" w:color="auto" w:fill="D7E3BC"/>
          </w:tcPr>
          <w:p w:rsidR="005C23DF" w:rsidRDefault="00264425">
            <w:pPr>
              <w:pBdr>
                <w:top w:val="nil"/>
                <w:left w:val="nil"/>
                <w:bottom w:val="nil"/>
                <w:right w:val="nil"/>
                <w:between w:val="nil"/>
              </w:pBdr>
              <w:spacing w:before="108"/>
              <w:jc w:val="right"/>
              <w:rPr>
                <w:b/>
                <w:color w:val="000000"/>
                <w:sz w:val="28"/>
                <w:szCs w:val="28"/>
                <w:vertAlign w:val="superscript"/>
              </w:rPr>
            </w:pPr>
            <w:r>
              <w:rPr>
                <w:b/>
                <w:color w:val="000000"/>
                <w:sz w:val="28"/>
                <w:szCs w:val="28"/>
                <w:vertAlign w:val="superscript"/>
              </w:rPr>
              <w:t>Budget Total (must add up to Anticipated Grant Amount)</w:t>
            </w:r>
          </w:p>
        </w:tc>
        <w:tc>
          <w:tcPr>
            <w:tcW w:w="2325" w:type="dxa"/>
            <w:tcBorders>
              <w:top w:val="single" w:sz="6" w:space="0" w:color="000000"/>
              <w:left w:val="single" w:sz="6" w:space="0" w:color="000000"/>
              <w:bottom w:val="single" w:sz="6" w:space="0" w:color="000000"/>
              <w:right w:val="single" w:sz="6" w:space="0" w:color="000000"/>
            </w:tcBorders>
          </w:tcPr>
          <w:p w:rsidR="005C23DF" w:rsidRDefault="00264425">
            <w:pPr>
              <w:rPr>
                <w:b/>
                <w:sz w:val="36"/>
                <w:szCs w:val="36"/>
                <w:vertAlign w:val="superscript"/>
              </w:rPr>
            </w:pPr>
            <w:r>
              <w:rPr>
                <w:b/>
                <w:sz w:val="36"/>
                <w:szCs w:val="36"/>
                <w:vertAlign w:val="superscript"/>
              </w:rPr>
              <w:t>$38,173.49</w:t>
            </w:r>
          </w:p>
        </w:tc>
      </w:tr>
    </w:tbl>
    <w:p w:rsidR="005C23DF" w:rsidRDefault="005C23DF"/>
    <w:p w:rsidR="005C23DF" w:rsidRDefault="00264425">
      <w:pPr>
        <w:pStyle w:val="Heading2"/>
        <w:ind w:firstLine="160"/>
        <w:rPr>
          <w:i/>
          <w:color w:val="000000"/>
        </w:rPr>
      </w:pPr>
      <w:r>
        <w:t>Narrative: Please provide the reasoning as to why the full Measure G1 allocation was not spent.</w:t>
      </w:r>
    </w:p>
    <w:p w:rsidR="005C23DF" w:rsidRDefault="005C23DF"/>
    <w:tbl>
      <w:tblPr>
        <w:tblStyle w:val="af4"/>
        <w:tblW w:w="10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4"/>
      </w:tblGrid>
      <w:tr w:rsidR="005C23DF">
        <w:trPr>
          <w:trHeight w:val="1332"/>
        </w:trPr>
        <w:tc>
          <w:tcPr>
            <w:tcW w:w="10944" w:type="dxa"/>
            <w:shd w:val="clear" w:color="auto" w:fill="auto"/>
            <w:tcMar>
              <w:top w:w="100" w:type="dxa"/>
              <w:left w:w="100" w:type="dxa"/>
              <w:bottom w:w="100" w:type="dxa"/>
              <w:right w:w="100" w:type="dxa"/>
            </w:tcMar>
          </w:tcPr>
          <w:p w:rsidR="005C23DF" w:rsidRDefault="00264425">
            <w:pPr>
              <w:pBdr>
                <w:top w:val="nil"/>
                <w:left w:val="nil"/>
                <w:bottom w:val="nil"/>
                <w:right w:val="nil"/>
                <w:between w:val="nil"/>
              </w:pBdr>
            </w:pPr>
            <w:r>
              <w:t>Based on the changes required by the COVID-19 pandemic, we were not able to fully implement the planned programs in all areas of this grant. We were initially focused on serving students’ digital access before we were concerned for student online security,</w:t>
            </w:r>
            <w:r>
              <w:t xml:space="preserve"> so we did not purchase the </w:t>
            </w:r>
            <w:proofErr w:type="spellStart"/>
            <w:r>
              <w:t>GoGuardian</w:t>
            </w:r>
            <w:proofErr w:type="spellEnd"/>
            <w:r>
              <w:t xml:space="preserve"> software until the new academic year. We were not able to have our second visual and performing arts performance in the Spring, so we did not rent facilities and pay for other rental costs (lighting, sound, janitorial</w:t>
            </w:r>
            <w:r>
              <w:t xml:space="preserve">, security, etc.). In </w:t>
            </w:r>
            <w:proofErr w:type="gramStart"/>
            <w:r>
              <w:t>fact</w:t>
            </w:r>
            <w:proofErr w:type="gramEnd"/>
            <w:r>
              <w:t xml:space="preserve"> the music and art programs were hampered in their program delivery – as we all began developing ways to deliver instruction online. Some art supplies were not used because they were not available for students to pick up any day a</w:t>
            </w:r>
            <w:r>
              <w:t xml:space="preserve">nd return in a sanitary way. Musical instruments were used, but instruction was forced to change. Music and art field trips are only available virtually up to this time. We hope to have some options for that in the spring (2021). Because students were not </w:t>
            </w:r>
            <w:r>
              <w:t>present and we were asked to stay separate, we were also not able to distribute the school “swag” to students readily. Some items were distributed, but none in the first several months of the isolation. Also, the WACOM drawing tablets will not be purchased</w:t>
            </w:r>
            <w:r>
              <w:t xml:space="preserve"> in the hybrid learning situation, since it will be difficult to sanitize them between pupil usages.</w:t>
            </w:r>
          </w:p>
        </w:tc>
      </w:tr>
    </w:tbl>
    <w:p w:rsidR="005C23DF" w:rsidRDefault="005C23DF"/>
    <w:p w:rsidR="005C23DF" w:rsidRDefault="00264425">
      <w:pPr>
        <w:spacing w:before="93"/>
        <w:ind w:left="100"/>
        <w:jc w:val="center"/>
        <w:rPr>
          <w:b/>
          <w:i/>
        </w:rPr>
      </w:pPr>
      <w:r>
        <w:rPr>
          <w:b/>
          <w:i/>
        </w:rPr>
        <w:t>Please submit your 2019-20 Measure G1 Carryover Justification Form to Cliff Hong</w:t>
      </w:r>
    </w:p>
    <w:p w:rsidR="005C23DF" w:rsidRDefault="00264425">
      <w:pPr>
        <w:spacing w:before="47"/>
        <w:ind w:left="100"/>
        <w:jc w:val="center"/>
        <w:rPr>
          <w:b/>
          <w:i/>
        </w:rPr>
      </w:pPr>
      <w:r>
        <w:rPr>
          <w:b/>
          <w:i/>
        </w:rPr>
        <w:t>(</w:t>
      </w:r>
      <w:r>
        <w:rPr>
          <w:b/>
          <w:i/>
          <w:color w:val="0000FF"/>
          <w:u w:val="single"/>
        </w:rPr>
        <w:t>clifford.hong@ousd.org</w:t>
      </w:r>
      <w:r>
        <w:rPr>
          <w:b/>
          <w:i/>
        </w:rPr>
        <w:t>) and Karen Lozano (</w:t>
      </w:r>
      <w:r>
        <w:rPr>
          <w:b/>
          <w:i/>
          <w:color w:val="0000FF"/>
          <w:u w:val="single"/>
        </w:rPr>
        <w:t>karen.lozano@ousd.org</w:t>
      </w:r>
      <w:r>
        <w:rPr>
          <w:b/>
          <w:i/>
        </w:rPr>
        <w:t>).</w:t>
      </w:r>
    </w:p>
    <w:sectPr w:rsidR="005C23DF">
      <w:pgSz w:w="12240" w:h="15840"/>
      <w:pgMar w:top="576" w:right="720" w:bottom="432"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DF"/>
    <w:rsid w:val="00264425"/>
    <w:rsid w:val="005C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5BEEE-69FF-46AC-B79E-A143D7F6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F7"/>
  </w:style>
  <w:style w:type="paragraph" w:styleId="Heading1">
    <w:name w:val="heading 1"/>
    <w:basedOn w:val="Normal"/>
    <w:uiPriority w:val="9"/>
    <w:qFormat/>
    <w:rsid w:val="008756F7"/>
    <w:pPr>
      <w:spacing w:line="285" w:lineRule="exact"/>
      <w:ind w:left="1915" w:hanging="360"/>
      <w:outlineLvl w:val="0"/>
    </w:pPr>
    <w:rPr>
      <w:rFonts w:ascii="Calibri" w:eastAsia="Calibri" w:hAnsi="Calibri" w:cs="Calibri"/>
      <w:sz w:val="24"/>
      <w:szCs w:val="24"/>
    </w:rPr>
  </w:style>
  <w:style w:type="paragraph" w:styleId="Heading2">
    <w:name w:val="heading 2"/>
    <w:basedOn w:val="Normal"/>
    <w:uiPriority w:val="9"/>
    <w:unhideWhenUsed/>
    <w:qFormat/>
    <w:rsid w:val="008756F7"/>
    <w:pPr>
      <w:spacing w:before="93"/>
      <w:ind w:left="160"/>
      <w:outlineLvl w:val="1"/>
    </w:pPr>
    <w:rPr>
      <w:b/>
      <w:bCs/>
    </w:rPr>
  </w:style>
  <w:style w:type="paragraph" w:styleId="Heading3">
    <w:name w:val="heading 3"/>
    <w:basedOn w:val="Normal"/>
    <w:uiPriority w:val="9"/>
    <w:semiHidden/>
    <w:unhideWhenUsed/>
    <w:qFormat/>
    <w:rsid w:val="008756F7"/>
    <w:pPr>
      <w:ind w:left="765"/>
      <w:outlineLvl w:val="2"/>
    </w:pPr>
    <w:rPr>
      <w:b/>
      <w:bCs/>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8756F7"/>
  </w:style>
  <w:style w:type="paragraph" w:styleId="ListParagraph">
    <w:name w:val="List Paragraph"/>
    <w:basedOn w:val="Normal"/>
    <w:uiPriority w:val="1"/>
    <w:qFormat/>
    <w:rsid w:val="008756F7"/>
    <w:pPr>
      <w:ind w:left="720" w:hanging="360"/>
    </w:pPr>
  </w:style>
  <w:style w:type="paragraph" w:customStyle="1" w:styleId="TableParagraph">
    <w:name w:val="Table Paragraph"/>
    <w:basedOn w:val="Normal"/>
    <w:uiPriority w:val="1"/>
    <w:qFormat/>
    <w:rsid w:val="008756F7"/>
    <w:pPr>
      <w:spacing w:before="213"/>
    </w:pPr>
  </w:style>
  <w:style w:type="paragraph" w:styleId="Header">
    <w:name w:val="header"/>
    <w:basedOn w:val="Normal"/>
    <w:link w:val="HeaderChar"/>
    <w:uiPriority w:val="99"/>
    <w:semiHidden/>
    <w:unhideWhenUsed/>
    <w:rsid w:val="001477C2"/>
    <w:pPr>
      <w:tabs>
        <w:tab w:val="center" w:pos="4680"/>
        <w:tab w:val="right" w:pos="9360"/>
      </w:tabs>
    </w:pPr>
  </w:style>
  <w:style w:type="character" w:customStyle="1" w:styleId="HeaderChar">
    <w:name w:val="Header Char"/>
    <w:basedOn w:val="DefaultParagraphFont"/>
    <w:link w:val="Header"/>
    <w:uiPriority w:val="99"/>
    <w:semiHidden/>
    <w:rsid w:val="001477C2"/>
    <w:rPr>
      <w:rFonts w:ascii="Arial" w:eastAsia="Arial" w:hAnsi="Arial" w:cs="Arial"/>
    </w:rPr>
  </w:style>
  <w:style w:type="paragraph" w:styleId="Footer">
    <w:name w:val="footer"/>
    <w:basedOn w:val="Normal"/>
    <w:link w:val="FooterChar"/>
    <w:uiPriority w:val="99"/>
    <w:semiHidden/>
    <w:unhideWhenUsed/>
    <w:rsid w:val="001477C2"/>
    <w:pPr>
      <w:tabs>
        <w:tab w:val="center" w:pos="4680"/>
        <w:tab w:val="right" w:pos="9360"/>
      </w:tabs>
    </w:pPr>
  </w:style>
  <w:style w:type="character" w:customStyle="1" w:styleId="FooterChar">
    <w:name w:val="Footer Char"/>
    <w:basedOn w:val="DefaultParagraphFont"/>
    <w:link w:val="Footer"/>
    <w:uiPriority w:val="99"/>
    <w:semiHidden/>
    <w:rsid w:val="001477C2"/>
    <w:rPr>
      <w:rFonts w:ascii="Arial" w:eastAsia="Arial" w:hAnsi="Arial" w:cs="Arial"/>
    </w:rPr>
  </w:style>
  <w:style w:type="paragraph" w:styleId="NormalWeb">
    <w:name w:val="Normal (Web)"/>
    <w:basedOn w:val="Normal"/>
    <w:uiPriority w:val="99"/>
    <w:semiHidden/>
    <w:unhideWhenUsed/>
    <w:rsid w:val="00B31D5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sUEzjHrZ9NWpwrgbc1V3ouXAA==">AMUW2mUbFeX+Wxq9bLKSoxVJDK+HyM3/O32RKS0bQLv/gW0x/vDxnlR0YXGorOtYjUDNHng5Eu7ug80c+FY4alExV9VGpjTQCBRf78u2SDCAuQhTcKH1a0ii3jkBqecvRucWj3Hzo+c+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PULIDO-ESQUIVEL</dc:creator>
  <cp:lastModifiedBy>Katema Ballentine</cp:lastModifiedBy>
  <cp:revision>2</cp:revision>
  <dcterms:created xsi:type="dcterms:W3CDTF">2020-11-17T16:53:00Z</dcterms:created>
  <dcterms:modified xsi:type="dcterms:W3CDTF">2020-11-17T16:53:00Z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LastSaved">
    <vt:filetime>2018-10-24T00:00:00Z</vt:filetime>
  </property>
</Properties>
</file>