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9">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5091"/>
        <w:gridCol w:w="5084"/>
        <w:tblGridChange w:id="0">
          <w:tblGrid>
            <w:gridCol w:w="5079"/>
            <w:gridCol w:w="5091"/>
            <w:gridCol w:w="5084"/>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High School</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rFonts w:ascii="Arial" w:cs="Arial" w:eastAsia="Arial" w:hAnsi="Arial"/>
                <w:color w:val="000000"/>
                <w:sz w:val="24"/>
                <w:szCs w:val="24"/>
              </w:rPr>
            </w:pPr>
            <w:r w:rsidDel="00000000" w:rsidR="00000000" w:rsidRPr="00000000">
              <w:rPr>
                <w:rtl w:val="0"/>
              </w:rPr>
              <w:t xml:space="preserve">Maurice Williams, Head of School</w:t>
            </w:r>
            <w:r w:rsidDel="00000000" w:rsidR="00000000" w:rsidRPr="00000000">
              <w:rPr>
                <w:rtl w:val="0"/>
              </w:rPr>
            </w:r>
          </w:p>
        </w:tc>
        <w:tc>
          <w:tcPr>
            <w:shd w:fill="auto" w:val="clear"/>
            <w:vAlign w:val="center"/>
          </w:tcPr>
          <w:p w:rsidR="00000000" w:rsidDel="00000000" w:rsidP="00000000" w:rsidRDefault="00000000" w:rsidRPr="00000000" w14:paraId="00000009">
            <w:pPr>
              <w:tabs>
                <w:tab w:val="left" w:pos="5093"/>
              </w:tabs>
              <w:rPr>
                <w:rFonts w:ascii="Arial" w:cs="Arial" w:eastAsia="Arial" w:hAnsi="Arial"/>
                <w:color w:val="000000"/>
                <w:sz w:val="24"/>
                <w:szCs w:val="24"/>
              </w:rPr>
            </w:pPr>
            <w:r w:rsidDel="00000000" w:rsidR="00000000" w:rsidRPr="00000000">
              <w:rPr>
                <w:rtl w:val="0"/>
              </w:rPr>
              <w:t xml:space="preserve">maurice.williams@aimsk12.org</w:t>
            </w:r>
            <w:r w:rsidDel="00000000" w:rsidR="00000000" w:rsidRPr="00000000">
              <w:rPr>
                <w:rtl w:val="0"/>
              </w:rPr>
            </w:r>
          </w:p>
        </w:tc>
      </w:tr>
    </w:tbl>
    <w:p w:rsidR="00000000" w:rsidDel="00000000" w:rsidP="00000000" w:rsidRDefault="00000000" w:rsidRPr="00000000" w14:paraId="0000000A">
      <w:pPr>
        <w:pStyle w:val="Heading2"/>
        <w:rPr/>
      </w:pPr>
      <w:r w:rsidDel="00000000" w:rsidR="00000000" w:rsidRPr="00000000">
        <w:rPr>
          <w:rtl w:val="0"/>
        </w:rPr>
        <w:t xml:space="preserve">General Information</w:t>
      </w:r>
    </w:p>
    <w:p w:rsidR="00000000" w:rsidDel="00000000" w:rsidP="00000000" w:rsidRDefault="00000000" w:rsidRPr="00000000" w14:paraId="0000000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unprecedented</w:t>
      </w:r>
      <w:r w:rsidDel="00000000" w:rsidR="00000000" w:rsidRPr="00000000">
        <w:rPr>
          <w:rFonts w:ascii="Arial" w:cs="Arial" w:eastAsia="Arial" w:hAnsi="Arial"/>
          <w:sz w:val="24"/>
          <w:szCs w:val="24"/>
          <w:rtl w:val="0"/>
        </w:rPr>
        <w:t xml:space="preserve">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w:t>
      </w:r>
      <w:sdt>
        <w:sdtPr>
          <w:tag w:val="goog_rdk_0"/>
        </w:sdtPr>
        <w:sdtContent>
          <w:commentRangeStart w:id="0"/>
        </w:sdtContent>
      </w:sdt>
      <w:r w:rsidDel="00000000" w:rsidR="00000000" w:rsidRPr="00000000">
        <w:rPr>
          <w:rFonts w:ascii="Arial" w:cs="Arial" w:eastAsia="Arial" w:hAnsi="Arial"/>
          <w:sz w:val="24"/>
          <w:szCs w:val="24"/>
          <w:rtl w:val="0"/>
        </w:rPr>
        <w:t xml:space="preserve">our</w:t>
      </w:r>
      <w:commentRangeEnd w:id="0"/>
      <w:r w:rsidDel="00000000" w:rsidR="00000000" w:rsidRPr="00000000">
        <w:commentReference w:id="0"/>
      </w:r>
      <w:r w:rsidDel="00000000" w:rsidR="00000000" w:rsidRPr="00000000">
        <w:rPr>
          <w:rFonts w:ascii="Arial" w:cs="Arial" w:eastAsia="Arial" w:hAnsi="Arial"/>
          <w:sz w:val="24"/>
          <w:szCs w:val="24"/>
          <w:rtl w:val="0"/>
        </w:rPr>
        <w:t xml:space="preserve"> students are supported instructional continuity in a remote learning environment by focusing coursework on new learning, as opposed to review and reinforcement. Providing and leveraging the technology needed and resources available and support resources. This includes providing a variety of support resources in order for instruction and material to be available to all students, including our special education population, students with 504 plans, English Language Learners, students with social emotional needs, and students who are in need of technology access.</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AIPHS  community is our No. 1 priority.  AIPHS 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0F">
      <w:pPr>
        <w:pStyle w:val="Heading2"/>
        <w:rPr/>
      </w:pPr>
      <w:r w:rsidDel="00000000" w:rsidR="00000000" w:rsidRPr="00000000">
        <w:rPr>
          <w:rtl w:val="0"/>
        </w:rPr>
        <w:t xml:space="preserve">Stakeholder Engagement</w:t>
      </w:r>
    </w:p>
    <w:p w:rsidR="00000000" w:rsidDel="00000000" w:rsidP="00000000" w:rsidRDefault="00000000" w:rsidRPr="00000000" w14:paraId="0000001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efforts made to solicit stakeholder feedback.]</w:t>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held several parent, teacher, and student engagements to inform them of COVID-19 related school reopenings, new programming for the 20-21 academic school year, and efforts made by the LEA to keep students safe.  Surveys were sent to teachers inquiring of their willingness to teach virtually from their classrooms in the fall.  Additionally, parents were sent surveys regarding their preferences to hold in-person learning for their students and their accessibility to technology.  </w:t>
      </w:r>
      <w:r w:rsidDel="00000000" w:rsidR="00000000" w:rsidRPr="00000000">
        <w:rPr>
          <w:rtl w:val="0"/>
        </w:rPr>
      </w:r>
    </w:p>
    <w:p w:rsidR="00000000" w:rsidDel="00000000" w:rsidP="00000000" w:rsidRDefault="00000000" w:rsidRPr="00000000" w14:paraId="00000012">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Participants were provided the opportunity to participate in COVID-19 related school reopening Zoom meetings via computer or by phone. Cantonese and Spanish translators also formed breakout rooms to translate all presented materials into their designated language.</w:t>
      </w:r>
      <w:r w:rsidDel="00000000" w:rsidR="00000000" w:rsidRPr="00000000">
        <w:rPr>
          <w:rtl w:val="0"/>
        </w:rPr>
      </w:r>
    </w:p>
    <w:p w:rsidR="00000000" w:rsidDel="00000000" w:rsidP="00000000" w:rsidRDefault="00000000" w:rsidRPr="00000000" w14:paraId="00000014">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Based upon stakeholder family feedback, most families were comfortable with sending their students to school, provided that the LEA provided the appropriate PPE for students and maintained social distancing that was consistent with State and County guidance.  Students and families both supported AIMS HS’s Hybrid learning model, in which 10-12 students per first period class were assigned to attend school on a 3-day rotating basis.  It goes without saying that students are overwhelmingly in favor of returning to school at the earliest possible convenience.  </w:t>
      </w:r>
      <w:r w:rsidDel="00000000" w:rsidR="00000000" w:rsidRPr="00000000">
        <w:rPr>
          <w:rtl w:val="0"/>
        </w:rPr>
      </w:r>
    </w:p>
    <w:p w:rsidR="00000000" w:rsidDel="00000000" w:rsidP="00000000" w:rsidRDefault="00000000" w:rsidRPr="00000000" w14:paraId="00000016">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Parents that requested that their child “opt-out” of in-person instruction were provided information on how to do so, provided that the student was made fully aware of their responsibility to attend all courses virtually and complete all assignments as normal. Parents also requested the possibility to keep their reusable masks, rather than have them washed at the school site. Lastly, some parents requested preferences to use their own N95 or KN95 masks to wear, rather than the school’s issued masks. </w:t>
      </w: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Continuity of Learning</w:t>
      </w:r>
    </w:p>
    <w:p w:rsidR="00000000" w:rsidDel="00000000" w:rsidP="00000000" w:rsidRDefault="00000000" w:rsidRPr="00000000" w14:paraId="00000019">
      <w:pPr>
        <w:pStyle w:val="Heading3"/>
        <w:rPr/>
      </w:pPr>
      <w:r w:rsidDel="00000000" w:rsidR="00000000" w:rsidRPr="00000000">
        <w:rPr>
          <w:rtl w:val="0"/>
        </w:rPr>
        <w:t xml:space="preserve">In-Person Instructional Offerings</w:t>
      </w:r>
    </w:p>
    <w:p w:rsidR="00000000" w:rsidDel="00000000" w:rsidP="00000000" w:rsidRDefault="00000000" w:rsidRPr="00000000" w14:paraId="0000001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Under current county and state guidelines, the LEA is prohibited from offering in-person classroom-based instruction until Alameda county reaches a threshold of low COVID-19 cases.  For these reasons, the LEA has prohibited in person instruction on campus for the first Semester.  The determination to hold in person classroom instruction may change, pending an update in state, county, and charter authorizer guidance.  Nevertheless, the LEA has purchased reusable face masks and face shields, plexiglass barriers, increased custodial support, no-touch temperature check kiosks, social distancing signage, to prepare for in-person learning.  </w:t>
      </w:r>
      <w:r w:rsidDel="00000000" w:rsidR="00000000" w:rsidRPr="00000000">
        <w:rPr>
          <w:rtl w:val="0"/>
        </w:rPr>
      </w:r>
    </w:p>
    <w:p w:rsidR="00000000" w:rsidDel="00000000" w:rsidP="00000000" w:rsidRDefault="00000000" w:rsidRPr="00000000" w14:paraId="0000001C">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1D">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1E">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1F">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20">
            <w:pPr>
              <w:tabs>
                <w:tab w:val="left" w:pos="5093"/>
              </w:tabs>
              <w:rPr>
                <w:color w:val="000000"/>
              </w:rPr>
            </w:pPr>
            <w:r w:rsidDel="00000000" w:rsidR="00000000" w:rsidRPr="00000000">
              <w:rPr>
                <w:rtl w:val="0"/>
              </w:rPr>
              <w:t xml:space="preserve">Student Chromebooks, computer refresh, internet hotspot purchases, and ongoing internet services in 2020-21 school year</w:t>
            </w:r>
            <w:r w:rsidDel="00000000" w:rsidR="00000000" w:rsidRPr="00000000">
              <w:rPr>
                <w:rtl w:val="0"/>
              </w:rPr>
            </w:r>
          </w:p>
        </w:tc>
        <w:tc>
          <w:tcPr>
            <w:shd w:fill="auto" w:val="clear"/>
          </w:tcPr>
          <w:p w:rsidR="00000000" w:rsidDel="00000000" w:rsidP="00000000" w:rsidRDefault="00000000" w:rsidRPr="00000000" w14:paraId="00000021">
            <w:pPr>
              <w:tabs>
                <w:tab w:val="left" w:pos="5093"/>
              </w:tabs>
              <w:rPr>
                <w:color w:val="000000"/>
              </w:rPr>
            </w:pPr>
            <w:r w:rsidDel="00000000" w:rsidR="00000000" w:rsidRPr="00000000">
              <w:rPr>
                <w:rtl w:val="0"/>
              </w:rPr>
              <w:t xml:space="preserve">$15,000</w:t>
            </w:r>
            <w:r w:rsidDel="00000000" w:rsidR="00000000" w:rsidRPr="00000000">
              <w:rPr>
                <w:rtl w:val="0"/>
              </w:rPr>
            </w:r>
          </w:p>
        </w:tc>
        <w:tc>
          <w:tcPr/>
          <w:p w:rsidR="00000000" w:rsidDel="00000000" w:rsidP="00000000" w:rsidRDefault="00000000" w:rsidRPr="00000000" w14:paraId="00000022">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23">
            <w:pPr>
              <w:tabs>
                <w:tab w:val="left" w:pos="5093"/>
              </w:tabs>
              <w:rPr/>
            </w:pPr>
            <w:r w:rsidDel="00000000" w:rsidR="00000000" w:rsidRPr="00000000">
              <w:rPr>
                <w:rtl w:val="0"/>
              </w:rPr>
              <w:t xml:space="preserve">Classroom technology upgrades - TV, TV Cart, ChromeCast, Projectors</w:t>
            </w:r>
          </w:p>
        </w:tc>
        <w:tc>
          <w:tcPr>
            <w:shd w:fill="auto" w:val="clear"/>
          </w:tcPr>
          <w:p w:rsidR="00000000" w:rsidDel="00000000" w:rsidP="00000000" w:rsidRDefault="00000000" w:rsidRPr="00000000" w14:paraId="00000024">
            <w:pPr>
              <w:tabs>
                <w:tab w:val="left" w:pos="5093"/>
              </w:tabs>
              <w:rPr>
                <w:color w:val="000000"/>
              </w:rPr>
            </w:pPr>
            <w:r w:rsidDel="00000000" w:rsidR="00000000" w:rsidRPr="00000000">
              <w:rPr>
                <w:rtl w:val="0"/>
              </w:rPr>
              <w:t xml:space="preserve">$25,000</w:t>
            </w:r>
            <w:r w:rsidDel="00000000" w:rsidR="00000000" w:rsidRPr="00000000">
              <w:rPr>
                <w:rtl w:val="0"/>
              </w:rPr>
            </w:r>
          </w:p>
        </w:tc>
        <w:tc>
          <w:tcPr/>
          <w:p w:rsidR="00000000" w:rsidDel="00000000" w:rsidP="00000000" w:rsidRDefault="00000000" w:rsidRPr="00000000" w14:paraId="00000025">
            <w:pPr>
              <w:tabs>
                <w:tab w:val="left" w:pos="5093"/>
              </w:tabs>
              <w:jc w:val="center"/>
              <w:rPr>
                <w:color w:val="000000"/>
              </w:rPr>
            </w:pP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26">
            <w:pPr>
              <w:tabs>
                <w:tab w:val="left" w:pos="5093"/>
              </w:tabs>
              <w:rPr>
                <w:color w:val="000000"/>
              </w:rPr>
            </w:pPr>
            <w:r w:rsidDel="00000000" w:rsidR="00000000" w:rsidRPr="00000000">
              <w:rPr>
                <w:rtl w:val="0"/>
              </w:rPr>
              <w:t xml:space="preserve">Teachers and substitute teachers</w:t>
            </w:r>
            <w:r w:rsidDel="00000000" w:rsidR="00000000" w:rsidRPr="00000000">
              <w:rPr>
                <w:rtl w:val="0"/>
              </w:rPr>
            </w:r>
          </w:p>
        </w:tc>
        <w:tc>
          <w:tcPr>
            <w:shd w:fill="auto" w:val="clear"/>
          </w:tcPr>
          <w:p w:rsidR="00000000" w:rsidDel="00000000" w:rsidP="00000000" w:rsidRDefault="00000000" w:rsidRPr="00000000" w14:paraId="00000027">
            <w:pPr>
              <w:tabs>
                <w:tab w:val="left" w:pos="5093"/>
              </w:tabs>
              <w:rPr>
                <w:color w:val="000000"/>
              </w:rPr>
            </w:pPr>
            <w:r w:rsidDel="00000000" w:rsidR="00000000" w:rsidRPr="00000000">
              <w:rPr>
                <w:rtl w:val="0"/>
              </w:rPr>
              <w:t xml:space="preserve">$1,700,000</w:t>
            </w:r>
            <w:r w:rsidDel="00000000" w:rsidR="00000000" w:rsidRPr="00000000">
              <w:rPr>
                <w:rtl w:val="0"/>
              </w:rPr>
            </w:r>
          </w:p>
        </w:tc>
        <w:tc>
          <w:tcPr/>
          <w:p w:rsidR="00000000" w:rsidDel="00000000" w:rsidP="00000000" w:rsidRDefault="00000000" w:rsidRPr="00000000" w14:paraId="00000028">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29">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2A">
            <w:pPr>
              <w:tabs>
                <w:tab w:val="left" w:pos="5093"/>
              </w:tabs>
              <w:rPr>
                <w:color w:val="000000"/>
              </w:rPr>
            </w:pPr>
            <w:r w:rsidDel="00000000" w:rsidR="00000000" w:rsidRPr="00000000">
              <w:rPr>
                <w:rtl w:val="0"/>
              </w:rPr>
              <w:t xml:space="preserve">$120,000</w:t>
            </w:r>
            <w:r w:rsidDel="00000000" w:rsidR="00000000" w:rsidRPr="00000000">
              <w:rPr>
                <w:rtl w:val="0"/>
              </w:rPr>
            </w:r>
          </w:p>
        </w:tc>
        <w:tc>
          <w:tcPr/>
          <w:p w:rsidR="00000000" w:rsidDel="00000000" w:rsidP="00000000" w:rsidRDefault="00000000" w:rsidRPr="00000000" w14:paraId="0000002B">
            <w:pPr>
              <w:tabs>
                <w:tab w:val="left" w:pos="5093"/>
              </w:tabs>
              <w:jc w:val="center"/>
              <w:rPr>
                <w:color w:val="000000"/>
              </w:rPr>
            </w:pPr>
            <w:r w:rsidDel="00000000" w:rsidR="00000000" w:rsidRPr="00000000">
              <w:rPr>
                <w:rtl w:val="0"/>
              </w:rPr>
              <w:t xml:space="preserve">[Y/</w:t>
            </w:r>
            <w:r w:rsidDel="00000000" w:rsidR="00000000" w:rsidRPr="00000000">
              <w:rPr>
                <w:b w:val="1"/>
                <w:rtl w:val="0"/>
              </w:rPr>
              <w:t xml:space="preserve">N</w:t>
            </w:r>
            <w:r w:rsidDel="00000000" w:rsidR="00000000" w:rsidRPr="00000000">
              <w:rPr>
                <w:rtl w:val="0"/>
              </w:rPr>
              <w:t xml:space="preserve">]</w:t>
            </w:r>
            <w:r w:rsidDel="00000000" w:rsidR="00000000" w:rsidRPr="00000000">
              <w:rPr>
                <w:rtl w:val="0"/>
              </w:rPr>
            </w:r>
          </w:p>
        </w:tc>
      </w:tr>
      <w:tr>
        <w:tc>
          <w:tcPr>
            <w:shd w:fill="auto" w:val="clear"/>
          </w:tcPr>
          <w:p w:rsidR="00000000" w:rsidDel="00000000" w:rsidP="00000000" w:rsidRDefault="00000000" w:rsidRPr="00000000" w14:paraId="0000002C">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2D">
            <w:pPr>
              <w:tabs>
                <w:tab w:val="left" w:pos="5093"/>
              </w:tabs>
              <w:rPr>
                <w:color w:val="000000"/>
              </w:rPr>
            </w:pPr>
            <w:r w:rsidDel="00000000" w:rsidR="00000000" w:rsidRPr="00000000">
              <w:rPr>
                <w:rtl w:val="0"/>
              </w:rPr>
              <w:t xml:space="preserve">$30,000</w:t>
            </w:r>
            <w:r w:rsidDel="00000000" w:rsidR="00000000" w:rsidRPr="00000000">
              <w:rPr>
                <w:rtl w:val="0"/>
              </w:rPr>
            </w:r>
          </w:p>
        </w:tc>
        <w:tc>
          <w:tcPr/>
          <w:p w:rsidR="00000000" w:rsidDel="00000000" w:rsidP="00000000" w:rsidRDefault="00000000" w:rsidRPr="00000000" w14:paraId="0000002E">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2F">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30">
            <w:pPr>
              <w:tabs>
                <w:tab w:val="left" w:pos="5093"/>
              </w:tabs>
              <w:rPr>
                <w:color w:val="000000"/>
              </w:rPr>
            </w:pPr>
            <w:r w:rsidDel="00000000" w:rsidR="00000000" w:rsidRPr="00000000">
              <w:rPr>
                <w:rtl w:val="0"/>
              </w:rPr>
              <w:t xml:space="preserve">$175,000</w:t>
            </w:r>
            <w:r w:rsidDel="00000000" w:rsidR="00000000" w:rsidRPr="00000000">
              <w:rPr>
                <w:rtl w:val="0"/>
              </w:rPr>
            </w:r>
          </w:p>
        </w:tc>
        <w:tc>
          <w:tcPr/>
          <w:p w:rsidR="00000000" w:rsidDel="00000000" w:rsidP="00000000" w:rsidRDefault="00000000" w:rsidRPr="00000000" w14:paraId="00000031">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2">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33">
            <w:pPr>
              <w:tabs>
                <w:tab w:val="left" w:pos="5093"/>
              </w:tabs>
              <w:rPr>
                <w:color w:val="000000"/>
              </w:rPr>
            </w:pPr>
            <w:r w:rsidDel="00000000" w:rsidR="00000000" w:rsidRPr="00000000">
              <w:rPr>
                <w:rtl w:val="0"/>
              </w:rPr>
              <w:t xml:space="preserve">$65,000</w:t>
            </w:r>
            <w:r w:rsidDel="00000000" w:rsidR="00000000" w:rsidRPr="00000000">
              <w:rPr>
                <w:rtl w:val="0"/>
              </w:rPr>
            </w:r>
          </w:p>
        </w:tc>
        <w:tc>
          <w:tcPr/>
          <w:p w:rsidR="00000000" w:rsidDel="00000000" w:rsidP="00000000" w:rsidRDefault="00000000" w:rsidRPr="00000000" w14:paraId="00000034">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Schoology, Illuminate, </w:t>
            </w:r>
            <w:r w:rsidDel="00000000" w:rsidR="00000000" w:rsidRPr="00000000">
              <w:rPr>
                <w:highlight w:val="white"/>
                <w:rtl w:val="0"/>
              </w:rPr>
              <w:t xml:space="preserve">ALEKS, Quill,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36">
            <w:pPr>
              <w:tabs>
                <w:tab w:val="left" w:pos="5093"/>
              </w:tabs>
              <w:rPr>
                <w:color w:val="000000"/>
              </w:rPr>
            </w:pPr>
            <w:r w:rsidDel="00000000" w:rsidR="00000000" w:rsidRPr="00000000">
              <w:rPr>
                <w:rtl w:val="0"/>
              </w:rPr>
              <w:t xml:space="preserve">$20,000</w:t>
            </w:r>
            <w:r w:rsidDel="00000000" w:rsidR="00000000" w:rsidRPr="00000000">
              <w:rPr>
                <w:rtl w:val="0"/>
              </w:rPr>
            </w:r>
          </w:p>
        </w:tc>
        <w:tc>
          <w:tcPr/>
          <w:p w:rsidR="00000000" w:rsidDel="00000000" w:rsidP="00000000" w:rsidRDefault="00000000" w:rsidRPr="00000000" w14:paraId="00000037">
            <w:pPr>
              <w:tabs>
                <w:tab w:val="left" w:pos="5093"/>
              </w:tabs>
              <w:jc w:val="center"/>
              <w:rPr>
                <w:b w:val="1"/>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39">
            <w:pPr>
              <w:tabs>
                <w:tab w:val="left" w:pos="5093"/>
              </w:tabs>
              <w:rPr/>
            </w:pPr>
            <w:r w:rsidDel="00000000" w:rsidR="00000000" w:rsidRPr="00000000">
              <w:rPr>
                <w:rtl w:val="0"/>
              </w:rPr>
              <w:t xml:space="preserve">$690,000</w:t>
            </w:r>
          </w:p>
        </w:tc>
        <w:tc>
          <w:tcPr/>
          <w:p w:rsidR="00000000" w:rsidDel="00000000" w:rsidP="00000000" w:rsidRDefault="00000000" w:rsidRPr="00000000" w14:paraId="0000003A">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The school has prepared for possible in-person learning by purchasing cleaning supplies, and protection materials (including plexiglass, and PPE).</w:t>
            </w:r>
          </w:p>
        </w:tc>
        <w:tc>
          <w:tcPr>
            <w:shd w:fill="auto" w:val="clear"/>
          </w:tcPr>
          <w:p w:rsidR="00000000" w:rsidDel="00000000" w:rsidP="00000000" w:rsidRDefault="00000000" w:rsidRPr="00000000" w14:paraId="0000003C">
            <w:pPr>
              <w:tabs>
                <w:tab w:val="left" w:pos="5093"/>
              </w:tabs>
              <w:rPr>
                <w:color w:val="000000"/>
              </w:rPr>
            </w:pPr>
            <w:r w:rsidDel="00000000" w:rsidR="00000000" w:rsidRPr="00000000">
              <w:rPr>
                <w:rtl w:val="0"/>
              </w:rPr>
              <w:t xml:space="preserve">$100,000</w:t>
            </w:r>
            <w:r w:rsidDel="00000000" w:rsidR="00000000" w:rsidRPr="00000000">
              <w:rPr>
                <w:rtl w:val="0"/>
              </w:rPr>
            </w:r>
          </w:p>
        </w:tc>
        <w:tc>
          <w:tcPr/>
          <w:p w:rsidR="00000000" w:rsidDel="00000000" w:rsidP="00000000" w:rsidRDefault="00000000" w:rsidRPr="00000000" w14:paraId="0000003D">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bl>
    <w:p w:rsidR="00000000" w:rsidDel="00000000" w:rsidP="00000000" w:rsidRDefault="00000000" w:rsidRPr="00000000" w14:paraId="0000003E">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3F">
      <w:pPr>
        <w:pStyle w:val="Heading4"/>
        <w:rPr/>
      </w:pPr>
      <w:r w:rsidDel="00000000" w:rsidR="00000000" w:rsidRPr="00000000">
        <w:rPr>
          <w:rtl w:val="0"/>
        </w:rPr>
        <w:t xml:space="preserve">Continuity of Instruction</w:t>
      </w:r>
    </w:p>
    <w:p w:rsidR="00000000" w:rsidDel="00000000" w:rsidP="00000000" w:rsidRDefault="00000000" w:rsidRPr="00000000" w14:paraId="0000004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4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Courses offered with distance learning are identical to those offered with in-person instruction at AIMS High School. Teachers submit a course syllabus and pacing guide for each course as commitment to adherence to the course frameworks and state standards. Weekly lesson plans are submitted by each teacher, and these are compared for congruence to the pacing guides. AP courses are available to all students and the curriculum taught follows the AP College Board course and exam descriptions. The length of each class and the length of the school day are the same with distance learning as with in-person instruction, with the same number of instructional minutes provided to students.</w:t>
      </w:r>
      <w:r w:rsidDel="00000000" w:rsidR="00000000" w:rsidRPr="00000000">
        <w:rPr>
          <w:rtl w:val="0"/>
        </w:rPr>
      </w:r>
    </w:p>
    <w:p w:rsidR="00000000" w:rsidDel="00000000" w:rsidP="00000000" w:rsidRDefault="00000000" w:rsidRPr="00000000" w14:paraId="00000042">
      <w:pPr>
        <w:pStyle w:val="Heading4"/>
        <w:rPr/>
      </w:pPr>
      <w:r w:rsidDel="00000000" w:rsidR="00000000" w:rsidRPr="00000000">
        <w:rPr>
          <w:rtl w:val="0"/>
        </w:rPr>
        <w:t xml:space="preserve">Access to Devices and Connectivity</w:t>
      </w:r>
    </w:p>
    <w:p w:rsidR="00000000" w:rsidDel="00000000" w:rsidP="00000000" w:rsidRDefault="00000000" w:rsidRPr="00000000" w14:paraId="00000043">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4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has selected two online platforms for distance learning, Schoology and Zoom, with Schoology the primary platform and Zoom the secondary platform. Teachers have been trained in the use of both. All students have been provided with a Chromebook, and where needed, hotspots have been provided to students. GoGuardian has been installed on Chromebooks which assures teachers that students remain on task without access to other online sites. Students are required to have their cameras on so that teachers can be assured they are involved in the lessons. During certain times in the lessons, students are assigned to breakout rooms for discussion and/or collaboration, for which teachers assign and monitor activities.</w:t>
      </w:r>
      <w:r w:rsidDel="00000000" w:rsidR="00000000" w:rsidRPr="00000000">
        <w:rPr>
          <w:rtl w:val="0"/>
        </w:rPr>
      </w:r>
    </w:p>
    <w:p w:rsidR="00000000" w:rsidDel="00000000" w:rsidP="00000000" w:rsidRDefault="00000000" w:rsidRPr="00000000" w14:paraId="0000004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Style w:val="Heading4"/>
        <w:rPr/>
      </w:pPr>
      <w:r w:rsidDel="00000000" w:rsidR="00000000" w:rsidRPr="00000000">
        <w:rPr>
          <w:rtl w:val="0"/>
        </w:rPr>
        <w:t xml:space="preserve">Pupil Participation and Progress</w:t>
      </w:r>
    </w:p>
    <w:p w:rsidR="00000000" w:rsidDel="00000000" w:rsidP="00000000" w:rsidRDefault="00000000" w:rsidRPr="00000000" w14:paraId="00000047">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w:t>
      </w:r>
      <w:r w:rsidDel="00000000" w:rsidR="00000000" w:rsidRPr="00000000">
        <w:rPr>
          <w:rFonts w:ascii="Arial" w:cs="Arial" w:eastAsia="Arial" w:hAnsi="Arial"/>
          <w:color w:val="000000"/>
          <w:sz w:val="24"/>
          <w:szCs w:val="24"/>
          <w:rtl w:val="0"/>
        </w:rPr>
        <w:t xml:space="preserve"> time value of pupil work</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Students will receive an average of 20-22 hours of synchronous instructional minutes per week.  Assessment of pupil progress can be conducted in a number of ways at AIMS. All teachers submit weekly lesson plans and have assessment grades uploaded to PowerSchool weekly, as a means to ensuring that students’ learning progress is taught and documented. Lesson plans are monitored and feedback and suggestions are given on a regular, on-going basis to teachers, with particular focus on students’ participation and engagement in class activities through the incorporation of various methods and strategies of differentiation to support student learning. Progress reports are also sent out every three weeks, with teachers’ comments and suggestions listed for those students who need support and assistance with their learning. Report cards are sent home every nine weeks. There are also  two scheduled days during the school year, one per semester,  where school is closed for students, so that teacher/ parent conferences can be held. Tutoring is provided two to three times a week for students who are having difficulties in class, and they are also expected to attend weekly Academic Saturday School until their grades improve. All staff hold office hours and are available to meet with parents or to conduct a phone conference in order to answer questions about their students’ progress. Students’ grades are uploaded into Schoology and synched to PowerSchool weekly.. Parents are also able to communicate with staff through the use of ParentSquare to inquire about their student’s academic progress or when they have other concerns.  All class assignments are listed on the Schoology online learning platform.</w:t>
      </w:r>
      <w:r w:rsidDel="00000000" w:rsidR="00000000" w:rsidRPr="00000000">
        <w:rPr>
          <w:rtl w:val="0"/>
        </w:rPr>
      </w:r>
    </w:p>
    <w:p w:rsidR="00000000" w:rsidDel="00000000" w:rsidP="00000000" w:rsidRDefault="00000000" w:rsidRPr="00000000" w14:paraId="00000049">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4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4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When the Distance Learning took place in March, 2019, all staff immediately took part in training on our online platform, Schoology. When it was mandated that distance learning was going to take place again during the Fall Semester,  AIMS also assembled training in these online learning programs in addition to Schoology training to assist with the distance learning program to support teachers with their teaching: ALEKS (math), Quill (ELA/ELD, History), Scholastic Reading Inventory (SRI), Learning Ally (ELA/ELD).  All staff also received training for the programs used in General Education courses: Turnitin,Go Guardian, PowerSchool, Mandated Reporter Training, and a Socio and Emotional presentation by the district Health &amp; Wellness Counselor.  At AIMS, we have an onsite Technical Support Provider to assist with any tech needs, in addition to staff communication using the Slack application on cell phones and laptops.</w:t>
      </w:r>
      <w:r w:rsidDel="00000000" w:rsidR="00000000" w:rsidRPr="00000000">
        <w:rPr>
          <w:rtl w:val="0"/>
        </w:rPr>
      </w:r>
    </w:p>
    <w:p w:rsidR="00000000" w:rsidDel="00000000" w:rsidP="00000000" w:rsidRDefault="00000000" w:rsidRPr="00000000" w14:paraId="0000004C">
      <w:pPr>
        <w:pStyle w:val="Heading4"/>
        <w:rPr/>
      </w:pPr>
      <w:r w:rsidDel="00000000" w:rsidR="00000000" w:rsidRPr="00000000">
        <w:rPr>
          <w:rtl w:val="0"/>
        </w:rPr>
        <w:t xml:space="preserve">Staff Roles and Responsibilities</w:t>
      </w:r>
    </w:p>
    <w:p w:rsidR="00000000" w:rsidDel="00000000" w:rsidP="00000000" w:rsidRDefault="00000000" w:rsidRPr="00000000" w14:paraId="0000004D">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4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During virtual distance learning, clerical staff roles have shifted to provide more one-on-one technical support to our students, teachers, families.  Timely responses to emails, particularly in tech support inquiries are critical. To avoid a bombardment of our school’s email account (particularly due to a flurry of random email requests), the LEA created separate email accounts for attendance, transcripts, and work permits, while leaving the high school’s main email account to focus on technical support and general inquiries.  The LEA expanded its SLACK communication platform internally in order to allow instructors to communicate academic issues or concerns (internet connectivity, unresponsive students, help desk questions, etc.) in real time.  </w:t>
      </w:r>
      <w:r w:rsidDel="00000000" w:rsidR="00000000" w:rsidRPr="00000000">
        <w:rPr>
          <w:rtl w:val="0"/>
        </w:rPr>
      </w:r>
    </w:p>
    <w:p w:rsidR="00000000" w:rsidDel="00000000" w:rsidP="00000000" w:rsidRDefault="00000000" w:rsidRPr="00000000" w14:paraId="0000004F">
      <w:pPr>
        <w:pStyle w:val="Heading4"/>
        <w:rPr/>
      </w:pPr>
      <w:r w:rsidDel="00000000" w:rsidR="00000000" w:rsidRPr="00000000">
        <w:rPr>
          <w:rtl w:val="0"/>
        </w:rPr>
        <w:t xml:space="preserve">Supports for Pupils with Unique Needs</w:t>
      </w:r>
    </w:p>
    <w:p w:rsidR="00000000" w:rsidDel="00000000" w:rsidP="00000000" w:rsidRDefault="00000000" w:rsidRPr="00000000" w14:paraId="0000005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5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AIMS High School currently has a Resource Program with a full time Resource Specialist and Instructional Aide. All students with IEPs will receive the push-in and pull-out service minutes in their plans as written.  Both push-in and pull-out services are conducted virtually, with pull out times built in to student schedules.  After school tutorial sessions are available for students needing additional support with online learning. Support services such as Speech Therapy are also being provided virtually.   General education teachers have 1:1 IEP  accommodations reviews with RSP, and the RSP is available for consultation and collaboration during teacher prep periods. </w:t>
      </w:r>
    </w:p>
    <w:p w:rsidR="00000000" w:rsidDel="00000000" w:rsidP="00000000" w:rsidRDefault="00000000" w:rsidRPr="00000000" w14:paraId="0000005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AIMS HS also has a full-time ELD teacher and Instructional Aide, who are fully trained to teach the ELD curriculum, and to support those students from the emerging to expanding levels, and beyond. The goal is to have all students proficient in English so that they can keep pace with their peers. Additional support services are given to those students who are ready to exit the ELD program, especially with their writing, through their enrollment in the ELD Language Lab class. All ELD students are also using the resources provided through such programs as  Rosetta Stone (speaking, listening, comprehension), Learning Ally (reading, listening), and Quill (writing). When there is a need for translation services at any of the sites, there are a number of staff members who may assist with the translation for the over eleven different languages which are spoken in the District.  </w:t>
      </w:r>
    </w:p>
    <w:p w:rsidR="00000000" w:rsidDel="00000000" w:rsidP="00000000" w:rsidRDefault="00000000" w:rsidRPr="00000000" w14:paraId="0000005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third non-departmental Instructional Aide will be on-hand to help provide general support to students and others as needed.  </w:t>
      </w:r>
    </w:p>
    <w:p w:rsidR="00000000" w:rsidDel="00000000" w:rsidP="00000000" w:rsidRDefault="00000000" w:rsidRPr="00000000" w14:paraId="0000005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lunch program is provided for any students who qualify. During distance learning, students or families may come to the middle school campus to pick up lunches during the week.</w:t>
      </w:r>
    </w:p>
    <w:p w:rsidR="00000000" w:rsidDel="00000000" w:rsidP="00000000" w:rsidRDefault="00000000" w:rsidRPr="00000000" w14:paraId="0000005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57">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58">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59">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5A">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5B">
            <w:pPr>
              <w:tabs>
                <w:tab w:val="left" w:pos="5093"/>
              </w:tabs>
              <w:rPr/>
            </w:pPr>
            <w:r w:rsidDel="00000000" w:rsidR="00000000" w:rsidRPr="00000000">
              <w:rPr>
                <w:rtl w:val="0"/>
              </w:rPr>
              <w:t xml:space="preserve">$15,000</w:t>
            </w:r>
          </w:p>
        </w:tc>
        <w:tc>
          <w:tcPr/>
          <w:p w:rsidR="00000000" w:rsidDel="00000000" w:rsidP="00000000" w:rsidRDefault="00000000" w:rsidRPr="00000000" w14:paraId="0000005C">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5D">
            <w:pPr>
              <w:tabs>
                <w:tab w:val="left" w:pos="5093"/>
              </w:tabs>
              <w:rPr/>
            </w:pPr>
            <w:r w:rsidDel="00000000" w:rsidR="00000000" w:rsidRPr="00000000">
              <w:rPr>
                <w:rtl w:val="0"/>
              </w:rPr>
              <w:t xml:space="preserve">Classroom technology upgrades - TV, TV Cart, ChromeCast, Projectors, Webcameras, Wireless Headsets</w:t>
            </w:r>
          </w:p>
        </w:tc>
        <w:tc>
          <w:tcPr>
            <w:shd w:fill="auto" w:val="clear"/>
          </w:tcPr>
          <w:p w:rsidR="00000000" w:rsidDel="00000000" w:rsidP="00000000" w:rsidRDefault="00000000" w:rsidRPr="00000000" w14:paraId="0000005E">
            <w:pPr>
              <w:tabs>
                <w:tab w:val="left" w:pos="5093"/>
              </w:tabs>
              <w:rPr/>
            </w:pPr>
            <w:r w:rsidDel="00000000" w:rsidR="00000000" w:rsidRPr="00000000">
              <w:rPr>
                <w:rtl w:val="0"/>
              </w:rPr>
              <w:t xml:space="preserve">$25,000</w:t>
            </w:r>
          </w:p>
        </w:tc>
        <w:tc>
          <w:tcPr/>
          <w:p w:rsidR="00000000" w:rsidDel="00000000" w:rsidP="00000000" w:rsidRDefault="00000000" w:rsidRPr="00000000" w14:paraId="0000005F">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0">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61">
            <w:pPr>
              <w:tabs>
                <w:tab w:val="left" w:pos="5093"/>
              </w:tabs>
              <w:rPr/>
            </w:pPr>
            <w:r w:rsidDel="00000000" w:rsidR="00000000" w:rsidRPr="00000000">
              <w:rPr>
                <w:rtl w:val="0"/>
              </w:rPr>
              <w:t xml:space="preserve">$1,700,000</w:t>
            </w:r>
          </w:p>
        </w:tc>
        <w:tc>
          <w:tcPr/>
          <w:p w:rsidR="00000000" w:rsidDel="00000000" w:rsidP="00000000" w:rsidRDefault="00000000" w:rsidRPr="00000000" w14:paraId="00000062">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3">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64">
            <w:pPr>
              <w:tabs>
                <w:tab w:val="left" w:pos="5093"/>
              </w:tabs>
              <w:rPr/>
            </w:pPr>
            <w:r w:rsidDel="00000000" w:rsidR="00000000" w:rsidRPr="00000000">
              <w:rPr>
                <w:rtl w:val="0"/>
              </w:rPr>
              <w:t xml:space="preserve">$120,000</w:t>
            </w:r>
          </w:p>
        </w:tc>
        <w:tc>
          <w:tcPr/>
          <w:p w:rsidR="00000000" w:rsidDel="00000000" w:rsidP="00000000" w:rsidRDefault="00000000" w:rsidRPr="00000000" w14:paraId="00000065">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6">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67">
            <w:pPr>
              <w:tabs>
                <w:tab w:val="left" w:pos="5093"/>
              </w:tabs>
              <w:rPr/>
            </w:pPr>
            <w:r w:rsidDel="00000000" w:rsidR="00000000" w:rsidRPr="00000000">
              <w:rPr>
                <w:rtl w:val="0"/>
              </w:rPr>
              <w:t xml:space="preserve">$20,000</w:t>
            </w:r>
          </w:p>
        </w:tc>
        <w:tc>
          <w:tcPr/>
          <w:p w:rsidR="00000000" w:rsidDel="00000000" w:rsidP="00000000" w:rsidRDefault="00000000" w:rsidRPr="00000000" w14:paraId="00000068">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9">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6A">
            <w:pPr>
              <w:tabs>
                <w:tab w:val="left" w:pos="5093"/>
              </w:tabs>
              <w:rPr/>
            </w:pPr>
            <w:r w:rsidDel="00000000" w:rsidR="00000000" w:rsidRPr="00000000">
              <w:rPr>
                <w:rtl w:val="0"/>
              </w:rPr>
              <w:t xml:space="preserve">$175,000</w:t>
            </w:r>
          </w:p>
        </w:tc>
        <w:tc>
          <w:tcPr/>
          <w:p w:rsidR="00000000" w:rsidDel="00000000" w:rsidP="00000000" w:rsidRDefault="00000000" w:rsidRPr="00000000" w14:paraId="0000006B">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C">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6D">
            <w:pPr>
              <w:tabs>
                <w:tab w:val="left" w:pos="5093"/>
              </w:tabs>
              <w:rPr/>
            </w:pPr>
            <w:r w:rsidDel="00000000" w:rsidR="00000000" w:rsidRPr="00000000">
              <w:rPr>
                <w:rtl w:val="0"/>
              </w:rPr>
              <w:t xml:space="preserve">$65,000</w:t>
            </w:r>
          </w:p>
        </w:tc>
        <w:tc>
          <w:tcPr/>
          <w:p w:rsidR="00000000" w:rsidDel="00000000" w:rsidP="00000000" w:rsidRDefault="00000000" w:rsidRPr="00000000" w14:paraId="0000006E">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F">
            <w:pPr>
              <w:tabs>
                <w:tab w:val="left" w:pos="5093"/>
              </w:tabs>
              <w:rPr/>
            </w:pPr>
            <w:r w:rsidDel="00000000" w:rsidR="00000000" w:rsidRPr="00000000">
              <w:rPr>
                <w:rtl w:val="0"/>
              </w:rPr>
              <w:t xml:space="preserve">Schoology, Illuminate, </w:t>
            </w:r>
            <w:r w:rsidDel="00000000" w:rsidR="00000000" w:rsidRPr="00000000">
              <w:rPr>
                <w:highlight w:val="white"/>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70">
            <w:pPr>
              <w:tabs>
                <w:tab w:val="left" w:pos="5093"/>
              </w:tabs>
              <w:rPr/>
            </w:pPr>
            <w:r w:rsidDel="00000000" w:rsidR="00000000" w:rsidRPr="00000000">
              <w:rPr>
                <w:rtl w:val="0"/>
              </w:rPr>
              <w:t xml:space="preserve">$20,000</w:t>
            </w:r>
          </w:p>
        </w:tc>
        <w:tc>
          <w:tcPr/>
          <w:p w:rsidR="00000000" w:rsidDel="00000000" w:rsidP="00000000" w:rsidRDefault="00000000" w:rsidRPr="00000000" w14:paraId="00000071">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2">
            <w:pPr>
              <w:tabs>
                <w:tab w:val="left" w:pos="5093"/>
              </w:tabs>
              <w:rPr/>
            </w:pPr>
            <w:r w:rsidDel="00000000" w:rsidR="00000000" w:rsidRPr="00000000">
              <w:rPr>
                <w:rtl w:val="0"/>
              </w:rPr>
              <w:t xml:space="preserve">Instructional Aides</w:t>
            </w:r>
          </w:p>
        </w:tc>
        <w:tc>
          <w:tcPr>
            <w:shd w:fill="auto" w:val="clear"/>
          </w:tcPr>
          <w:p w:rsidR="00000000" w:rsidDel="00000000" w:rsidP="00000000" w:rsidRDefault="00000000" w:rsidRPr="00000000" w14:paraId="00000073">
            <w:pPr>
              <w:tabs>
                <w:tab w:val="left" w:pos="5093"/>
              </w:tabs>
              <w:rPr/>
            </w:pPr>
            <w:r w:rsidDel="00000000" w:rsidR="00000000" w:rsidRPr="00000000">
              <w:rPr>
                <w:rtl w:val="0"/>
              </w:rPr>
              <w:t xml:space="preserve">$220,000</w:t>
            </w:r>
          </w:p>
        </w:tc>
        <w:tc>
          <w:tcPr/>
          <w:p w:rsidR="00000000" w:rsidDel="00000000" w:rsidP="00000000" w:rsidRDefault="00000000" w:rsidRPr="00000000" w14:paraId="00000074">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5">
            <w:pPr>
              <w:tabs>
                <w:tab w:val="left" w:pos="5093"/>
              </w:tabs>
              <w:rPr/>
            </w:pPr>
            <w:r w:rsidDel="00000000" w:rsidR="00000000" w:rsidRPr="00000000">
              <w:rPr>
                <w:rtl w:val="0"/>
              </w:rPr>
              <w:t xml:space="preserve">Art Supplies</w:t>
            </w:r>
          </w:p>
        </w:tc>
        <w:tc>
          <w:tcPr>
            <w:shd w:fill="auto" w:val="clear"/>
          </w:tcPr>
          <w:p w:rsidR="00000000" w:rsidDel="00000000" w:rsidP="00000000" w:rsidRDefault="00000000" w:rsidRPr="00000000" w14:paraId="00000076">
            <w:pPr>
              <w:tabs>
                <w:tab w:val="left" w:pos="5093"/>
              </w:tabs>
              <w:rPr/>
            </w:pPr>
            <w:r w:rsidDel="00000000" w:rsidR="00000000" w:rsidRPr="00000000">
              <w:rPr>
                <w:rtl w:val="0"/>
              </w:rPr>
              <w:t xml:space="preserve">$12,000</w:t>
            </w:r>
          </w:p>
        </w:tc>
        <w:tc>
          <w:tcPr/>
          <w:p w:rsidR="00000000" w:rsidDel="00000000" w:rsidP="00000000" w:rsidRDefault="00000000" w:rsidRPr="00000000" w14:paraId="00000077">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8">
            <w:pPr>
              <w:tabs>
                <w:tab w:val="left" w:pos="5093"/>
              </w:tabs>
              <w:rPr/>
            </w:pPr>
            <w:r w:rsidDel="00000000" w:rsidR="00000000" w:rsidRPr="00000000">
              <w:rPr>
                <w:rtl w:val="0"/>
              </w:rPr>
              <w:t xml:space="preserve">Attendance clerks, support staff</w:t>
            </w:r>
          </w:p>
        </w:tc>
        <w:tc>
          <w:tcPr>
            <w:shd w:fill="auto" w:val="clear"/>
          </w:tcPr>
          <w:p w:rsidR="00000000" w:rsidDel="00000000" w:rsidP="00000000" w:rsidRDefault="00000000" w:rsidRPr="00000000" w14:paraId="00000079">
            <w:pPr>
              <w:tabs>
                <w:tab w:val="left" w:pos="5093"/>
              </w:tabs>
              <w:rPr/>
            </w:pPr>
            <w:r w:rsidDel="00000000" w:rsidR="00000000" w:rsidRPr="00000000">
              <w:rPr>
                <w:rtl w:val="0"/>
              </w:rPr>
              <w:t xml:space="preserve">$470,000</w:t>
            </w:r>
          </w:p>
        </w:tc>
        <w:tc>
          <w:tcPr/>
          <w:p w:rsidR="00000000" w:rsidDel="00000000" w:rsidP="00000000" w:rsidRDefault="00000000" w:rsidRPr="00000000" w14:paraId="0000007A">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bl>
    <w:p w:rsidR="00000000" w:rsidDel="00000000" w:rsidP="00000000" w:rsidRDefault="00000000" w:rsidRPr="00000000" w14:paraId="0000007B">
      <w:pPr>
        <w:pStyle w:val="Heading3"/>
        <w:rPr/>
      </w:pPr>
      <w:r w:rsidDel="00000000" w:rsidR="00000000" w:rsidRPr="00000000">
        <w:rPr>
          <w:rtl w:val="0"/>
        </w:rPr>
        <w:t xml:space="preserve">Pupil Learning Loss</w:t>
      </w:r>
    </w:p>
    <w:p w:rsidR="00000000" w:rsidDel="00000000" w:rsidP="00000000" w:rsidRDefault="00000000" w:rsidRPr="00000000" w14:paraId="0000007C">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7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During the 2019-2020 academic school year, the LEA also maintained at least 4-5 hours of synchronistic academic instruction per day and will provide at least 5-6 hours of synchronistic instruction for students daily for the 2020-21 academic school year.   The LEA will use ALEKS to diagnose student math performance and will use CAASPP math interims for all 9th, 10th, and 11th graders.  The LEA will also use CAASPP ELA interims for all 9th, 10th, and 11th graders.  The LEA will also use Scholastic Reading Inventory (SRI) to track student Lexile Reading Scores, and will assign Quill writing for all ELA classes as writing benchmarks. </w:t>
      </w:r>
      <w:r w:rsidDel="00000000" w:rsidR="00000000" w:rsidRPr="00000000">
        <w:rPr>
          <w:rtl w:val="0"/>
        </w:rPr>
      </w:r>
    </w:p>
    <w:p w:rsidR="00000000" w:rsidDel="00000000" w:rsidP="00000000" w:rsidRDefault="00000000" w:rsidRPr="00000000" w14:paraId="0000007E">
      <w:pPr>
        <w:pStyle w:val="Heading4"/>
        <w:rPr/>
      </w:pPr>
      <w:r w:rsidDel="00000000" w:rsidR="00000000" w:rsidRPr="00000000">
        <w:rPr>
          <w:rtl w:val="0"/>
        </w:rPr>
        <w:t xml:space="preserve">Pupil Learning Loss Strategies</w:t>
      </w:r>
    </w:p>
    <w:p w:rsidR="00000000" w:rsidDel="00000000" w:rsidP="00000000" w:rsidRDefault="00000000" w:rsidRPr="00000000" w14:paraId="0000007F">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8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will develop and implement a benchmark assessment calendar: CAASPP (Math / ELA) Interims - (Once per Semester); SRI and Quill Benchmarks (Once per quarter), ALEKS (twice per year - beginning and end of school year.)  Accelerated Math students will be able to work independently on ALEKS and be allowed to take higher level math courses on the ALEKS math platform.  Students with low math performances will have the opportunity to work on prerequisite math ALEKS as RTI, which will help improve students ability to complete higher level math beyond their math frustration levels.  Students may be assigned Saturday School or tutoring as a result of consistently low benchmark scores. </w:t>
      </w:r>
      <w:r w:rsidDel="00000000" w:rsidR="00000000" w:rsidRPr="00000000">
        <w:rPr>
          <w:rtl w:val="0"/>
        </w:rPr>
      </w:r>
    </w:p>
    <w:p w:rsidR="00000000" w:rsidDel="00000000" w:rsidP="00000000" w:rsidRDefault="00000000" w:rsidRPr="00000000" w14:paraId="00000081">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82">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8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will establish virtual data walls for each student and grade level to measure and monitor their progress.</w:t>
      </w:r>
      <w:r w:rsidDel="00000000" w:rsidR="00000000" w:rsidRPr="00000000">
        <w:rPr>
          <w:rtl w:val="0"/>
        </w:rPr>
      </w:r>
    </w:p>
    <w:p w:rsidR="00000000" w:rsidDel="00000000" w:rsidP="00000000" w:rsidRDefault="00000000" w:rsidRPr="00000000" w14:paraId="00000084">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8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8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8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88">
            <w:pPr>
              <w:tabs>
                <w:tab w:val="left" w:pos="5093"/>
              </w:tabs>
              <w:rPr>
                <w:color w:val="000000"/>
              </w:rPr>
            </w:pPr>
            <w:r w:rsidDel="00000000" w:rsidR="00000000" w:rsidRPr="00000000">
              <w:rPr>
                <w:rtl w:val="0"/>
              </w:rPr>
              <w:t xml:space="preserve">Academic Saturday School</w:t>
            </w:r>
            <w:r w:rsidDel="00000000" w:rsidR="00000000" w:rsidRPr="00000000">
              <w:rPr>
                <w:rtl w:val="0"/>
              </w:rPr>
            </w:r>
          </w:p>
        </w:tc>
        <w:tc>
          <w:tcPr>
            <w:shd w:fill="auto" w:val="clear"/>
          </w:tcPr>
          <w:p w:rsidR="00000000" w:rsidDel="00000000" w:rsidP="00000000" w:rsidRDefault="00000000" w:rsidRPr="00000000" w14:paraId="00000089">
            <w:pPr>
              <w:tabs>
                <w:tab w:val="left" w:pos="5093"/>
              </w:tabs>
              <w:rPr>
                <w:color w:val="000000"/>
              </w:rPr>
            </w:pPr>
            <w:r w:rsidDel="00000000" w:rsidR="00000000" w:rsidRPr="00000000">
              <w:rPr>
                <w:rtl w:val="0"/>
              </w:rPr>
              <w:t xml:space="preserve">$20,000</w:t>
            </w:r>
            <w:r w:rsidDel="00000000" w:rsidR="00000000" w:rsidRPr="00000000">
              <w:rPr>
                <w:rtl w:val="0"/>
              </w:rPr>
            </w:r>
          </w:p>
        </w:tc>
        <w:tc>
          <w:tcPr/>
          <w:p w:rsidR="00000000" w:rsidDel="00000000" w:rsidP="00000000" w:rsidRDefault="00000000" w:rsidRPr="00000000" w14:paraId="0000008A">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8B">
            <w:pPr>
              <w:tabs>
                <w:tab w:val="left" w:pos="5093"/>
              </w:tabs>
              <w:rPr>
                <w:color w:val="000000"/>
              </w:rPr>
            </w:pPr>
            <w:r w:rsidDel="00000000" w:rsidR="00000000" w:rsidRPr="00000000">
              <w:rPr>
                <w:rtl w:val="0"/>
              </w:rPr>
            </w:r>
          </w:p>
        </w:tc>
        <w:tc>
          <w:tcPr>
            <w:shd w:fill="auto" w:val="clear"/>
          </w:tcPr>
          <w:p w:rsidR="00000000" w:rsidDel="00000000" w:rsidP="00000000" w:rsidRDefault="00000000" w:rsidRPr="00000000" w14:paraId="0000008C">
            <w:pPr>
              <w:tabs>
                <w:tab w:val="left" w:pos="5093"/>
              </w:tabs>
              <w:rPr>
                <w:color w:val="000000"/>
              </w:rPr>
            </w:pPr>
            <w:r w:rsidDel="00000000" w:rsidR="00000000" w:rsidRPr="00000000">
              <w:rPr>
                <w:rtl w:val="0"/>
              </w:rPr>
            </w:r>
          </w:p>
        </w:tc>
        <w:tc>
          <w:tcPr/>
          <w:p w:rsidR="00000000" w:rsidDel="00000000" w:rsidP="00000000" w:rsidRDefault="00000000" w:rsidRPr="00000000" w14:paraId="0000008D">
            <w:pPr>
              <w:tabs>
                <w:tab w:val="left" w:pos="5093"/>
              </w:tabs>
              <w:jc w:val="center"/>
              <w:rPr>
                <w:color w:val="000000"/>
              </w:rPr>
            </w:pPr>
            <w:r w:rsidDel="00000000" w:rsidR="00000000" w:rsidRPr="00000000">
              <w:rPr>
                <w:rtl w:val="0"/>
              </w:rPr>
            </w:r>
          </w:p>
        </w:tc>
      </w:tr>
    </w:tbl>
    <w:p w:rsidR="00000000" w:rsidDel="00000000" w:rsidP="00000000" w:rsidRDefault="00000000" w:rsidRPr="00000000" w14:paraId="0000008E">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8F">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90">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br w:type="textWrapping"/>
      </w:r>
    </w:p>
    <w:p w:rsidR="00000000" w:rsidDel="00000000" w:rsidP="00000000" w:rsidRDefault="00000000" w:rsidRPr="00000000" w14:paraId="00000091">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92">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The monitoring of student mental health and social emotional well-being will include regular collection of student emotional engagement data via regular surveys by staff of student engagement and participation. Regular emotional engagement surveys will help staff assess a student’s involvement in and enthusiasm for school as a whole as well as their emotional connectedness to others during distance learning.</w:t>
      </w:r>
    </w:p>
    <w:p w:rsidR="00000000" w:rsidDel="00000000" w:rsidP="00000000" w:rsidRDefault="00000000" w:rsidRPr="00000000" w14:paraId="00000093">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94">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95">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96">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97">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99">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9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that are not present in class receive calls and notices to families for failing to attend school.  Students that are absent from school are required to attend the next available Saturday School.  Students with 3 unexcused absences will receive a Truancy letter from the school and will be required to respond within 10 days of receipt of the notice to attend a SART meeting with an administrator, and the affected classes to discuss possible methods to increase student attendance.  Students that fail to meet these requirements after three truancy notices and meetings may be referred to a SARB hearing or the District Attorney’s office for Truancy.  The LEA utilizes Cantonese, Spanish, Arabic, and Amharic translators to help service the needs of our students and multicultural demographic populations.</w:t>
      </w:r>
    </w:p>
    <w:p w:rsidR="00000000" w:rsidDel="00000000" w:rsidP="00000000" w:rsidRDefault="00000000" w:rsidRPr="00000000" w14:paraId="0000009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Comprehensive family engagement support services are being provided by the Parent Coordinator for all campuses across the district. Support is given to individual parents and families through email, phone, and virtual meetings. Translation and bilingual support is being provided to families in student success meetings between families and teachers to discuss and navigate transitions to online learning and best practices. Additionally, these meetings have been used to provide integral interventions for specific students who have multi-faceted needs for differentiation. The Parent Coordinator has been serving as a liaison between administrative staff across the district and families, fielding parent concerns, directing parents to appropriate resources needed, assisting with technology concerns, and communicating with families and administrative staff on an ongoing basis. </w:t>
      </w:r>
    </w:p>
    <w:p w:rsidR="00000000" w:rsidDel="00000000" w:rsidP="00000000" w:rsidRDefault="00000000" w:rsidRPr="00000000" w14:paraId="0000009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Parent Coordinator has been instrumental in assisting in providing supplemental comprehensive resources for families, and interfacing with community partnerships to bring programming to families. This department is also working in partnership with Alameda county to provide a virtual census informational meeting. In addition, through family engagement services AIMS is providing multiple resources for family engagement, parent education, virtual parent classes, support, and virtual family events. </w:t>
      </w:r>
    </w:p>
    <w:p w:rsidR="00000000" w:rsidDel="00000000" w:rsidP="00000000" w:rsidRDefault="00000000" w:rsidRPr="00000000" w14:paraId="0000009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One of these events planned is a mother/daughter mentoring brunch. There will be a preteen cohort and a teen cohort. Through this program, parents will gain key skills to maintain open and positive communication with their children, explore a key topic each session, and have breakout sessions to build on skills learned. These communication sessions will be leveled to topics appropriate to the developmental stages of the cohorts, and will include mentoring for families and education. This department has also partnered with a community based organization to provide a series of virtual parenting webinars that has been opened to parents across the district. Additional resources and support are being provided through virtual office hours, check-ins, emails, and parent/family meetings.  </w:t>
      </w:r>
    </w:p>
    <w:p w:rsidR="00000000" w:rsidDel="00000000" w:rsidP="00000000" w:rsidRDefault="00000000" w:rsidRPr="00000000" w14:paraId="0000009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pStyle w:val="Heading2"/>
        <w:rPr/>
      </w:pPr>
      <w:r w:rsidDel="00000000" w:rsidR="00000000" w:rsidRPr="00000000">
        <w:rPr>
          <w:rtl w:val="0"/>
        </w:rPr>
        <w:t xml:space="preserve">School Nutrition</w:t>
      </w:r>
    </w:p>
    <w:p w:rsidR="00000000" w:rsidDel="00000000" w:rsidP="00000000" w:rsidRDefault="00000000" w:rsidRPr="00000000" w14:paraId="000000A3">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A4">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5">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A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tl w:val="0"/>
        </w:rPr>
      </w:r>
    </w:p>
    <w:p w:rsidR="00000000" w:rsidDel="00000000" w:rsidP="00000000" w:rsidRDefault="00000000" w:rsidRPr="00000000" w14:paraId="000000A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A8">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A9">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AA">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AB">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AC">
            <w:pPr>
              <w:pStyle w:val="Heading4"/>
              <w:rPr>
                <w:b w:val="0"/>
                <w:color w:val="000000"/>
                <w:sz w:val="24"/>
                <w:szCs w:val="24"/>
              </w:rPr>
            </w:pPr>
            <w:bookmarkStart w:colFirst="0" w:colLast="0" w:name="_heading=h.ygv7dz13lf9j" w:id="3"/>
            <w:bookmarkEnd w:id="3"/>
            <w:r w:rsidDel="00000000" w:rsidR="00000000" w:rsidRPr="00000000">
              <w:rPr>
                <w:b w:val="0"/>
                <w:sz w:val="24"/>
                <w:szCs w:val="24"/>
                <w:rtl w:val="0"/>
              </w:rPr>
              <w:t xml:space="preserve">Actions Related to In-Person Instructional Offerings</w:t>
            </w:r>
            <w:r w:rsidDel="00000000" w:rsidR="00000000" w:rsidRPr="00000000">
              <w:rPr>
                <w:rtl w:val="0"/>
              </w:rPr>
            </w:r>
          </w:p>
        </w:tc>
        <w:tc>
          <w:tcPr/>
          <w:p w:rsidR="00000000" w:rsidDel="00000000" w:rsidP="00000000" w:rsidRDefault="00000000" w:rsidRPr="00000000" w14:paraId="000000AD">
            <w:pPr>
              <w:tabs>
                <w:tab w:val="left" w:pos="5093"/>
              </w:tabs>
              <w:rPr>
                <w:color w:val="000000"/>
              </w:rPr>
            </w:pPr>
            <w:r w:rsidDel="00000000" w:rsidR="00000000" w:rsidRPr="00000000">
              <w:rPr>
                <w:rtl w:val="0"/>
              </w:rPr>
              <w:t xml:space="preserve">Hire a School Nurse and Design a state-of the art Nurse’s office </w:t>
            </w:r>
            <w:r w:rsidDel="00000000" w:rsidR="00000000" w:rsidRPr="00000000">
              <w:rPr>
                <w:rtl w:val="0"/>
              </w:rPr>
            </w:r>
          </w:p>
        </w:tc>
        <w:tc>
          <w:tcPr>
            <w:shd w:fill="auto" w:val="clear"/>
          </w:tcPr>
          <w:p w:rsidR="00000000" w:rsidDel="00000000" w:rsidP="00000000" w:rsidRDefault="00000000" w:rsidRPr="00000000" w14:paraId="000000AE">
            <w:pPr>
              <w:tabs>
                <w:tab w:val="left" w:pos="5093"/>
              </w:tabs>
              <w:jc w:val="center"/>
              <w:rPr>
                <w:color w:val="000000"/>
              </w:rPr>
            </w:pPr>
            <w:r w:rsidDel="00000000" w:rsidR="00000000" w:rsidRPr="00000000">
              <w:rPr>
                <w:rtl w:val="0"/>
              </w:rPr>
              <w:t xml:space="preserve">$110,000</w:t>
            </w:r>
            <w:r w:rsidDel="00000000" w:rsidR="00000000" w:rsidRPr="00000000">
              <w:rPr>
                <w:rtl w:val="0"/>
              </w:rPr>
            </w:r>
          </w:p>
        </w:tc>
        <w:tc>
          <w:tcPr/>
          <w:p w:rsidR="00000000" w:rsidDel="00000000" w:rsidP="00000000" w:rsidRDefault="00000000" w:rsidRPr="00000000" w14:paraId="000000AF">
            <w:pPr>
              <w:tabs>
                <w:tab w:val="left" w:pos="5093"/>
              </w:tabs>
              <w:jc w:val="center"/>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r w:rsidDel="00000000" w:rsidR="00000000" w:rsidRPr="00000000">
              <w:rPr>
                <w:rtl w:val="0"/>
              </w:rPr>
            </w:r>
          </w:p>
        </w:tc>
      </w:tr>
      <w:tr>
        <w:tc>
          <w:tcPr>
            <w:shd w:fill="auto" w:val="clear"/>
          </w:tcPr>
          <w:p w:rsidR="00000000" w:rsidDel="00000000" w:rsidP="00000000" w:rsidRDefault="00000000" w:rsidRPr="00000000" w14:paraId="000000B0">
            <w:pPr>
              <w:pStyle w:val="Heading4"/>
              <w:rPr>
                <w:b w:val="0"/>
                <w:sz w:val="24"/>
                <w:szCs w:val="24"/>
              </w:rPr>
            </w:pPr>
            <w:bookmarkStart w:colFirst="0" w:colLast="0" w:name="_heading=h.4xzod0r30y43" w:id="4"/>
            <w:bookmarkEnd w:id="4"/>
            <w:r w:rsidDel="00000000" w:rsidR="00000000" w:rsidRPr="00000000">
              <w:rPr>
                <w:b w:val="0"/>
                <w:sz w:val="24"/>
                <w:szCs w:val="24"/>
                <w:rtl w:val="0"/>
              </w:rPr>
              <w:t xml:space="preserve">Actions Related to In-Person Instructional Offerings</w:t>
            </w:r>
          </w:p>
        </w:tc>
        <w:tc>
          <w:tcPr/>
          <w:p w:rsidR="00000000" w:rsidDel="00000000" w:rsidP="00000000" w:rsidRDefault="00000000" w:rsidRPr="00000000" w14:paraId="000000B1">
            <w:pPr>
              <w:tabs>
                <w:tab w:val="left" w:pos="5093"/>
              </w:tabs>
              <w:rPr/>
            </w:pPr>
            <w:r w:rsidDel="00000000" w:rsidR="00000000" w:rsidRPr="00000000">
              <w:rPr>
                <w:rtl w:val="0"/>
              </w:rPr>
              <w:t xml:space="preserve">Washer and Dryer Piping, Electrical, and Installation </w:t>
            </w:r>
          </w:p>
        </w:tc>
        <w:tc>
          <w:tcPr>
            <w:shd w:fill="auto" w:val="clear"/>
          </w:tcPr>
          <w:p w:rsidR="00000000" w:rsidDel="00000000" w:rsidP="00000000" w:rsidRDefault="00000000" w:rsidRPr="00000000" w14:paraId="000000B2">
            <w:pPr>
              <w:tabs>
                <w:tab w:val="left" w:pos="5093"/>
              </w:tabs>
              <w:jc w:val="center"/>
              <w:rPr/>
            </w:pPr>
            <w:r w:rsidDel="00000000" w:rsidR="00000000" w:rsidRPr="00000000">
              <w:rPr>
                <w:rtl w:val="0"/>
              </w:rPr>
              <w:t xml:space="preserve">$15,000</w:t>
            </w:r>
          </w:p>
        </w:tc>
        <w:tc>
          <w:tcPr/>
          <w:p w:rsidR="00000000" w:rsidDel="00000000" w:rsidP="00000000" w:rsidRDefault="00000000" w:rsidRPr="00000000" w14:paraId="000000B3">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bl>
    <w:p w:rsidR="00000000" w:rsidDel="00000000" w:rsidP="00000000" w:rsidRDefault="00000000" w:rsidRPr="00000000" w14:paraId="000000B4">
      <w:pPr>
        <w:pStyle w:val="Heading2"/>
        <w:rPr/>
      </w:pPr>
      <w:r w:rsidDel="00000000" w:rsidR="00000000" w:rsidRPr="00000000">
        <w:rPr>
          <w:rtl w:val="0"/>
        </w:rPr>
        <w:t xml:space="preserve">Increased or Improved Services for Foster Youth, English Learners, and Low-Income Students</w:t>
      </w:r>
    </w:p>
    <w:tbl>
      <w:tblPr>
        <w:tblStyle w:val="Table6"/>
        <w:tblW w:w="15270.0" w:type="dxa"/>
        <w:jc w:val="left"/>
        <w:tblInd w:w="-15.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75"/>
        <w:gridCol w:w="10395"/>
        <w:tblGridChange w:id="0">
          <w:tblGrid>
            <w:gridCol w:w="4875"/>
            <w:gridCol w:w="10395"/>
          </w:tblGrid>
        </w:tblGridChange>
      </w:tblGrid>
      <w:tr>
        <w:tc>
          <w:tcPr>
            <w:shd w:fill="e2efd9" w:val="clear"/>
            <w:vAlign w:val="center"/>
          </w:tcPr>
          <w:p w:rsidR="00000000" w:rsidDel="00000000" w:rsidP="00000000" w:rsidRDefault="00000000" w:rsidRPr="00000000" w14:paraId="000000B5">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0B6">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auto" w:val="clear"/>
          </w:tcPr>
          <w:p w:rsidR="00000000" w:rsidDel="00000000" w:rsidP="00000000" w:rsidRDefault="00000000" w:rsidRPr="00000000" w14:paraId="000000B7">
            <w:pPr>
              <w:spacing w:after="40" w:before="40" w:lineRule="auto"/>
              <w:rPr>
                <w:color w:val="000000"/>
              </w:rPr>
            </w:pPr>
            <w:r w:rsidDel="00000000" w:rsidR="00000000" w:rsidRPr="00000000">
              <w:rPr>
                <w:color w:val="000000"/>
                <w:rtl w:val="0"/>
              </w:rPr>
              <w:t xml:space="preserve">[Insert percentage here]%</w:t>
            </w:r>
          </w:p>
        </w:tc>
        <w:tc>
          <w:tcPr>
            <w:shd w:fill="auto" w:val="clear"/>
          </w:tcPr>
          <w:p w:rsidR="00000000" w:rsidDel="00000000" w:rsidP="00000000" w:rsidRDefault="00000000" w:rsidRPr="00000000" w14:paraId="000000B8">
            <w:pPr>
              <w:spacing w:after="40" w:before="40" w:lineRule="auto"/>
              <w:rPr>
                <w:color w:val="000000"/>
              </w:rPr>
            </w:pPr>
            <w:r w:rsidDel="00000000" w:rsidR="00000000" w:rsidRPr="00000000">
              <w:rPr>
                <w:color w:val="000000"/>
                <w:rtl w:val="0"/>
              </w:rPr>
              <w:t xml:space="preserve">[Insert dollar amount here] </w:t>
            </w:r>
          </w:p>
        </w:tc>
      </w:tr>
    </w:tbl>
    <w:p w:rsidR="00000000" w:rsidDel="00000000" w:rsidP="00000000" w:rsidRDefault="00000000" w:rsidRPr="00000000" w14:paraId="000000B9">
      <w:pPr>
        <w:pStyle w:val="Heading3"/>
        <w:rPr/>
      </w:pPr>
      <w:r w:rsidDel="00000000" w:rsidR="00000000" w:rsidRPr="00000000">
        <w:rPr>
          <w:rtl w:val="0"/>
        </w:rPr>
        <w:t xml:space="preserve">Required Descriptions</w:t>
      </w:r>
    </w:p>
    <w:p w:rsidR="00000000" w:rsidDel="00000000" w:rsidP="00000000" w:rsidRDefault="00000000" w:rsidRPr="00000000" w14:paraId="000000BA">
      <w:pPr>
        <w:shd w:fill="e2efd9" w:val="clear"/>
        <w:spacing w:after="120" w:line="240" w:lineRule="auto"/>
        <w:rPr>
          <w:rFonts w:ascii="Arial" w:cs="Arial" w:eastAsia="Arial" w:hAnsi="Arial"/>
          <w:color w:val="000000"/>
          <w:sz w:val="24"/>
          <w:szCs w:val="24"/>
        </w:rPr>
      </w:pPr>
      <w:bookmarkStart w:colFirst="0" w:colLast="0" w:name="_heading=h.1fob9te" w:id="5"/>
      <w:bookmarkEnd w:id="5"/>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0B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description here]</w:t>
      </w:r>
    </w:p>
    <w:p w:rsidR="00000000" w:rsidDel="00000000" w:rsidP="00000000" w:rsidRDefault="00000000" w:rsidRPr="00000000" w14:paraId="000000BC">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0B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Services to these sub-groups have been increased especially for English Learners who are easily identified. Low-income students have been a part of our school (70+% Title 1), so including their concerns are typical for all planning and budgeting. Because we are doing as much or more follow-up since students can more easily drop off of one class or another, there are more opportunities to find out more about a student’s situation. Clerical staff are making at least as many phone calls. Teachers are making more calls to students and writing more emails to students and families. The entire educational program has been receiving more scrutiny and intentional decision making since last Fall (2019), renewed in February and March, and then into the beginning of this academic year (2020-2021). </w:t>
      </w: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sectPr>
      <w:footerReference r:id="rId10" w:type="default"/>
      <w:footerReference r:id="rId11" w:type="first"/>
      <w:pgSz w:h="12240" w:w="15840"/>
      <w:pgMar w:bottom="288" w:top="288" w:left="288" w:right="288" w:header="432"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0-09-09T05:12:03Z">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a few more paragraphs to general information, please review if any changes need to be made.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cde.ca.gov/re/lc/documents/lrngcntntyatndncpln-instructions.doc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ev/UJVLxDDZJz+NNSSa1BOy6A==">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