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F1F65" w14:textId="77777777" w:rsidR="00916730" w:rsidRDefault="007864B0">
      <w:pPr>
        <w:ind w:firstLine="3"/>
        <w:jc w:val="center"/>
        <w:rPr>
          <w:b/>
          <w:color w:val="000000"/>
          <w:sz w:val="18"/>
          <w:szCs w:val="18"/>
        </w:rPr>
      </w:pPr>
      <w:r>
        <w:rPr>
          <w:b/>
          <w:noProof/>
          <w:color w:val="000000"/>
          <w:sz w:val="18"/>
          <w:szCs w:val="18"/>
        </w:rPr>
        <w:drawing>
          <wp:inline distT="0" distB="0" distL="0" distR="0" wp14:anchorId="30196BFC" wp14:editId="5A508022">
            <wp:extent cx="993274" cy="86059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93274" cy="860598"/>
                    </a:xfrm>
                    <a:prstGeom prst="rect">
                      <a:avLst/>
                    </a:prstGeom>
                    <a:ln/>
                  </pic:spPr>
                </pic:pic>
              </a:graphicData>
            </a:graphic>
          </wp:inline>
        </w:drawing>
      </w:r>
      <w:r>
        <w:rPr>
          <w:b/>
          <w:color w:val="000000"/>
          <w:sz w:val="18"/>
          <w:szCs w:val="18"/>
        </w:rPr>
        <w:t xml:space="preserve">         </w:t>
      </w:r>
      <w:r>
        <w:rPr>
          <w:b/>
          <w:color w:val="000000"/>
          <w:sz w:val="18"/>
          <w:szCs w:val="18"/>
        </w:rPr>
        <w:tab/>
      </w:r>
      <w:r>
        <w:rPr>
          <w:b/>
          <w:color w:val="000000"/>
          <w:sz w:val="18"/>
          <w:szCs w:val="18"/>
        </w:rPr>
        <w:tab/>
        <w:t xml:space="preserve">     </w:t>
      </w:r>
      <w:r>
        <w:rPr>
          <w:b/>
          <w:noProof/>
          <w:color w:val="000000"/>
          <w:sz w:val="18"/>
          <w:szCs w:val="18"/>
        </w:rPr>
        <w:drawing>
          <wp:inline distT="0" distB="0" distL="0" distR="0" wp14:anchorId="5D506D2B" wp14:editId="7178FC22">
            <wp:extent cx="719158" cy="71915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9158" cy="719158"/>
                    </a:xfrm>
                    <a:prstGeom prst="rect">
                      <a:avLst/>
                    </a:prstGeom>
                    <a:ln/>
                  </pic:spPr>
                </pic:pic>
              </a:graphicData>
            </a:graphic>
          </wp:inline>
        </w:drawing>
      </w:r>
    </w:p>
    <w:p w14:paraId="26345051" w14:textId="77777777" w:rsidR="00916730" w:rsidRDefault="00916730">
      <w:pPr>
        <w:ind w:left="132" w:firstLine="3"/>
        <w:jc w:val="both"/>
        <w:rPr>
          <w:b/>
          <w:color w:val="000000"/>
          <w:sz w:val="18"/>
          <w:szCs w:val="18"/>
        </w:rPr>
      </w:pPr>
    </w:p>
    <w:p w14:paraId="3FF9F92F" w14:textId="77777777" w:rsidR="00916730" w:rsidRDefault="00916730">
      <w:pPr>
        <w:ind w:left="132" w:firstLine="3"/>
        <w:jc w:val="both"/>
        <w:rPr>
          <w:b/>
          <w:color w:val="000000"/>
          <w:sz w:val="18"/>
          <w:szCs w:val="18"/>
        </w:rPr>
      </w:pPr>
    </w:p>
    <w:p w14:paraId="73D95E08" w14:textId="77777777" w:rsidR="00916730" w:rsidRDefault="007864B0">
      <w:pPr>
        <w:ind w:left="132" w:firstLine="3"/>
        <w:jc w:val="center"/>
        <w:rPr>
          <w:b/>
          <w:smallCaps/>
          <w:sz w:val="24"/>
          <w:szCs w:val="24"/>
          <w:u w:val="single"/>
        </w:rPr>
      </w:pPr>
      <w:r>
        <w:rPr>
          <w:b/>
          <w:smallCaps/>
          <w:sz w:val="24"/>
          <w:szCs w:val="24"/>
          <w:u w:val="single"/>
        </w:rPr>
        <w:t>AMENDMENT OF SECTION IV.</w:t>
      </w:r>
    </w:p>
    <w:p w14:paraId="74F95090" w14:textId="77777777" w:rsidR="00916730" w:rsidRDefault="007864B0">
      <w:pPr>
        <w:ind w:left="132" w:firstLine="3"/>
        <w:jc w:val="center"/>
        <w:rPr>
          <w:b/>
          <w:color w:val="000000"/>
          <w:sz w:val="18"/>
          <w:szCs w:val="18"/>
        </w:rPr>
      </w:pPr>
      <w:r>
        <w:rPr>
          <w:b/>
          <w:smallCaps/>
          <w:color w:val="000000"/>
          <w:sz w:val="17"/>
          <w:szCs w:val="17"/>
          <w:u w:val="single"/>
        </w:rPr>
        <w:t>AGREEMENT FOR AFTER SCHOOL PROGRAM SERVICES &amp; FUNDING</w:t>
      </w:r>
    </w:p>
    <w:p w14:paraId="1B94A7AA" w14:textId="740A6E70" w:rsidR="00916730" w:rsidRDefault="007864B0">
      <w:pPr>
        <w:jc w:val="both"/>
        <w:rPr>
          <w:color w:val="000000"/>
          <w:sz w:val="18"/>
          <w:szCs w:val="18"/>
        </w:rPr>
      </w:pPr>
      <w:r>
        <w:rPr>
          <w:b/>
          <w:color w:val="000000"/>
          <w:sz w:val="18"/>
          <w:szCs w:val="18"/>
        </w:rPr>
        <w:t xml:space="preserve">This Agreement for After School Program Services &amp; Funding (“Agreement”) establishes the material terms of the business relationship between Bay Area Community Resources ("BACR") and American Indian Model Schools </w:t>
      </w:r>
      <w:r>
        <w:rPr>
          <w:b/>
          <w:color w:val="000000"/>
          <w:sz w:val="18"/>
          <w:szCs w:val="18"/>
        </w:rPr>
        <w:t>(“AIMS” or “School”) for</w:t>
      </w:r>
      <w:r w:rsidR="00A51994">
        <w:rPr>
          <w:b/>
          <w:color w:val="000000"/>
          <w:sz w:val="18"/>
          <w:szCs w:val="18"/>
        </w:rPr>
        <w:t xml:space="preserve"> American Indian Public Charter and American Indian Public Charter School II for</w:t>
      </w:r>
      <w:bookmarkStart w:id="0" w:name="_GoBack"/>
      <w:bookmarkEnd w:id="0"/>
      <w:r>
        <w:rPr>
          <w:b/>
          <w:color w:val="000000"/>
          <w:sz w:val="18"/>
          <w:szCs w:val="18"/>
        </w:rPr>
        <w:t xml:space="preserve"> the provision of c</w:t>
      </w:r>
      <w:r>
        <w:rPr>
          <w:b/>
          <w:color w:val="000000"/>
          <w:sz w:val="18"/>
          <w:szCs w:val="18"/>
        </w:rPr>
        <w:t>ertain educational services (as further detailed below) at the AIMS school site during the 2019-20 school year.  BACR and AIMS are each referred to individually as a “Party,” and collectively as the “Parties.”  This Agreement is effective upon execution by</w:t>
      </w:r>
      <w:r>
        <w:rPr>
          <w:b/>
          <w:color w:val="000000"/>
          <w:sz w:val="18"/>
          <w:szCs w:val="18"/>
        </w:rPr>
        <w:t xml:space="preserve"> representatives of each Party (“Effective Date”).  </w:t>
      </w:r>
    </w:p>
    <w:p w14:paraId="30F0E845" w14:textId="77777777" w:rsidR="00916730" w:rsidRDefault="00916730">
      <w:pPr>
        <w:pBdr>
          <w:top w:val="nil"/>
          <w:left w:val="nil"/>
          <w:bottom w:val="nil"/>
          <w:right w:val="nil"/>
          <w:between w:val="nil"/>
        </w:pBdr>
        <w:jc w:val="both"/>
        <w:rPr>
          <w:color w:val="000000"/>
          <w:sz w:val="18"/>
          <w:szCs w:val="18"/>
        </w:rPr>
      </w:pPr>
    </w:p>
    <w:p w14:paraId="250B6BCC" w14:textId="77777777" w:rsidR="00916730" w:rsidRDefault="007864B0">
      <w:pPr>
        <w:pBdr>
          <w:top w:val="nil"/>
          <w:left w:val="nil"/>
          <w:bottom w:val="nil"/>
          <w:right w:val="nil"/>
          <w:between w:val="nil"/>
        </w:pBdr>
        <w:ind w:left="720"/>
        <w:jc w:val="both"/>
        <w:rPr>
          <w:smallCaps/>
          <w:color w:val="000000"/>
          <w:sz w:val="18"/>
          <w:szCs w:val="18"/>
        </w:rPr>
      </w:pPr>
      <w:r>
        <w:rPr>
          <w:b/>
          <w:smallCaps/>
          <w:sz w:val="18"/>
          <w:szCs w:val="18"/>
        </w:rPr>
        <w:t xml:space="preserve">IV.  </w:t>
      </w:r>
      <w:r>
        <w:rPr>
          <w:b/>
          <w:smallCaps/>
          <w:color w:val="000000"/>
          <w:sz w:val="18"/>
          <w:szCs w:val="18"/>
        </w:rPr>
        <w:t>PROGRAM BUDGET AND MANAGEMENT FEE</w:t>
      </w:r>
    </w:p>
    <w:p w14:paraId="42332496" w14:textId="77777777" w:rsidR="00916730" w:rsidRDefault="00916730">
      <w:pPr>
        <w:pBdr>
          <w:top w:val="nil"/>
          <w:left w:val="nil"/>
          <w:bottom w:val="nil"/>
          <w:right w:val="nil"/>
          <w:between w:val="nil"/>
        </w:pBdr>
        <w:ind w:left="720"/>
        <w:jc w:val="both"/>
        <w:rPr>
          <w:color w:val="000000"/>
          <w:sz w:val="18"/>
          <w:szCs w:val="18"/>
        </w:rPr>
      </w:pPr>
    </w:p>
    <w:p w14:paraId="3F0F602A" w14:textId="64DF0AD3" w:rsidR="00916730" w:rsidRPr="00A51994" w:rsidRDefault="007864B0" w:rsidP="00A51994">
      <w:pPr>
        <w:pBdr>
          <w:top w:val="nil"/>
          <w:left w:val="nil"/>
          <w:bottom w:val="nil"/>
          <w:right w:val="nil"/>
          <w:between w:val="nil"/>
        </w:pBdr>
        <w:ind w:left="720"/>
        <w:jc w:val="both"/>
        <w:rPr>
          <w:b/>
          <w:sz w:val="18"/>
          <w:szCs w:val="18"/>
          <w:highlight w:val="white"/>
        </w:rPr>
      </w:pPr>
      <w:bookmarkStart w:id="1" w:name="_heading=h.gjdgxs" w:colFirst="0" w:colLast="0"/>
      <w:bookmarkEnd w:id="1"/>
      <w:r>
        <w:rPr>
          <w:b/>
          <w:color w:val="000000"/>
          <w:sz w:val="18"/>
          <w:szCs w:val="18"/>
          <w:highlight w:val="white"/>
        </w:rPr>
        <w:t>The budget for the Program at AIMS for the 2019-20 year is</w:t>
      </w:r>
      <w:r>
        <w:rPr>
          <w:b/>
          <w:sz w:val="18"/>
          <w:szCs w:val="18"/>
          <w:highlight w:val="white"/>
        </w:rPr>
        <w:t xml:space="preserve"> $354,764 After School Education &amp; Safety Program (ASES).  </w:t>
      </w:r>
      <w:r>
        <w:rPr>
          <w:b/>
          <w:color w:val="000000"/>
          <w:sz w:val="18"/>
          <w:szCs w:val="18"/>
          <w:highlight w:val="white"/>
        </w:rPr>
        <w:t xml:space="preserve">AIMS will contribute </w:t>
      </w:r>
      <w:r>
        <w:rPr>
          <w:b/>
          <w:sz w:val="18"/>
          <w:szCs w:val="18"/>
          <w:highlight w:val="white"/>
        </w:rPr>
        <w:t xml:space="preserve">School Day funds of </w:t>
      </w:r>
      <w:r>
        <w:rPr>
          <w:b/>
          <w:color w:val="000000"/>
          <w:sz w:val="18"/>
          <w:szCs w:val="18"/>
          <w:highlight w:val="white"/>
        </w:rPr>
        <w:t>$</w:t>
      </w:r>
      <w:r>
        <w:rPr>
          <w:b/>
          <w:sz w:val="18"/>
          <w:szCs w:val="18"/>
          <w:highlight w:val="white"/>
        </w:rPr>
        <w:t>40,</w:t>
      </w:r>
      <w:r>
        <w:rPr>
          <w:b/>
          <w:sz w:val="18"/>
          <w:szCs w:val="18"/>
          <w:highlight w:val="white"/>
        </w:rPr>
        <w:t xml:space="preserve">000.  </w:t>
      </w:r>
      <w:r>
        <w:rPr>
          <w:color w:val="000000"/>
          <w:sz w:val="18"/>
          <w:szCs w:val="18"/>
          <w:highlight w:val="white"/>
        </w:rPr>
        <w:t xml:space="preserve"> </w:t>
      </w:r>
    </w:p>
    <w:p w14:paraId="4BE904A6" w14:textId="77777777" w:rsidR="00916730" w:rsidRDefault="00916730">
      <w:pPr>
        <w:pBdr>
          <w:top w:val="nil"/>
          <w:left w:val="nil"/>
          <w:bottom w:val="nil"/>
          <w:right w:val="nil"/>
          <w:between w:val="nil"/>
        </w:pBdr>
        <w:jc w:val="both"/>
        <w:rPr>
          <w:color w:val="000000"/>
          <w:sz w:val="18"/>
          <w:szCs w:val="18"/>
        </w:rPr>
      </w:pPr>
    </w:p>
    <w:p w14:paraId="45642288" w14:textId="77777777" w:rsidR="00916730" w:rsidRDefault="007864B0">
      <w:pPr>
        <w:pBdr>
          <w:top w:val="nil"/>
          <w:left w:val="nil"/>
          <w:bottom w:val="nil"/>
          <w:right w:val="nil"/>
          <w:between w:val="nil"/>
        </w:pBdr>
        <w:ind w:left="720"/>
        <w:jc w:val="both"/>
        <w:rPr>
          <w:color w:val="000000"/>
          <w:sz w:val="18"/>
          <w:szCs w:val="18"/>
        </w:rPr>
      </w:pPr>
      <w:r>
        <w:rPr>
          <w:color w:val="000000"/>
          <w:sz w:val="18"/>
          <w:szCs w:val="18"/>
        </w:rPr>
        <w:t xml:space="preserve">School staff and BACR staff will meet no later than the third Friday of each month in order to review various Program-related matters, including enrollment numbers and Program Fee collections. </w:t>
      </w:r>
    </w:p>
    <w:p w14:paraId="2D8D8729" w14:textId="77777777" w:rsidR="00916730" w:rsidRDefault="00916730">
      <w:pPr>
        <w:pBdr>
          <w:top w:val="nil"/>
          <w:left w:val="nil"/>
          <w:bottom w:val="nil"/>
          <w:right w:val="nil"/>
          <w:between w:val="nil"/>
        </w:pBdr>
        <w:ind w:left="720"/>
        <w:jc w:val="both"/>
        <w:rPr>
          <w:color w:val="000000"/>
          <w:sz w:val="18"/>
          <w:szCs w:val="18"/>
        </w:rPr>
      </w:pPr>
    </w:p>
    <w:p w14:paraId="2986FBE0" w14:textId="77777777" w:rsidR="00916730" w:rsidRDefault="007864B0">
      <w:pPr>
        <w:widowControl/>
        <w:shd w:val="clear" w:color="auto" w:fill="FFFFFF"/>
        <w:ind w:left="720"/>
        <w:rPr>
          <w:color w:val="222222"/>
        </w:rPr>
      </w:pPr>
      <w:r>
        <w:rPr>
          <w:color w:val="000000"/>
          <w:sz w:val="18"/>
          <w:szCs w:val="18"/>
        </w:rPr>
        <w:t>At this monthly meeting, BACR will provide AIMS a written report of Program Fees it has collected from the parents of Program participants for the prior month, as well as any overdue Program Fees and late fees for that same month (“Program Fees Report”). I</w:t>
      </w:r>
      <w:r>
        <w:rPr>
          <w:color w:val="000000"/>
          <w:sz w:val="18"/>
          <w:szCs w:val="18"/>
        </w:rPr>
        <w:t>n the event that Program Fee collections are below</w:t>
      </w:r>
      <w:r>
        <w:rPr>
          <w:color w:val="222222"/>
          <w:sz w:val="18"/>
          <w:szCs w:val="18"/>
        </w:rPr>
        <w:t> </w:t>
      </w:r>
      <w:r>
        <w:rPr>
          <w:sz w:val="18"/>
          <w:szCs w:val="18"/>
        </w:rPr>
        <w:t>$84,250</w:t>
      </w:r>
      <w:r>
        <w:rPr>
          <w:color w:val="000000"/>
          <w:sz w:val="18"/>
          <w:szCs w:val="18"/>
        </w:rPr>
        <w:t>, AIMS will fund any shortfall, regardless of amount.  In addition, AIMS will fund any related late fees not already paid, as described above in Section (II)(C)(6).  BACR will invoice AIMS for the s</w:t>
      </w:r>
      <w:r>
        <w:rPr>
          <w:color w:val="000000"/>
          <w:sz w:val="18"/>
          <w:szCs w:val="18"/>
        </w:rPr>
        <w:t>hortfall, if any, and payment by the School will be made within thirty (30) days of issuance of BACR's invoice.</w:t>
      </w:r>
    </w:p>
    <w:p w14:paraId="3A797AE5" w14:textId="77777777" w:rsidR="00916730" w:rsidRDefault="007864B0">
      <w:pPr>
        <w:widowControl/>
        <w:shd w:val="clear" w:color="auto" w:fill="FFFFFF"/>
        <w:ind w:left="720"/>
        <w:rPr>
          <w:color w:val="222222"/>
        </w:rPr>
      </w:pPr>
      <w:r>
        <w:rPr>
          <w:color w:val="000000"/>
          <w:sz w:val="18"/>
          <w:szCs w:val="18"/>
        </w:rPr>
        <w:t> </w:t>
      </w:r>
    </w:p>
    <w:p w14:paraId="616C77B5" w14:textId="77777777" w:rsidR="00916730" w:rsidRDefault="007864B0">
      <w:pPr>
        <w:widowControl/>
        <w:shd w:val="clear" w:color="auto" w:fill="FFFFFF"/>
        <w:ind w:left="720"/>
        <w:rPr>
          <w:color w:val="222222"/>
        </w:rPr>
      </w:pPr>
      <w:r>
        <w:rPr>
          <w:color w:val="000000"/>
          <w:sz w:val="18"/>
          <w:szCs w:val="18"/>
        </w:rPr>
        <w:t>For the sake of clarity, the Parties expressly agree that the School (not BACR), shall solely fund any shortfall in collections of Program Fee</w:t>
      </w:r>
      <w:r>
        <w:rPr>
          <w:color w:val="000000"/>
          <w:sz w:val="18"/>
          <w:szCs w:val="18"/>
        </w:rPr>
        <w:t>s, whether such shortfall is caused by lower than expected enrollment, non-payment by Program participants, or any other reason.  But for this express agreement and commitment by AIMS, BACR would not enter into this Agreement on these terms.  </w:t>
      </w:r>
    </w:p>
    <w:p w14:paraId="193956C3" w14:textId="77777777" w:rsidR="00916730" w:rsidRDefault="00916730">
      <w:pPr>
        <w:pBdr>
          <w:top w:val="nil"/>
          <w:left w:val="nil"/>
          <w:bottom w:val="nil"/>
          <w:right w:val="nil"/>
          <w:between w:val="nil"/>
        </w:pBdr>
        <w:ind w:left="720"/>
        <w:jc w:val="both"/>
        <w:rPr>
          <w:color w:val="000000"/>
          <w:sz w:val="18"/>
          <w:szCs w:val="18"/>
        </w:rPr>
      </w:pPr>
    </w:p>
    <w:p w14:paraId="47C241EB" w14:textId="77777777" w:rsidR="00916730" w:rsidRDefault="007864B0">
      <w:pPr>
        <w:pBdr>
          <w:top w:val="nil"/>
          <w:left w:val="nil"/>
          <w:bottom w:val="nil"/>
          <w:right w:val="nil"/>
          <w:between w:val="nil"/>
        </w:pBdr>
        <w:ind w:left="720"/>
        <w:jc w:val="both"/>
        <w:rPr>
          <w:color w:val="000000"/>
          <w:sz w:val="18"/>
          <w:szCs w:val="18"/>
        </w:rPr>
      </w:pPr>
      <w:r>
        <w:rPr>
          <w:color w:val="000000"/>
          <w:sz w:val="18"/>
          <w:szCs w:val="18"/>
        </w:rPr>
        <w:t>In the even</w:t>
      </w:r>
      <w:r>
        <w:rPr>
          <w:color w:val="000000"/>
          <w:sz w:val="18"/>
          <w:szCs w:val="18"/>
        </w:rPr>
        <w:t>t BACR receives payment of any Program Fees after the School has covered the same, e.g., in the event of an exceptionally late payment by Program participant to BACR, then BACR shall report the same to the School as part of the monthly meeting and that amo</w:t>
      </w:r>
      <w:r>
        <w:rPr>
          <w:color w:val="000000"/>
          <w:sz w:val="18"/>
          <w:szCs w:val="18"/>
        </w:rPr>
        <w:t xml:space="preserve">unt shall be used to offset any future payment of the Management Fee, so that BACR does not receive double payment at any time.  </w:t>
      </w:r>
    </w:p>
    <w:p w14:paraId="0267AE5D" w14:textId="77777777" w:rsidR="00916730" w:rsidRDefault="00916730">
      <w:pPr>
        <w:pBdr>
          <w:top w:val="nil"/>
          <w:left w:val="nil"/>
          <w:bottom w:val="nil"/>
          <w:right w:val="nil"/>
          <w:between w:val="nil"/>
        </w:pBdr>
        <w:ind w:left="720"/>
        <w:jc w:val="both"/>
        <w:rPr>
          <w:color w:val="000000"/>
          <w:sz w:val="18"/>
          <w:szCs w:val="18"/>
        </w:rPr>
      </w:pPr>
    </w:p>
    <w:p w14:paraId="5E98DF07" w14:textId="77777777" w:rsidR="00916730" w:rsidRDefault="007864B0">
      <w:pPr>
        <w:pBdr>
          <w:top w:val="nil"/>
          <w:left w:val="nil"/>
          <w:bottom w:val="nil"/>
          <w:right w:val="nil"/>
          <w:between w:val="nil"/>
        </w:pBdr>
        <w:ind w:left="720"/>
        <w:jc w:val="both"/>
        <w:rPr>
          <w:color w:val="000000"/>
          <w:sz w:val="18"/>
          <w:szCs w:val="18"/>
        </w:rPr>
      </w:pPr>
      <w:r>
        <w:rPr>
          <w:color w:val="000000"/>
          <w:sz w:val="18"/>
          <w:szCs w:val="18"/>
        </w:rPr>
        <w:t>If enrollment trends over two (2) or more consecutive months indicate more than a 10% change in Program enrollment as compare</w:t>
      </w:r>
      <w:r>
        <w:rPr>
          <w:color w:val="000000"/>
          <w:sz w:val="18"/>
          <w:szCs w:val="18"/>
        </w:rPr>
        <w:t>d to the current expected level of 140 participants, then the Parties will meet and confer on proposed changes to Program-related terms, including staffing, student groupings, and the Management Fee on a go-forward basis (i.e., non-retroactive) following e</w:t>
      </w:r>
      <w:r>
        <w:rPr>
          <w:color w:val="000000"/>
          <w:sz w:val="18"/>
          <w:szCs w:val="18"/>
        </w:rPr>
        <w:t xml:space="preserve">xecution of any addendum.  The Parties will document the results of any such discussions and memorialize any related changes in an addendum to this Agreement.   </w:t>
      </w:r>
    </w:p>
    <w:p w14:paraId="29B1070F" w14:textId="77777777" w:rsidR="00916730" w:rsidRDefault="007864B0">
      <w:pPr>
        <w:widowControl/>
        <w:pBdr>
          <w:top w:val="nil"/>
          <w:left w:val="nil"/>
          <w:bottom w:val="nil"/>
          <w:right w:val="nil"/>
          <w:between w:val="nil"/>
        </w:pBdr>
        <w:rPr>
          <w:color w:val="000000"/>
          <w:sz w:val="18"/>
          <w:szCs w:val="18"/>
        </w:rPr>
      </w:pPr>
      <w:r>
        <w:rPr>
          <w:color w:val="000000"/>
          <w:sz w:val="18"/>
          <w:szCs w:val="18"/>
        </w:rPr>
        <w:t>Effective as of the Date noted above upon signature of both parties.</w:t>
      </w:r>
    </w:p>
    <w:p w14:paraId="07688A11" w14:textId="77777777" w:rsidR="00916730" w:rsidRDefault="00916730">
      <w:pPr>
        <w:jc w:val="both"/>
        <w:rPr>
          <w:color w:val="000000"/>
          <w:sz w:val="18"/>
          <w:szCs w:val="18"/>
        </w:rPr>
      </w:pP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916730" w14:paraId="1CCB8BEB" w14:textId="77777777">
        <w:tc>
          <w:tcPr>
            <w:tcW w:w="4675" w:type="dxa"/>
          </w:tcPr>
          <w:p w14:paraId="508569D1" w14:textId="77777777" w:rsidR="00916730" w:rsidRDefault="007864B0">
            <w:pPr>
              <w:jc w:val="both"/>
              <w:rPr>
                <w:color w:val="000000"/>
                <w:sz w:val="18"/>
                <w:szCs w:val="18"/>
              </w:rPr>
            </w:pPr>
            <w:r>
              <w:rPr>
                <w:color w:val="000000"/>
                <w:sz w:val="18"/>
                <w:szCs w:val="18"/>
              </w:rPr>
              <w:t>AMERICAN INDIAN MODEL SC</w:t>
            </w:r>
            <w:r>
              <w:rPr>
                <w:color w:val="000000"/>
                <w:sz w:val="18"/>
                <w:szCs w:val="18"/>
              </w:rPr>
              <w:t xml:space="preserve">HOOLS </w:t>
            </w:r>
          </w:p>
          <w:p w14:paraId="2939673F" w14:textId="77777777" w:rsidR="00916730" w:rsidRDefault="00916730">
            <w:pPr>
              <w:jc w:val="both"/>
              <w:rPr>
                <w:color w:val="000000"/>
                <w:sz w:val="18"/>
                <w:szCs w:val="18"/>
              </w:rPr>
            </w:pPr>
          </w:p>
          <w:p w14:paraId="1A3A9A14" w14:textId="77777777" w:rsidR="00916730" w:rsidRDefault="00916730">
            <w:pPr>
              <w:jc w:val="both"/>
              <w:rPr>
                <w:color w:val="000000"/>
                <w:sz w:val="18"/>
                <w:szCs w:val="18"/>
              </w:rPr>
            </w:pPr>
          </w:p>
          <w:p w14:paraId="5535C1F6" w14:textId="77777777" w:rsidR="00916730" w:rsidRDefault="007864B0">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14:paraId="0A5EEC43" w14:textId="77777777" w:rsidR="00916730" w:rsidRDefault="00916730">
            <w:pPr>
              <w:jc w:val="both"/>
              <w:rPr>
                <w:color w:val="000000"/>
                <w:sz w:val="18"/>
                <w:szCs w:val="18"/>
              </w:rPr>
            </w:pPr>
          </w:p>
          <w:p w14:paraId="769A7D69" w14:textId="77777777" w:rsidR="00916730" w:rsidRDefault="007864B0">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14:paraId="1FCA1264" w14:textId="77777777" w:rsidR="00916730" w:rsidRDefault="00916730">
            <w:pPr>
              <w:jc w:val="both"/>
              <w:rPr>
                <w:color w:val="000000"/>
                <w:sz w:val="18"/>
                <w:szCs w:val="18"/>
              </w:rPr>
            </w:pPr>
          </w:p>
          <w:p w14:paraId="263059E0" w14:textId="77777777" w:rsidR="00916730" w:rsidRDefault="007864B0">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14:paraId="27F4AE28" w14:textId="77777777" w:rsidR="00916730" w:rsidRDefault="00916730">
            <w:pPr>
              <w:jc w:val="both"/>
              <w:rPr>
                <w:color w:val="000000"/>
                <w:sz w:val="18"/>
                <w:szCs w:val="18"/>
              </w:rPr>
            </w:pPr>
          </w:p>
        </w:tc>
        <w:tc>
          <w:tcPr>
            <w:tcW w:w="4675" w:type="dxa"/>
          </w:tcPr>
          <w:p w14:paraId="70CA0ED1" w14:textId="77777777" w:rsidR="00916730" w:rsidRDefault="007864B0">
            <w:pPr>
              <w:jc w:val="both"/>
              <w:rPr>
                <w:color w:val="000000"/>
                <w:sz w:val="18"/>
                <w:szCs w:val="18"/>
              </w:rPr>
            </w:pPr>
            <w:r>
              <w:rPr>
                <w:color w:val="000000"/>
                <w:sz w:val="18"/>
                <w:szCs w:val="18"/>
              </w:rPr>
              <w:t>BAY AREA COMMUNITY RESOURCES, INC.</w:t>
            </w:r>
          </w:p>
          <w:p w14:paraId="12A76369" w14:textId="77777777" w:rsidR="00916730" w:rsidRDefault="00916730">
            <w:pPr>
              <w:jc w:val="both"/>
              <w:rPr>
                <w:color w:val="000000"/>
                <w:sz w:val="18"/>
                <w:szCs w:val="18"/>
              </w:rPr>
            </w:pPr>
          </w:p>
          <w:p w14:paraId="3A9D73CF" w14:textId="77777777" w:rsidR="00916730" w:rsidRDefault="00916730">
            <w:pPr>
              <w:jc w:val="both"/>
              <w:rPr>
                <w:color w:val="000000"/>
                <w:sz w:val="18"/>
                <w:szCs w:val="18"/>
              </w:rPr>
            </w:pPr>
          </w:p>
          <w:p w14:paraId="45709CAC" w14:textId="77777777" w:rsidR="00916730" w:rsidRDefault="007864B0">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14:paraId="0C374F79" w14:textId="77777777" w:rsidR="00916730" w:rsidRDefault="00916730">
            <w:pPr>
              <w:jc w:val="both"/>
              <w:rPr>
                <w:color w:val="000000"/>
                <w:sz w:val="18"/>
                <w:szCs w:val="18"/>
              </w:rPr>
            </w:pPr>
          </w:p>
          <w:p w14:paraId="40F09865" w14:textId="77777777" w:rsidR="00916730" w:rsidRDefault="007864B0">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14:paraId="69132073" w14:textId="77777777" w:rsidR="00916730" w:rsidRDefault="00916730">
            <w:pPr>
              <w:jc w:val="both"/>
              <w:rPr>
                <w:color w:val="000000"/>
                <w:sz w:val="18"/>
                <w:szCs w:val="18"/>
              </w:rPr>
            </w:pPr>
          </w:p>
          <w:p w14:paraId="1DD0B9BD" w14:textId="77777777" w:rsidR="00916730" w:rsidRDefault="007864B0">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14:paraId="6B7258F4" w14:textId="77777777" w:rsidR="00916730" w:rsidRDefault="00916730">
            <w:pPr>
              <w:jc w:val="both"/>
              <w:rPr>
                <w:color w:val="000000"/>
                <w:sz w:val="18"/>
                <w:szCs w:val="18"/>
              </w:rPr>
            </w:pPr>
          </w:p>
        </w:tc>
      </w:tr>
    </w:tbl>
    <w:p w14:paraId="47C372D7" w14:textId="77777777" w:rsidR="00916730" w:rsidRDefault="00916730">
      <w:pPr>
        <w:pBdr>
          <w:top w:val="nil"/>
          <w:left w:val="nil"/>
          <w:bottom w:val="nil"/>
          <w:right w:val="nil"/>
          <w:between w:val="nil"/>
        </w:pBdr>
        <w:jc w:val="both"/>
        <w:rPr>
          <w:color w:val="000000"/>
          <w:sz w:val="18"/>
          <w:szCs w:val="18"/>
        </w:rPr>
      </w:pPr>
    </w:p>
    <w:sectPr w:rsidR="00916730">
      <w:footerReference w:type="default" r:id="rId9"/>
      <w:pgSz w:w="12240" w:h="15840"/>
      <w:pgMar w:top="1440" w:right="1440" w:bottom="1440" w:left="1440" w:header="720" w:footer="14"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3046" w14:textId="77777777" w:rsidR="007864B0" w:rsidRDefault="007864B0">
      <w:r>
        <w:separator/>
      </w:r>
    </w:p>
  </w:endnote>
  <w:endnote w:type="continuationSeparator" w:id="0">
    <w:p w14:paraId="338AC7D8" w14:textId="77777777" w:rsidR="007864B0" w:rsidRDefault="0078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B25F" w14:textId="77777777" w:rsidR="00916730" w:rsidRDefault="007864B0">
    <w:pPr>
      <w:pBdr>
        <w:top w:val="nil"/>
        <w:left w:val="nil"/>
        <w:bottom w:val="nil"/>
        <w:right w:val="nil"/>
        <w:between w:val="nil"/>
      </w:pBdr>
      <w:tabs>
        <w:tab w:val="center" w:pos="4680"/>
        <w:tab w:val="right" w:pos="9360"/>
      </w:tabs>
      <w:jc w:val="center"/>
      <w:rPr>
        <w:color w:val="000000"/>
        <w:sz w:val="18"/>
        <w:szCs w:val="18"/>
      </w:rPr>
    </w:pPr>
    <w:r>
      <w:rPr>
        <w:color w:val="000000"/>
      </w:rPr>
      <w:tab/>
    </w:r>
  </w:p>
  <w:p w14:paraId="3C40AAC6" w14:textId="77777777" w:rsidR="00916730" w:rsidRDefault="007864B0">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BACR Initials ________</w:t>
    </w:r>
  </w:p>
  <w:p w14:paraId="17E4339E" w14:textId="77777777" w:rsidR="00916730" w:rsidRDefault="007864B0">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School Initials ________</w:t>
    </w:r>
  </w:p>
  <w:p w14:paraId="289CE507" w14:textId="77777777" w:rsidR="00916730" w:rsidRDefault="007864B0">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sidR="00A51994">
      <w:rPr>
        <w:color w:val="000000"/>
        <w:sz w:val="18"/>
        <w:szCs w:val="18"/>
      </w:rPr>
      <w:fldChar w:fldCharType="separate"/>
    </w:r>
    <w:r w:rsidR="00A51994">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sidR="00A51994">
      <w:rPr>
        <w:color w:val="000000"/>
        <w:sz w:val="18"/>
        <w:szCs w:val="18"/>
      </w:rPr>
      <w:fldChar w:fldCharType="separate"/>
    </w:r>
    <w:r w:rsidR="00A51994">
      <w:rPr>
        <w:noProof/>
        <w:color w:val="000000"/>
        <w:sz w:val="18"/>
        <w:szCs w:val="18"/>
      </w:rPr>
      <w:t>1</w:t>
    </w:r>
    <w:r>
      <w:rPr>
        <w:color w:val="000000"/>
        <w:sz w:val="18"/>
        <w:szCs w:val="18"/>
      </w:rPr>
      <w:fldChar w:fldCharType="end"/>
    </w:r>
  </w:p>
  <w:p w14:paraId="260B12F7" w14:textId="77777777" w:rsidR="00916730" w:rsidRDefault="00916730">
    <w:pPr>
      <w:pBdr>
        <w:top w:val="nil"/>
        <w:left w:val="nil"/>
        <w:bottom w:val="nil"/>
        <w:right w:val="nil"/>
        <w:between w:val="nil"/>
      </w:pBdr>
      <w:tabs>
        <w:tab w:val="center" w:pos="4680"/>
        <w:tab w:val="right" w:pos="936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6244B" w14:textId="77777777" w:rsidR="007864B0" w:rsidRDefault="007864B0">
      <w:r>
        <w:separator/>
      </w:r>
    </w:p>
  </w:footnote>
  <w:footnote w:type="continuationSeparator" w:id="0">
    <w:p w14:paraId="15E13D5F" w14:textId="77777777" w:rsidR="007864B0" w:rsidRDefault="0078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30"/>
    <w:rsid w:val="007864B0"/>
    <w:rsid w:val="00916730"/>
    <w:rsid w:val="00A5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930EF"/>
  <w15:docId w15:val="{C523BE31-5C07-1746-9701-B1DA92B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ind w:left="792"/>
      <w:outlineLvl w:val="2"/>
    </w:pPr>
    <w:rPr>
      <w:rFonts w:ascii="Times New Roman" w:eastAsia="Times New Roman" w:hAnsi="Times New Roman" w:cs="Times New Roman"/>
      <w:i/>
      <w:sz w:val="19"/>
      <w:szCs w:val="19"/>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customStyle="1" w:styleId="il">
    <w:name w:val="il"/>
    <w:basedOn w:val="DefaultParagraphFont"/>
    <w:rsid w:val="00C72F76"/>
  </w:style>
  <w:style w:type="paragraph" w:styleId="ListParagraph">
    <w:name w:val="List Paragraph"/>
    <w:basedOn w:val="Normal"/>
    <w:uiPriority w:val="99"/>
    <w:qFormat/>
    <w:rsid w:val="001F2589"/>
    <w:pPr>
      <w:ind w:left="720"/>
      <w:contextualSpacing/>
    </w:pPr>
  </w:style>
  <w:style w:type="paragraph" w:styleId="Header">
    <w:name w:val="header"/>
    <w:basedOn w:val="Normal"/>
    <w:link w:val="HeaderChar"/>
    <w:uiPriority w:val="99"/>
    <w:unhideWhenUsed/>
    <w:rsid w:val="003E67D6"/>
    <w:pPr>
      <w:tabs>
        <w:tab w:val="center" w:pos="4680"/>
        <w:tab w:val="right" w:pos="9360"/>
      </w:tabs>
    </w:pPr>
  </w:style>
  <w:style w:type="character" w:customStyle="1" w:styleId="HeaderChar">
    <w:name w:val="Header Char"/>
    <w:basedOn w:val="DefaultParagraphFont"/>
    <w:link w:val="Header"/>
    <w:uiPriority w:val="99"/>
    <w:rsid w:val="003E67D6"/>
  </w:style>
  <w:style w:type="paragraph" w:styleId="Footer">
    <w:name w:val="footer"/>
    <w:basedOn w:val="Normal"/>
    <w:link w:val="FooterChar"/>
    <w:uiPriority w:val="99"/>
    <w:unhideWhenUsed/>
    <w:rsid w:val="003E67D6"/>
    <w:pPr>
      <w:tabs>
        <w:tab w:val="center" w:pos="4680"/>
        <w:tab w:val="right" w:pos="9360"/>
      </w:tabs>
    </w:pPr>
  </w:style>
  <w:style w:type="character" w:customStyle="1" w:styleId="FooterChar">
    <w:name w:val="Footer Char"/>
    <w:basedOn w:val="DefaultParagraphFont"/>
    <w:link w:val="Footer"/>
    <w:uiPriority w:val="99"/>
    <w:rsid w:val="003E67D6"/>
  </w:style>
  <w:style w:type="paragraph" w:styleId="BalloonText">
    <w:name w:val="Balloon Text"/>
    <w:basedOn w:val="Normal"/>
    <w:link w:val="BalloonTextChar"/>
    <w:uiPriority w:val="99"/>
    <w:semiHidden/>
    <w:unhideWhenUsed/>
    <w:rsid w:val="000F0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EF"/>
    <w:rPr>
      <w:rFonts w:ascii="Segoe UI" w:hAnsi="Segoe UI" w:cs="Segoe UI"/>
      <w:sz w:val="18"/>
      <w:szCs w:val="18"/>
    </w:r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7CNjv7KrR7e214qCba4txoCFSQ==">AMUW2mUOzdDAW2NLHNqy65LgEqrPtNfHsMEVAhfDw9/E1Nuv0kwnngjhlIe8PkF43lV4dpLFXwV8V22GuCuE6cl6Cte6czDj9Yw93/e3uCLAHhsN7jGIPqOpDHLKdLgYcoJssfaT2A1A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Marisol Magana</cp:lastModifiedBy>
  <cp:revision>2</cp:revision>
  <dcterms:created xsi:type="dcterms:W3CDTF">2020-03-09T17:29:00Z</dcterms:created>
  <dcterms:modified xsi:type="dcterms:W3CDTF">2020-03-09T17:29:00Z</dcterms:modified>
</cp:coreProperties>
</file>