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MTitleBUAllCaps"/>
      </w:pPr>
      <w:bookmarkStart w:id="0" w:name="Verdatum"/>
      <w:bookmarkEnd w:id="0"/>
      <w:r>
        <w:t>SECURITY AGREEMENT</w:t>
      </w:r>
    </w:p>
    <w:p>
      <w:pPr>
        <w:pStyle w:val="DMBdyTxtJust"/>
      </w:pPr>
      <w:r>
        <w:t>This SECURITY AGREEMENT, dated as of August 1, 2022 (as amended, supplemented or otherwise modified from time to time in accordance with the provisions hereof, this “</w:t>
      </w:r>
      <w:r>
        <w:rPr>
          <w:b/>
          <w:color w:val="000000"/>
        </w:rPr>
        <w:t>Agreement</w:t>
      </w:r>
      <w:r>
        <w:t>”), made by and among TEACH Las Vegas, a Nevada nonprofit public benefit corporation (the “</w:t>
      </w:r>
      <w:r>
        <w:rPr>
          <w:b/>
          <w:color w:val="000000"/>
        </w:rPr>
        <w:t>Grantor</w:t>
      </w:r>
      <w:r>
        <w:t xml:space="preserve">”), in favor of </w:t>
      </w:r>
      <w:r>
        <w:rPr>
          <w:b/>
        </w:rPr>
        <w:t>CHARTER ASSET MANAGEMENT FUND, L.P.</w:t>
      </w:r>
      <w:r>
        <w:t>, a Delaware limited partnership (the “</w:t>
      </w:r>
      <w:r>
        <w:rPr>
          <w:b/>
          <w:color w:val="000000"/>
        </w:rPr>
        <w:t>Secured Party</w:t>
      </w:r>
      <w:r>
        <w:t>”).</w:t>
      </w:r>
    </w:p>
    <w:p>
      <w:pPr>
        <w:pStyle w:val="DMTitleBUAllCaps"/>
      </w:pPr>
      <w:r>
        <w:t>RECITALS</w:t>
      </w:r>
    </w:p>
    <w:p>
      <w:pPr>
        <w:pStyle w:val="Heading1"/>
      </w:pPr>
      <w:r>
        <w:t>As of the date hereof, the Secured Party has purchased, and may purchase in the future, from Grantor certain Accounts (“</w:t>
      </w:r>
      <w:r>
        <w:rPr>
          <w:b/>
        </w:rPr>
        <w:t>Accounts</w:t>
      </w:r>
      <w:r>
        <w:t>”) evidenced by that certain Factoring Agreement of even date herewith and future Factoring Agreements (as amended, supplemented or otherwise modified from time to time, collectively, the “</w:t>
      </w:r>
      <w:r>
        <w:rPr>
          <w:b/>
        </w:rPr>
        <w:t>Factoring Agreements</w:t>
      </w:r>
      <w:r>
        <w:t>”) by and between the Grantor and the Secured Party.  Capitalized terms used but not otherwise defined herein shall have the meanings assigned to such terms in the Factoring Agreements;</w:t>
      </w:r>
    </w:p>
    <w:p>
      <w:pPr>
        <w:pStyle w:val="Heading1"/>
      </w:pPr>
      <w:r>
        <w:t>This Agreement is given by the Grantor in favor of the Secured Party to secure the payment and performance of all of the Secured Obligations (as defined herein); and</w:t>
      </w:r>
    </w:p>
    <w:p>
      <w:pPr>
        <w:pStyle w:val="Heading1"/>
      </w:pPr>
      <w:r>
        <w:t>It is a condition to the obligations of the Secured Party to purchase Accounts under the Factoring Agreements that the Grantor execute and deliver this Agreement.</w:t>
      </w:r>
    </w:p>
    <w:p>
      <w:pPr>
        <w:pStyle w:val="DMBdyTxtJust"/>
      </w:pPr>
      <w:r>
        <w:rPr>
          <w:b/>
        </w:rPr>
        <w:t>NOW, THEREFORE</w:t>
      </w:r>
      <w:r>
        <w:t>, in consideration of the mutual covenants, terms and conditions set forth herein, and for other good and valuable consideration, the receipt and sufficiency of which are hereby acknowledged, the parties agree as follows:</w:t>
      </w:r>
    </w:p>
    <w:p>
      <w:pPr>
        <w:pStyle w:val="Heading2"/>
        <w:keepNext/>
        <w:rPr>
          <w:vanish/>
          <w:color w:val="FF0000"/>
          <w:specVanish/>
        </w:rPr>
      </w:pPr>
      <w:r>
        <w:t>Definitions</w:t>
      </w:r>
    </w:p>
    <w:p>
      <w:pPr>
        <w:pStyle w:val="HeadingBody2"/>
      </w:pPr>
      <w:r>
        <w:t>.</w:t>
      </w:r>
    </w:p>
    <w:p>
      <w:pPr>
        <w:pStyle w:val="Heading3"/>
      </w:pPr>
      <w:r>
        <w:t>Unless otherwise specified herein, all references to Sections and Schedules herein are to Sections and Schedules of this Agreement.</w:t>
      </w:r>
    </w:p>
    <w:p>
      <w:pPr>
        <w:pStyle w:val="Heading3"/>
      </w:pPr>
      <w:r>
        <w:t>Unless otherwise defined herein, terms used herein that are defined in the Uniform Commercial Code in effect from time to time in the State of California (“</w:t>
      </w:r>
      <w:proofErr w:type="spellStart"/>
      <w:r>
        <w:rPr>
          <w:b/>
        </w:rPr>
        <w:t>UCC</w:t>
      </w:r>
      <w:proofErr w:type="spellEnd"/>
      <w:r>
        <w:t xml:space="preserve">”) shall have the meanings assigned to them in the </w:t>
      </w:r>
      <w:proofErr w:type="spellStart"/>
      <w:r>
        <w:t>UCC</w:t>
      </w:r>
      <w:proofErr w:type="spellEnd"/>
      <w:r>
        <w:t xml:space="preserve">. However, if a term is defined in Article 9 of the </w:t>
      </w:r>
      <w:proofErr w:type="spellStart"/>
      <w:r>
        <w:t>UCC</w:t>
      </w:r>
      <w:proofErr w:type="spellEnd"/>
      <w:r>
        <w:t xml:space="preserve"> differently than in another Article of the </w:t>
      </w:r>
      <w:proofErr w:type="spellStart"/>
      <w:r>
        <w:t>UCC</w:t>
      </w:r>
      <w:proofErr w:type="spellEnd"/>
      <w:r>
        <w:t>, the term has the meaning specified in Article 9.</w:t>
      </w:r>
    </w:p>
    <w:p>
      <w:pPr>
        <w:pStyle w:val="Heading3"/>
      </w:pPr>
      <w:r>
        <w:t>For purposes of this Agreement, the following terms shall have the following meanings:</w:t>
      </w:r>
    </w:p>
    <w:p>
      <w:pPr>
        <w:pStyle w:val="DMBdyTxt1"/>
      </w:pPr>
      <w:r>
        <w:t>“</w:t>
      </w:r>
      <w:r>
        <w:rPr>
          <w:b/>
        </w:rPr>
        <w:t>Agreement</w:t>
      </w:r>
      <w:r>
        <w:t>” has the meaning set forth in the Recitals hereof.</w:t>
      </w:r>
    </w:p>
    <w:p>
      <w:pPr>
        <w:pStyle w:val="DMBdyTxt1"/>
      </w:pPr>
      <w:r>
        <w:t>“</w:t>
      </w:r>
      <w:r>
        <w:rPr>
          <w:b/>
          <w:color w:val="000000"/>
        </w:rPr>
        <w:t>Collateral</w:t>
      </w:r>
      <w:r>
        <w:t xml:space="preserve">” has the meaning set forth in </w:t>
      </w:r>
      <w:r>
        <w:rPr>
          <w:b/>
          <w:i/>
        </w:rPr>
        <w:t>Section 2</w:t>
      </w:r>
      <w:r>
        <w:t>.</w:t>
      </w:r>
    </w:p>
    <w:p>
      <w:pPr>
        <w:pStyle w:val="DMBdyTxt1"/>
      </w:pPr>
      <w:r>
        <w:t>“</w:t>
      </w:r>
      <w:r>
        <w:rPr>
          <w:b/>
          <w:color w:val="000000"/>
        </w:rPr>
        <w:t>Event of Default</w:t>
      </w:r>
      <w:r>
        <w:t>” has the meaning set forth in the Factoring Agreements.</w:t>
      </w:r>
    </w:p>
    <w:p>
      <w:pPr>
        <w:pStyle w:val="DMBdyTxt1"/>
      </w:pPr>
      <w:r>
        <w:t>“</w:t>
      </w:r>
      <w:r>
        <w:rPr>
          <w:b/>
          <w:color w:val="000000"/>
        </w:rPr>
        <w:t>First Priority</w:t>
      </w:r>
      <w:r>
        <w:t>” means, with respect to any lien and security interest purported to be created in any Collateral pursuant to this Agreement, such lien and security interest is the most senior lien to which such Collateral is subject.</w:t>
      </w:r>
    </w:p>
    <w:p>
      <w:pPr>
        <w:pStyle w:val="DMBdyTxt1"/>
      </w:pPr>
      <w:r>
        <w:t>“</w:t>
      </w:r>
      <w:r>
        <w:rPr>
          <w:b/>
        </w:rPr>
        <w:t>Grantor</w:t>
      </w:r>
      <w:r>
        <w:t>” has the meaning set forth in the Recitals hereof.</w:t>
      </w:r>
    </w:p>
    <w:p>
      <w:pPr>
        <w:pStyle w:val="DMBdyTxt1"/>
      </w:pPr>
      <w:r>
        <w:lastRenderedPageBreak/>
        <w:t>“</w:t>
      </w:r>
      <w:r>
        <w:rPr>
          <w:b/>
          <w:color w:val="000000"/>
        </w:rPr>
        <w:t>Perfection Certificate</w:t>
      </w:r>
      <w:r>
        <w:t xml:space="preserve">” has the meaning set forth in </w:t>
      </w:r>
      <w:r>
        <w:rPr>
          <w:b/>
          <w:i/>
        </w:rPr>
        <w:t>Section 5</w:t>
      </w:r>
      <w:r>
        <w:t>.</w:t>
      </w:r>
    </w:p>
    <w:p>
      <w:pPr>
        <w:pStyle w:val="DMBdyTxt1"/>
      </w:pPr>
      <w:r>
        <w:t>“</w:t>
      </w:r>
      <w:r>
        <w:rPr>
          <w:b/>
          <w:color w:val="000000"/>
        </w:rPr>
        <w:t>Proceeds</w:t>
      </w:r>
      <w:r>
        <w:t xml:space="preserve">” means “proceeds” as such term is defined in section 9-102 of the </w:t>
      </w:r>
      <w:proofErr w:type="spellStart"/>
      <w:r>
        <w:t>UCC</w:t>
      </w:r>
      <w:proofErr w:type="spellEnd"/>
      <w:r>
        <w:t xml:space="preserve"> and, in any event, shall include, without limitation, all dividends or other income from the Collateral, collections thereon or distributions with respect thereto.</w:t>
      </w:r>
    </w:p>
    <w:p>
      <w:pPr>
        <w:pStyle w:val="DMBdyTxt1"/>
      </w:pPr>
      <w:r>
        <w:t>“</w:t>
      </w:r>
      <w:r>
        <w:rPr>
          <w:b/>
          <w:color w:val="000000"/>
        </w:rPr>
        <w:t>Secured Obligations</w:t>
      </w:r>
      <w:r>
        <w:t xml:space="preserve">” has the meaning set forth in </w:t>
      </w:r>
      <w:r>
        <w:rPr>
          <w:b/>
          <w:i/>
        </w:rPr>
        <w:t>Section 3</w:t>
      </w:r>
      <w:r>
        <w:t>.</w:t>
      </w:r>
    </w:p>
    <w:p>
      <w:pPr>
        <w:pStyle w:val="Heading3"/>
      </w:pPr>
      <w:r>
        <w:t>The rules of interpretation specified in the Factoring Agreements shall be applicable to this Agreement.</w:t>
      </w:r>
    </w:p>
    <w:p>
      <w:pPr>
        <w:pStyle w:val="Heading2"/>
        <w:rPr>
          <w:vanish/>
          <w:color w:val="FF0000"/>
          <w:specVanish/>
        </w:rPr>
      </w:pPr>
      <w:r>
        <w:t>Grant of Security Interest</w:t>
      </w:r>
    </w:p>
    <w:p>
      <w:pPr>
        <w:pStyle w:val="HeadingBody2"/>
      </w:pPr>
      <w:r>
        <w:t>. As collateral security for the payment and performance of the Secured Obligations, the Grantor hereby pledges and grants to the Secured Party, and hereby creates a continuing First Priority lien and security interest in favor of the Secured Party in and to all of Grantor’s rights and interest in any and all personal property, whether now existing or hereafter acquired or created and wherever located, and all products and proceeds thereof and accessions thereto, including but not limited to the following (collectively, the “</w:t>
      </w:r>
      <w:r>
        <w:rPr>
          <w:b/>
        </w:rPr>
        <w:t>Collateral</w:t>
      </w:r>
      <w:r>
        <w:t>”):</w:t>
      </w:r>
    </w:p>
    <w:p>
      <w:pPr>
        <w:pStyle w:val="Heading3"/>
      </w:pPr>
      <w:r>
        <w:t>all accounts and accounts receivable (including health care insurance receivables), chattel paper (including tangible and electronic chattel paper), inventory (including all goods held for sale or lease or to be furnished under a contract for service, and including returns and repossessions), equipment (including all accessions and additions thereto), instruments (including promissory notes), investment property (including securities and securities entitlements), documents (including negotiable documents), deposit accounts, letter of credit rights, money, any commercial tort claim of Grantor which is now or hereafter identified by Grantor or Secured Party, general intangibles (including payment intangibles and software), goods (including fixtures) and all of Grantor’s books and records with respect to any of the foregoing, and the computers and equipment containing said books and records; and</w:t>
      </w:r>
    </w:p>
    <w:p>
      <w:pPr>
        <w:pStyle w:val="Heading3"/>
      </w:pPr>
      <w:r>
        <w:t>any and all cash proceeds and/or noncash proceeds thereof, including without limitation, insurance proceeds, and all supporting obligations and the security therefore or for any right to payment.</w:t>
      </w:r>
    </w:p>
    <w:p>
      <w:pPr>
        <w:pStyle w:val="Heading2"/>
        <w:rPr>
          <w:vanish/>
          <w:color w:val="FF0000"/>
          <w:specVanish/>
        </w:rPr>
      </w:pPr>
      <w:r>
        <w:rPr>
          <w:color w:val="000000"/>
        </w:rPr>
        <w:t>Secured Obligations</w:t>
      </w:r>
    </w:p>
    <w:p>
      <w:pPr>
        <w:pStyle w:val="HeadingBody2"/>
      </w:pPr>
      <w:r>
        <w:t>. The Collateral secures the due and prompt payment and performance of:</w:t>
      </w:r>
    </w:p>
    <w:p>
      <w:pPr>
        <w:pStyle w:val="Heading3"/>
        <w:pBdr>
          <w:top w:val="nil"/>
          <w:left w:val="nil"/>
          <w:bottom w:val="nil"/>
          <w:right w:val="nil"/>
          <w:between w:val="nil"/>
        </w:pBdr>
      </w:pPr>
      <w:r>
        <w:t>the obligations of the Grantor from time to time arising under the Factoring Agreements, this Agreement or otherwise with respect to the due and prompt payment of (i) any amounts due pursuant to the Factoring Agreements from failure of the Grantor to comply with the terms of the Factoring Agreements or interest thereon (including interest accruing during the pendency of any bankruptcy, insolvency, receivership or other similar proceeding, regardless of whether allowed or allowable in such proceeding), when and as due, whether at maturity, by acceleration, upon one or more dates set for prepayment or otherwise and (ii) all other monetary obligations, including fees, costs, attorneys’ fees and disbursements, reimbursement obligations, contract causes of action, expenses and indemnities, whether primary, secondary, direct or indirect, absolute or contingent, due or to become due, now existing or hereafter arising, fixed or otherwise (including monetary obligations incurred during the pendency of any bankruptcy, insolvency, receivership or other similar proceeding, regardless of whether allowed or allowable in such proceeding), of the Grantor under or in respect of the Factoring Agreements and this Agreement;</w:t>
      </w:r>
    </w:p>
    <w:p>
      <w:pPr>
        <w:pStyle w:val="Heading3"/>
      </w:pPr>
      <w:r>
        <w:t xml:space="preserve">all other covenants, duties, debts, obligations and liabilities of any kind of the Grantor under or in respect of the Factoring Agreements, this Agreement or any other document made, </w:t>
      </w:r>
      <w:r>
        <w:lastRenderedPageBreak/>
        <w:t xml:space="preserve">delivered or given in connection with any of the foregoing, in each case whether evidenced by a note or other writing, whether allowed in any bankruptcy, insolvency, receivership or other similar proceeding, whether arising from an extension of credit, issuance of a letter of credit, acceptance, loan, guaranty, indemnification or otherwise, and whether primary, secondary, direct or indirect, absolute or contingent, due or to become due, now existing or hereafter arising, fixed or otherwise (all such obligations, covenants, duties, debts, liabilities, sums and expenses set forth in </w:t>
      </w:r>
      <w:r>
        <w:rPr>
          <w:b/>
          <w:i/>
        </w:rPr>
        <w:t>Section 3</w:t>
      </w:r>
      <w:r>
        <w:t xml:space="preserve"> being herein collectively called the “</w:t>
      </w:r>
      <w:r>
        <w:rPr>
          <w:b/>
        </w:rPr>
        <w:t>Secured Obligations</w:t>
      </w:r>
      <w:r>
        <w:t>”); and</w:t>
      </w:r>
    </w:p>
    <w:p>
      <w:pPr>
        <w:pStyle w:val="Heading3"/>
      </w:pPr>
      <w:r>
        <w:t>It is the intent of the Grantor and Secured Party that the Secured Party is purchasing Accounts referenced in the Factoring Agreements and therefore the term “Secured Obligations” does not include purchased Accounts or any amounts due to Secured Party pursuant to any of the purchased Accounts unless there is a breach by the Grantor of any of its obligations under the Factoring Agreements or unless there is a judicial determination that Secured Party’s purchase of Accounts under any Factoring Agreement is not a purchase, but is deemed to be a loan secured by Accounts.</w:t>
      </w:r>
    </w:p>
    <w:p>
      <w:pPr>
        <w:pStyle w:val="Heading2"/>
        <w:keepNext/>
        <w:rPr>
          <w:vanish/>
          <w:color w:val="FF0000"/>
          <w:specVanish/>
        </w:rPr>
      </w:pPr>
      <w:r>
        <w:t>Perfection of Security Interest and Further Assurances</w:t>
      </w:r>
    </w:p>
    <w:p>
      <w:pPr>
        <w:pStyle w:val="HeadingBody2"/>
      </w:pPr>
      <w:r>
        <w:t>.</w:t>
      </w:r>
    </w:p>
    <w:p>
      <w:pPr>
        <w:pStyle w:val="Heading3"/>
      </w:pPr>
      <w:r>
        <w:t xml:space="preserve">The Grantor shall, from time to time, as may be required by the Secured Party with respect to all Collateral, immediately take all actions as may be requested by the Secured Party to perfect the security interest of the Secured Party in the Collateral, including, without limitation, with respect to all Collateral over which control may be obtained within the meaning of sections 8106, 9104, 9105, 9106 and 9107 of the </w:t>
      </w:r>
      <w:proofErr w:type="spellStart"/>
      <w:r>
        <w:t>UCC</w:t>
      </w:r>
      <w:proofErr w:type="spellEnd"/>
      <w:r>
        <w:t>, section 201 of the federal Electronic Signatures in Global and National Commerce Act and, as the case may be, section 16 of the Uniform Electronic Transactions Act, as applicable, the Grantor shall immediately take all actions as may be requested from time to time by the Secured Party so that control of such Collateral is obtained and at all times held by the Secured Party. All of the foregoing shall be at the sole cost and expense of the Grantor.</w:t>
      </w:r>
    </w:p>
    <w:p>
      <w:pPr>
        <w:pStyle w:val="Heading3"/>
      </w:pPr>
      <w:r>
        <w:t xml:space="preserve">The Grantor hereby irrevocably authorizes the Secured Party at any time and from time to time to file in any relevant jurisdiction any financing statements and amendments thereto that contain the information required by Article 9 of the </w:t>
      </w:r>
      <w:proofErr w:type="spellStart"/>
      <w:r>
        <w:t>UCC</w:t>
      </w:r>
      <w:proofErr w:type="spellEnd"/>
      <w:r>
        <w:t xml:space="preserve"> of each applicable jurisdiction for the filing of any financing statement or amendment relating to the Collateral, including any financing or continuation statements or other documents for the purpose of perfecting, confirming, continuing, enforcing or protecting the security interest granted by the Grantor hereunder, without the signature of the Grantor where permitted by law, including the filing of a financing statement describing the Collateral as all assets now owned or hereafter acquired by the Grantor, or words of similar effect. The Grantor agrees to provide all information required by the Secured Party pursuant to this Section promptly to the Secured Party upon request.</w:t>
      </w:r>
    </w:p>
    <w:p>
      <w:pPr>
        <w:pStyle w:val="Heading3"/>
      </w:pPr>
      <w:r>
        <w:t>The Grantor hereby further authorizes the Secured Party to file with the United States Patent and Trademark Office and the United States Copyright Office (and any successor office and any similar office in any state of the United States or in any other country) this Agreement and other documents for the purpose of perfecting, confirming, continuing, enforcing or protecting the security interest granted by the Grantor hereunder, without the signature of the Grantor where permitted by law.</w:t>
      </w:r>
    </w:p>
    <w:p>
      <w:pPr>
        <w:pStyle w:val="Heading3"/>
      </w:pPr>
      <w:r>
        <w:t>If the Grantor shall at any time hold or acquire any certificated securities, promissory notes, tangible chattel paper, negotiable documents or warehouse receipts relating to the Collateral, the Grantor shall immediately endorse, assign and deliver the same to the Secured Party, accompanied by such instruments of transfer or assignment duly executed in blank as the Secured Party may from time to time specify.</w:t>
      </w:r>
    </w:p>
    <w:p>
      <w:pPr>
        <w:pStyle w:val="Heading3"/>
      </w:pPr>
      <w:r>
        <w:t xml:space="preserve">If the Grantor shall at any time hold or acquire a commercial tort claim, the Grantor shall (i) immediately notify the Secured Party in a writing signed by the Grantor of the particulars thereof </w:t>
      </w:r>
      <w:r>
        <w:lastRenderedPageBreak/>
        <w:t>and grant to the Secured Party in such writing a security interest therein and in the proceeds thereof, all upon the terms of this Agreement, with such writing to be in form and substance satisfactory to the Secured Party and (ii) deliver to the Secured Party an updated Schedule 1.</w:t>
      </w:r>
    </w:p>
    <w:p>
      <w:pPr>
        <w:pStyle w:val="Heading3"/>
      </w:pPr>
      <w:r>
        <w:t xml:space="preserve">If any Collateral is at any time in the possession of a </w:t>
      </w:r>
      <w:proofErr w:type="spellStart"/>
      <w:r>
        <w:t>bailee</w:t>
      </w:r>
      <w:proofErr w:type="spellEnd"/>
      <w:r>
        <w:t xml:space="preserve">, the Grantor shall promptly notify the Secured Party thereof and, at the Secured Party’s request and option, shall promptly obtain an acknowledgment from the </w:t>
      </w:r>
      <w:proofErr w:type="spellStart"/>
      <w:r>
        <w:t>bailee</w:t>
      </w:r>
      <w:proofErr w:type="spellEnd"/>
      <w:r>
        <w:t xml:space="preserve">, in form and substance satisfactory to the Secured Party, that the </w:t>
      </w:r>
      <w:proofErr w:type="spellStart"/>
      <w:r>
        <w:t>bailee</w:t>
      </w:r>
      <w:proofErr w:type="spellEnd"/>
      <w:r>
        <w:t xml:space="preserve"> holds such Collateral for the benefit of the Secured Party and the </w:t>
      </w:r>
      <w:proofErr w:type="spellStart"/>
      <w:r>
        <w:t>bailee</w:t>
      </w:r>
      <w:proofErr w:type="spellEnd"/>
      <w:r>
        <w:t xml:space="preserve"> agrees to comply, without further consent of the Grantor, at any time with instructions of the Secured Party as to such Collateral.</w:t>
      </w:r>
    </w:p>
    <w:p>
      <w:pPr>
        <w:pStyle w:val="Heading3"/>
      </w:pPr>
      <w:r>
        <w:t>The Grantor agrees that at any time and from time to time, at the expense of the Grantor, the Grantor will promptly execute and deliver all further instruments and documents, obtain such agreements from third parties, and take all further action, that may be necessary or desirable, or that the Secured Party may request, in order to create and/or maintain the validity, perfection or priority of and protect any security interest granted or purported to be granted hereby or to enable the Secured Party to exercise and enforce its rights and remedies hereunder or under any other agreement with respect to any Collateral.</w:t>
      </w:r>
    </w:p>
    <w:p>
      <w:pPr>
        <w:pStyle w:val="Heading2"/>
        <w:keepNext/>
        <w:rPr>
          <w:vanish/>
          <w:color w:val="FF0000"/>
          <w:specVanish/>
        </w:rPr>
      </w:pPr>
      <w:r>
        <w:rPr>
          <w:color w:val="000000"/>
        </w:rPr>
        <w:t>Representations and Warranties</w:t>
      </w:r>
    </w:p>
    <w:p>
      <w:pPr>
        <w:pStyle w:val="HeadingBody2"/>
      </w:pPr>
      <w:r>
        <w:t>. The Grantor represents and warrants as follows:</w:t>
      </w:r>
    </w:p>
    <w:p>
      <w:pPr>
        <w:pStyle w:val="Heading3"/>
      </w:pPr>
      <w:r>
        <w:t>The representations and warranties set forth in Section 3 of the Factoring Agreements are hereby reaffirmed by the Grantor, each of which is hereby incorporated herein by reference and the Secured Party shall be entitled to rely on each of them as if they were fully set forth herein.</w:t>
      </w:r>
    </w:p>
    <w:p>
      <w:pPr>
        <w:pStyle w:val="Heading3"/>
      </w:pPr>
      <w:r>
        <w:t>(i) The Grantor’s exact legal name is that indicated on the signature page hereof, (ii) the Grantor is a nonprofit public benefit corporation and is organized in the State of Nevada.</w:t>
      </w:r>
    </w:p>
    <w:p>
      <w:pPr>
        <w:pStyle w:val="Heading3"/>
      </w:pPr>
      <w:r>
        <w:t>All information provided by Grantor to the Secured Party relating to the Collateral is accurate and complete.</w:t>
      </w:r>
    </w:p>
    <w:p>
      <w:pPr>
        <w:pStyle w:val="Heading3"/>
      </w:pPr>
      <w:r>
        <w:t>If any of the Collateral consists of securities, same have been duly authorized and validly issued, and are fully paid and non-assessable and subject to no options to purchase or similar rights.</w:t>
      </w:r>
    </w:p>
    <w:p>
      <w:pPr>
        <w:pStyle w:val="Heading3"/>
      </w:pPr>
      <w:r>
        <w:t>The Grantor holds no commercial tort claims except as indicated on Schedule 1.</w:t>
      </w:r>
    </w:p>
    <w:p>
      <w:pPr>
        <w:pStyle w:val="Heading3"/>
      </w:pPr>
      <w:r>
        <w:t>None of the Collateral constitutes, or is the proceeds of, (i) farm products, (ii) as-extracted collateral, (iii) manufactured homes, (iv) health-care-insurance receivables, (v) timber to be cut, (vi) aircraft, aircraft engines, satellites, ships or railroad rolling stock.</w:t>
      </w:r>
    </w:p>
    <w:p>
      <w:pPr>
        <w:pStyle w:val="Heading3"/>
      </w:pPr>
      <w:r>
        <w:t>The Grantor has at all times operated its business in compliance with all applicable provisions of the federal Fair Labor Standards Act, as amended, and with all applicable provisions of federal, state and local statutes and ordinances dealing with the control, shipment, storage or disposal of hazardous materials or substances.</w:t>
      </w:r>
    </w:p>
    <w:p>
      <w:pPr>
        <w:pStyle w:val="Heading3"/>
      </w:pPr>
      <w:r>
        <w:t>At the time the Collateral becomes subject to the lien and security interest created by this Agreement, the Grantor will be the sole, direct, legal and beneficial owner thereof, free and clear of any lien, security interest, encumbrance, claim, option or right of others except for the security interest created by this Agreement.</w:t>
      </w:r>
    </w:p>
    <w:p>
      <w:pPr>
        <w:pStyle w:val="Heading3"/>
      </w:pPr>
      <w:r>
        <w:lastRenderedPageBreak/>
        <w:t>The pledge of the Collateral pursuant to this Agreement creates a valid and perfected First Priority security interest in the Collateral, securing the payment and performance when due of the Secured Obligations.</w:t>
      </w:r>
    </w:p>
    <w:p>
      <w:pPr>
        <w:pStyle w:val="Heading3"/>
      </w:pPr>
      <w:r>
        <w:t>The Secured Party has full power, authority and legal right to sell or pledge the Accounts pursuant to the Factoring Agreements and pledge the Collateral pursuant to this Agreement.</w:t>
      </w:r>
    </w:p>
    <w:p>
      <w:pPr>
        <w:pStyle w:val="Heading3"/>
      </w:pPr>
      <w:r>
        <w:t>Each of this Agreement and the Factoring Agreements has been duly authorized, executed and delivered by the Grantor and constitutes a legal, valid and binding obligation of the Grantor enforceable in accordance with its terms, subject to applicable bankruptcy, insolvency, reorganization, moratorium or other similar laws affecting creditors’ rights generally and subject to equitable principles (regardless of whether enforcement is sought in equity or at law).</w:t>
      </w:r>
    </w:p>
    <w:p>
      <w:pPr>
        <w:pStyle w:val="Heading3"/>
      </w:pPr>
      <w:r>
        <w:t>No authorization, approval, or other action by, and no notice to or filing with, any governmental authority or regulatory body is required for the pledge by the Grantor of the Collateral pursuant to this Agreement or for the execution and delivery of the Factoring Agreements and this Agreement by the Grantor or the performance by the Grantor of its obligations thereunder.</w:t>
      </w:r>
    </w:p>
    <w:p>
      <w:pPr>
        <w:pStyle w:val="Heading3"/>
      </w:pPr>
      <w:r>
        <w:t>The execution and delivery of the Factoring Agreements and this Agreement by the Grantor and the performance by the Grantor of its obligations thereunder, will not violate any provision of any applicable law or regulation or any order, judgment, writ, award or decree of any court, arbitrator or governmental authority, domestic or foreign, applicable to the Grantor or any of its property, or the organizational or governing documents of the Grantor or any agreement or instrument to which the Grantor is party or by which it or its property is bound.</w:t>
      </w:r>
    </w:p>
    <w:p>
      <w:pPr>
        <w:pStyle w:val="Heading3"/>
      </w:pPr>
      <w:r>
        <w:t xml:space="preserve">The Grantor has taken all action required on its part for control (as defined in sections 8106, 9104, 9105, 9106 and 9107 of the </w:t>
      </w:r>
      <w:proofErr w:type="spellStart"/>
      <w:r>
        <w:t>UCC</w:t>
      </w:r>
      <w:proofErr w:type="spellEnd"/>
      <w:r>
        <w:t xml:space="preserve">, section 201 of the federal Electronic Signatures in Global and National Commerce Act and, as the case may be, section 16 of the Uniform Electronic Transactions Act, as applicable) to have been obtained by the Secured Party over all Collateral with respect to which such control may be obtained pursuant to the </w:t>
      </w:r>
      <w:proofErr w:type="spellStart"/>
      <w:r>
        <w:t>UCC</w:t>
      </w:r>
      <w:proofErr w:type="spellEnd"/>
      <w:r>
        <w:t>. No person other than the Secured Party has control or possession of all or any part of the Collateral.</w:t>
      </w:r>
    </w:p>
    <w:p>
      <w:pPr>
        <w:pStyle w:val="Heading2"/>
        <w:keepNext/>
        <w:rPr>
          <w:vanish/>
          <w:color w:val="FF0000"/>
          <w:specVanish/>
        </w:rPr>
      </w:pPr>
      <w:r>
        <w:t>Voting, Distributions and Receivables</w:t>
      </w:r>
    </w:p>
    <w:p>
      <w:pPr>
        <w:pStyle w:val="HeadingBody2"/>
      </w:pPr>
      <w:r>
        <w:t>.</w:t>
      </w:r>
    </w:p>
    <w:p>
      <w:pPr>
        <w:pStyle w:val="Heading3"/>
      </w:pPr>
      <w:r>
        <w:t>The Secured Party agrees that unless an Event of Default shall have occurred and be continuing, the Grantor may, to the extent the Grantor has such right as a holder of the Collateral consisting of securities or indebtedness owed by any obligor, vote and give consents, ratifications and waivers with respect thereto, except to the extent that, any such vote, consent, ratification or waiver could detract from the value thereof as Collateral or which could be inconsistent with or result in any violation of any provision of the Factoring Agreements or this Agreement.</w:t>
      </w:r>
    </w:p>
    <w:p>
      <w:pPr>
        <w:pStyle w:val="Heading3"/>
      </w:pPr>
      <w:r>
        <w:t>The Secured Party agrees that the Grantor may, unless an Event of Default shall have occurred and be continuing, receive and retain all cash dividends and other distributions with respect to the Collateral consisting of securities or indebtedness owed by any obligor, but excluding any Accounts sold by Grantor to the Secured Party pursuant to any Factoring Agreements unless authorized by the Secured Party.</w:t>
      </w:r>
    </w:p>
    <w:p>
      <w:pPr>
        <w:pStyle w:val="Heading3"/>
      </w:pPr>
      <w:r>
        <w:t>The Secured Party may, or at the request and option of the Secured Party the Grantor shall, notify account debtors and other persons obligated on any of the Accounts sold by the Grantor to the Secured Party pursuant to the Factoring Agreements that payments due are to be made directly to the Secured Party.</w:t>
      </w:r>
    </w:p>
    <w:p>
      <w:pPr>
        <w:pStyle w:val="Heading2"/>
        <w:keepNext/>
        <w:rPr>
          <w:vanish/>
          <w:color w:val="FF0000"/>
          <w:specVanish/>
        </w:rPr>
      </w:pPr>
      <w:r>
        <w:rPr>
          <w:color w:val="000000"/>
        </w:rPr>
        <w:lastRenderedPageBreak/>
        <w:t>Covenants</w:t>
      </w:r>
    </w:p>
    <w:p>
      <w:pPr>
        <w:pStyle w:val="HeadingBody2"/>
      </w:pPr>
      <w:r>
        <w:t>. The Grantor covenants as follows:</w:t>
      </w:r>
    </w:p>
    <w:p>
      <w:pPr>
        <w:pStyle w:val="Heading3"/>
      </w:pPr>
      <w:r>
        <w:t>The Grantor will not, without providing at least 30 days’ prior written notice to the Secured Party, change its legal name, identity, type of organization, jurisdiction of organization, corporate structure, location of its chief executive office or its principal place of business or its organizational identification number. The Grantor will, prior to any change described in the preceding sentence, take all actions requested by the Secured Party to maintain the perfection and priority of the Secured Party’s security interest in the Collateral.</w:t>
      </w:r>
    </w:p>
    <w:p>
      <w:pPr>
        <w:pStyle w:val="Heading3"/>
      </w:pPr>
      <w:r>
        <w:t xml:space="preserve">The Collateral, to the extent not delivered to the Secured Party pursuant to </w:t>
      </w:r>
      <w:r>
        <w:rPr>
          <w:b/>
          <w:i/>
        </w:rPr>
        <w:t>Section 4</w:t>
      </w:r>
      <w:r>
        <w:t xml:space="preserve">, will be kept at those locations listed on </w:t>
      </w:r>
      <w:r>
        <w:rPr>
          <w:b/>
        </w:rPr>
        <w:t>Schedule 2</w:t>
      </w:r>
      <w:r>
        <w:t xml:space="preserve"> and the Grantor will not remove the Collateral from such locations without providing at least 30 days’ prior written notice to the Secured Party. The Grantor will, prior to any change described in the preceding sentence, take all actions required by the Secured Party to maintain the perfection and priority of the Secured Party’s security interest in the Collateral.</w:t>
      </w:r>
    </w:p>
    <w:p>
      <w:pPr>
        <w:pStyle w:val="Heading3"/>
      </w:pPr>
      <w:r>
        <w:t>The Grantor shall, at its own cost and expense, defend title to the Collateral and the First Priority lien and security interest of the Secured Party therein against the claim of any person claiming against or through the Grantor and shall maintain and preserve such perfected First Priority security interest for so long as this Agreement shall remain in effect.</w:t>
      </w:r>
    </w:p>
    <w:p>
      <w:pPr>
        <w:pStyle w:val="Heading3"/>
      </w:pPr>
      <w:r>
        <w:t>The Grantor will not sell, offer to sell, dispose of, convey, assign or otherwise transfer, grant any option with respect to, restrict, or grant, create, permit or suffer to exist any mortgage, pledge, lien, security interest, option, right of first offer, encumbrance or other restriction or limitation of any nature whatsoever on, any of the Collateral or any interest therein.</w:t>
      </w:r>
    </w:p>
    <w:p>
      <w:pPr>
        <w:pStyle w:val="Heading3"/>
      </w:pPr>
      <w:r>
        <w:t>The Grantor will keep the Collateral in good order and repair and will not use the same in violation of law or any policy of insurance thereon. The Grantor will permit the Secured Party, or its designee, to inspect the Collateral at any reasonable time, wherever located.</w:t>
      </w:r>
    </w:p>
    <w:p>
      <w:pPr>
        <w:pStyle w:val="Heading3"/>
      </w:pPr>
      <w:r>
        <w:t>The Grantor will pay promptly when due all taxes, assessments, governmental charges, and levies upon the Collateral or incurred in connection with the use or operation of the Collateral or incurred in connection with this Agreement.</w:t>
      </w:r>
    </w:p>
    <w:p>
      <w:pPr>
        <w:pStyle w:val="Heading3"/>
      </w:pPr>
      <w:r>
        <w:t>The Grantor will continue to operate its business in compliance with all applicable provisions of the federal Fair Labor Standards Act, as amended, and with all applicable provisions of federal, state and local statutes and ordinances dealing with the control, shipment, storage or disposal of hazardous materials or substances.</w:t>
      </w:r>
    </w:p>
    <w:p>
      <w:pPr>
        <w:pStyle w:val="Heading2"/>
        <w:rPr>
          <w:vanish/>
          <w:color w:val="FF0000"/>
          <w:specVanish/>
        </w:rPr>
      </w:pPr>
      <w:r>
        <w:t>[Intentionally Omitted]</w:t>
      </w:r>
    </w:p>
    <w:p>
      <w:pPr>
        <w:pStyle w:val="HeadingBody2"/>
      </w:pPr>
      <w:r>
        <w:t>.</w:t>
      </w:r>
    </w:p>
    <w:p>
      <w:pPr>
        <w:pStyle w:val="Heading2"/>
        <w:rPr>
          <w:vanish/>
          <w:color w:val="FF0000"/>
          <w:specVanish/>
        </w:rPr>
      </w:pPr>
      <w:r>
        <w:rPr>
          <w:color w:val="000000"/>
        </w:rPr>
        <w:t>Secured Party May Perform</w:t>
      </w:r>
    </w:p>
    <w:p>
      <w:pPr>
        <w:pStyle w:val="HeadingBody2"/>
        <w:rPr>
          <w:u w:val="single"/>
        </w:rPr>
      </w:pPr>
      <w:r>
        <w:t xml:space="preserve">. If the Grantor fails to perform any obligation contained in this Agreement, the Secured Party may itself perform, or cause performance of, such obligation, and the expenses of the Secured Party incurred in connection therewith shall be payable by the Grantor; </w:t>
      </w:r>
      <w:r>
        <w:rPr>
          <w:i/>
        </w:rPr>
        <w:t>provided that</w:t>
      </w:r>
      <w:r>
        <w:t xml:space="preserve"> the Secured Party shall not be required to perform or discharge any obligation of the Grantor.</w:t>
      </w:r>
    </w:p>
    <w:p>
      <w:pPr>
        <w:pStyle w:val="Heading2"/>
        <w:rPr>
          <w:vanish/>
          <w:color w:val="FF0000"/>
          <w:specVanish/>
        </w:rPr>
      </w:pPr>
      <w:r>
        <w:rPr>
          <w:color w:val="000000"/>
        </w:rPr>
        <w:t>Reasonable Care</w:t>
      </w:r>
    </w:p>
    <w:p>
      <w:pPr>
        <w:pStyle w:val="HeadingBody2"/>
      </w:pPr>
      <w:r>
        <w:t xml:space="preserve">. The Secured Party shall have no duty with respect to the care and preservation of the Collateral beyond the exercise of reasonable care. The Secured Party shall be deemed to have exercised reasonable care in the custody and preservation of the Collateral in its possession if the Collateral is accorded treatment substantially equal to that which the Secured Party accords its own property, it being understood that the Secured Party shall not have any responsibility for (a) ascertaining or taking action with respect to any claims, the nature or sufficiency of any payment or performance by any </w:t>
      </w:r>
      <w:r>
        <w:lastRenderedPageBreak/>
        <w:t>party under or pursuant to any agreement relating to the Collateral or other matters relative to any Collateral, whether or not the Secured Party has or is deemed to have knowledge of such matters, or (b) taking any necessary steps to preserve rights against any parties with respect to any Collateral. Nothing set forth in this Agreement, nor the exercise by the Secured Party of any of the rights and remedies hereunder, shall relieve the Grantor from the performance of any obligation on the Grantor’s part to be performed or observed in respect of any of the Collateral.</w:t>
      </w:r>
    </w:p>
    <w:p>
      <w:pPr>
        <w:pStyle w:val="Heading2"/>
        <w:keepNext/>
        <w:rPr>
          <w:vanish/>
          <w:color w:val="FF0000"/>
          <w:specVanish/>
        </w:rPr>
      </w:pPr>
      <w:r>
        <w:t>Remedies Upon Default</w:t>
      </w:r>
    </w:p>
    <w:p>
      <w:pPr>
        <w:pStyle w:val="HeadingBody2"/>
      </w:pPr>
      <w:r>
        <w:t>.</w:t>
      </w:r>
    </w:p>
    <w:p>
      <w:pPr>
        <w:pStyle w:val="Heading3"/>
      </w:pPr>
      <w:r>
        <w:t xml:space="preserve">If any Event of Default shall have occurred and be continuing, the Secured Party, without any other notice to or demand upon the Grantor, may assert all rights and remedies of a secured party under the </w:t>
      </w:r>
      <w:proofErr w:type="spellStart"/>
      <w:r>
        <w:t>UCC</w:t>
      </w:r>
      <w:proofErr w:type="spellEnd"/>
      <w:r>
        <w:t xml:space="preserve"> or other applicable law, including, without limitation, the right to take possession of, hold, collect, sell, lease, deliver, grant options to purchase or otherwise retain, liquidate or dispose of all or any portion of the Collateral. If notice prior to disposition of the Collateral or any portion thereof is necessary under applicable law, written notice mailed to the Grantor at its notice address as provided in </w:t>
      </w:r>
      <w:r>
        <w:rPr>
          <w:b/>
          <w:i/>
        </w:rPr>
        <w:t xml:space="preserve">Section 15 </w:t>
      </w:r>
      <w:r>
        <w:t>hereof ten (10) days prior to the date of such disposition shall constitute reasonable notice, but notice given in any other reasonable manner shall be sufficient. So long as the sale of the Collateral is made in a commercially reasonable manner, the Secured Party may sell such Collateral on such terms and to such purchaser(s) as the Secured Party in its absolute discretion may choose, without assuming any credit risk and without any obligation to advertise or give notice of any kind other than that necessary under applicable law. Without precluding any other methods of sale, the sale of the Collateral or any portion thereof shall have been made in a commercially reasonable manner if conducted in conformity with reasonable commercial practices of creditors disposing of similar property. At any sale of the Collateral, if permitted by applicable law, the Secured Party may be the purchaser, licensee, assignee or recipient of the Collateral or any part thereof and shall be entitled, for the purpose of bidding and making settlement or payment of the purchase price for all or any portion of the Collateral sold, assigned or licensed at such sale, to use and apply any of the Secured Obligations as a credit on account of the purchase price of the Collateral or any part thereof payable at such sale. To the extent permitted by applicable law, the Grantor waives all claims, damages and demands it may acquire against the Secured Party arising out of the exercise by it of any rights hereunder. The Grantor hereby waives and releases to the fullest extent permitted by law any right or equity of redemption with respect to the Collateral, whether before or after sale hereunder, and all rights, if any, of marshalling the Collateral and any other security for the Secured Obligations or otherwise. At any such sale, unless prohibited by applicable law, the Secured Party or any custodian may bid for and purchase all or any part of the Collateral so sold free from any such right or equity of redemption. Neither the Secured Party nor any custodian shall be liable for failure to collect or realize upon any or all of the Collateral or for any delay in so doing, nor shall it be under any obligation to take any action whatsoever with regard thereto. The Grantor agrees that it would not be commercially unreasonable for the Secured Party to dispose of the Collateral or any portion thereof by utilizing internet sites that provide for the auction of assets of the type included in the Collateral or that have the reasonable capability of doing so, or that match buyers and sellers of assets. The Secured Party shall not be obligated to clean-up or otherwise prepare the Collateral for sale.</w:t>
      </w:r>
    </w:p>
    <w:p>
      <w:pPr>
        <w:pStyle w:val="Heading3"/>
      </w:pPr>
      <w:r>
        <w:t xml:space="preserve">If any Event of Default shall have occurred and be continuing, all rights of the Grantor to (i) exercise the voting and other consensual rights it would otherwise be entitled to exercise pursuant to </w:t>
      </w:r>
      <w:r>
        <w:rPr>
          <w:b/>
          <w:i/>
        </w:rPr>
        <w:t xml:space="preserve">Section 6(a) </w:t>
      </w:r>
      <w:r>
        <w:t xml:space="preserve">and (ii) receive the dividends and other distributions which it would otherwise be entitled to receive and retain pursuant to </w:t>
      </w:r>
      <w:r>
        <w:rPr>
          <w:b/>
          <w:i/>
        </w:rPr>
        <w:t>Section 6(b)</w:t>
      </w:r>
      <w:r>
        <w:t>, shall immediately cease, and all such rights shall thereupon become vested in the Secured Party, which shall have the sole right to exercise such voting and other consensual rights and receive and hold such dividends and other distributions as Collateral.</w:t>
      </w:r>
    </w:p>
    <w:p>
      <w:pPr>
        <w:pStyle w:val="Heading3"/>
      </w:pPr>
      <w:r>
        <w:t xml:space="preserve">If any Event of Default shall have occurred and be continuing, any cash held by the Secured Party as Collateral and all cash Proceeds received by the Secured Party in respect of any sale of, collection from, or other realization upon all or any part of the Collateral shall be applied in whole or in </w:t>
      </w:r>
      <w:r>
        <w:lastRenderedPageBreak/>
        <w:t>part by the Secured Party to the payment of expenses incurred by the Secured Party in connection with the foregoing or incidental to the care or safekeeping of any of the Collateral or in any way relating to the Collateral or the rights of the Secured Party hereunder, including reasonable attorneys’ fees, and the balance of such proceeds shall be applied or set off against all or any part of the Secured Obligations in such order as the Secured Party shall elect. Any surplus of such cash or cash Proceeds held by the Secured Party and remaining after payment in full of all the Secured Obligations shall be paid over to the Grantor or to whomsoever may be lawfully entitled to receive such surplus. The Grantor shall remain liable for any deficiency if such cash and the cash Proceeds of any sale or other realization of the Collateral are insufficient to pay the Secured Obligations and the fees and other charges of any attorneys employed by the Secured Party to collect such deficiency.</w:t>
      </w:r>
    </w:p>
    <w:p>
      <w:pPr>
        <w:pStyle w:val="Heading3"/>
      </w:pPr>
      <w:r>
        <w:t>If the Secured Party shall determine to exercise its rights to sell all or any of the Collateral pursuant to this Section, the Grantor agrees that, upon request of the Secured Party, the Grantor will, at its own expense, do or cause to be done all such acts and things as may be necessary to make such sale of the Collateral or any part thereof valid and binding and in compliance with applicable law.</w:t>
      </w:r>
    </w:p>
    <w:p>
      <w:pPr>
        <w:pStyle w:val="Heading2"/>
        <w:rPr>
          <w:vanish/>
          <w:color w:val="FF0000"/>
          <w:specVanish/>
        </w:rPr>
      </w:pPr>
      <w:r>
        <w:t>No</w:t>
      </w:r>
      <w:r>
        <w:rPr>
          <w:color w:val="000000"/>
        </w:rPr>
        <w:t xml:space="preserve"> Waiver and Cumulative Remedies</w:t>
      </w:r>
    </w:p>
    <w:p>
      <w:pPr>
        <w:pStyle w:val="HeadingBody2"/>
      </w:pPr>
      <w:r>
        <w:t xml:space="preserve">. The Secured Party shall not by any act (except by a written instrument pursuant to </w:t>
      </w:r>
      <w:r>
        <w:rPr>
          <w:b/>
          <w:i/>
        </w:rPr>
        <w:t>Section 14</w:t>
      </w:r>
      <w:r>
        <w:t>, delay, indulgence, omission or otherwise be deemed to have waived any right or remedy hereunder or to have acquiesced in any Default or Event of Default. All rights and remedies herein provided are cumulative and are not exclusive of any rights or remedies provided by law.</w:t>
      </w:r>
    </w:p>
    <w:p>
      <w:pPr>
        <w:pStyle w:val="Heading2"/>
        <w:rPr>
          <w:vanish/>
          <w:color w:val="FF0000"/>
          <w:specVanish/>
        </w:rPr>
      </w:pPr>
      <w:r>
        <w:rPr>
          <w:color w:val="000000"/>
        </w:rPr>
        <w:t>Security Interest Absolute</w:t>
      </w:r>
    </w:p>
    <w:p>
      <w:pPr>
        <w:pStyle w:val="HeadingBody2"/>
      </w:pPr>
      <w:r>
        <w:t>. The Grantor hereby waives demand, notice, protest, notice of acceptance of this Agreement, notice of loans made, credit extended, Collateral received or delivered or other action taken in reliance hereon and all other demands and notices of any description. All rights of the Secured Party and liens and security interests hereunder, and all Secured Obligations of the Grantor hereunder, shall be absolute and unconditional irrespective of:</w:t>
      </w:r>
    </w:p>
    <w:p>
      <w:pPr>
        <w:pStyle w:val="Heading3"/>
      </w:pPr>
      <w:r>
        <w:t>any illegality or lack of validity or enforceability of any Secured Obligation or any related agreement or instrument;</w:t>
      </w:r>
    </w:p>
    <w:p>
      <w:pPr>
        <w:pStyle w:val="Heading3"/>
      </w:pPr>
      <w:r>
        <w:t>any change in the time, place or manner of payment of, or in any other term of, the Secured Obligations, or any rescission, waiver, amendment or other modification of the Factoring Agreements, this Agreement or any other agreement, including any increase in the Secured Obligations resulting from any extension of additional credit or otherwise;</w:t>
      </w:r>
    </w:p>
    <w:p>
      <w:pPr>
        <w:pStyle w:val="Heading3"/>
      </w:pPr>
      <w:r>
        <w:t>any taking, exchange, substitution, release, impairment or non-perfection of any Collateral or any other collateral, or any taking, release, impairment, amendment, waiver or other modification of any guaranty, for all or any of the Secured Obligations;</w:t>
      </w:r>
    </w:p>
    <w:p>
      <w:pPr>
        <w:pStyle w:val="Heading3"/>
      </w:pPr>
      <w:r>
        <w:t>any manner of sale, disposition or application of proceeds of any Collateral or any other collateral or other assets to all or part of the Secured Obligations;</w:t>
      </w:r>
    </w:p>
    <w:p>
      <w:pPr>
        <w:pStyle w:val="Heading3"/>
      </w:pPr>
      <w:r>
        <w:t>any default, failure or delay, willful or otherwise, in the performance of the Secured Obligations;</w:t>
      </w:r>
    </w:p>
    <w:p>
      <w:pPr>
        <w:pStyle w:val="Heading3"/>
      </w:pPr>
      <w:r>
        <w:t>any defense, set-off or counterclaim (other than a defense of payment or performance) that may at any time be available to, or be asserted by, the Grantor against the Secured Party; or</w:t>
      </w:r>
    </w:p>
    <w:p>
      <w:pPr>
        <w:pStyle w:val="Heading3"/>
      </w:pPr>
      <w:r>
        <w:lastRenderedPageBreak/>
        <w:t>any other circumstance (including, without limitation, any statute of limitations) or manner of administering the Loans or any existence of or reliance on any representation by the Secured Party that might vary the risk of the Grantor or otherwise operate as a defense available to, or a legal or equitable discharge of, the Grantor or any other grantor, guarantor or surety.</w:t>
      </w:r>
    </w:p>
    <w:p>
      <w:pPr>
        <w:pStyle w:val="Heading2"/>
        <w:rPr>
          <w:vanish/>
          <w:color w:val="FF0000"/>
          <w:specVanish/>
        </w:rPr>
      </w:pPr>
      <w:r>
        <w:rPr>
          <w:color w:val="000000"/>
        </w:rPr>
        <w:t>Amendments</w:t>
      </w:r>
    </w:p>
    <w:p>
      <w:pPr>
        <w:pStyle w:val="HeadingBody2"/>
      </w:pPr>
      <w:r>
        <w:t>. None of the terms or provisions of this Agreement may be amended, modified, supplemented, terminated or waived, and no consent to any departure by the Grantor therefrom shall be effective unless the same shall be in writing and signed by the Secured Party and the Grantor, and then such amendment, modification, supplement, waiver or consent shall be effective only in the specific instance and for the specific purpose for which made or given.</w:t>
      </w:r>
    </w:p>
    <w:p>
      <w:pPr>
        <w:pStyle w:val="Heading2"/>
        <w:rPr>
          <w:vanish/>
          <w:color w:val="FF0000"/>
          <w:specVanish/>
        </w:rPr>
      </w:pPr>
      <w:r>
        <w:rPr>
          <w:color w:val="000000"/>
        </w:rPr>
        <w:t xml:space="preserve">Addresses </w:t>
      </w:r>
      <w:r>
        <w:t>f</w:t>
      </w:r>
      <w:r>
        <w:rPr>
          <w:color w:val="000000"/>
        </w:rPr>
        <w:t>or Notices</w:t>
      </w:r>
    </w:p>
    <w:p>
      <w:pPr>
        <w:pStyle w:val="HeadingBody2"/>
      </w:pPr>
      <w:r>
        <w:t>. All notices and other communications provided for in this Agreement shall be in writing and shall be given in the manner and become effective as set forth in the Factoring Agreements, and addressed to the respective parties at their addresses as specified on the signature pages hereof or as to either party at such other address as shall be designated by such party in a written notice to each other party.</w:t>
      </w:r>
    </w:p>
    <w:p>
      <w:pPr>
        <w:pStyle w:val="Heading2"/>
        <w:rPr>
          <w:vanish/>
          <w:color w:val="FF0000"/>
          <w:specVanish/>
        </w:rPr>
      </w:pPr>
      <w:r>
        <w:rPr>
          <w:color w:val="000000"/>
        </w:rPr>
        <w:t>Continuing Security Interest; Further Actions</w:t>
      </w:r>
    </w:p>
    <w:p>
      <w:pPr>
        <w:pStyle w:val="HeadingBody2"/>
      </w:pPr>
      <w:r>
        <w:t xml:space="preserve">. This Agreement shall create a continuing First Priority lien and security interest in the Collateral and shall (a) subject to </w:t>
      </w:r>
      <w:r>
        <w:rPr>
          <w:b/>
          <w:i/>
        </w:rPr>
        <w:t>Section 17</w:t>
      </w:r>
      <w:r>
        <w:t xml:space="preserve">, remain in full force and effect until payment and performance in full of the Secured Obligations, (b) be binding upon the Grantor, its successors and assigns, and (c) inure to the benefit of the Secured Party and its successors, transferees and assigns; </w:t>
      </w:r>
      <w:r>
        <w:rPr>
          <w:i/>
        </w:rPr>
        <w:t>provided that</w:t>
      </w:r>
      <w:r>
        <w:t xml:space="preserve"> the Grantor may not assign or otherwise transfer any of its rights or obligations under this Agreement without the prior written consent of the Secured Party.  Without limiting the generality of the foregoing clause (c), any assignee of the Secured Party’s interest in any agreement or document which includes all or any of the Secured Obligations shall, upon assignment, become vested with all the benefits granted to the Secured Party herein with respect to such Secured Obligations.</w:t>
      </w:r>
    </w:p>
    <w:p>
      <w:pPr>
        <w:pStyle w:val="Heading2"/>
        <w:rPr>
          <w:vanish/>
          <w:color w:val="FF0000"/>
          <w:specVanish/>
        </w:rPr>
      </w:pPr>
      <w:r>
        <w:rPr>
          <w:color w:val="000000"/>
        </w:rPr>
        <w:t>Termination; Release</w:t>
      </w:r>
    </w:p>
    <w:p>
      <w:pPr>
        <w:pStyle w:val="HeadingBody2"/>
      </w:pPr>
      <w:r>
        <w:t xml:space="preserve">. On the date on which all Secured Obligations have been paid and performed in full, the Secured Party will, at the request and sole expense of the Grantor, (a) duly assign, transfer and deliver to or at the direction of the Grantor (without recourse and without any representation or warranty) such of the Collateral as may then remain in the possession of the Secured Party, together with any monies at the time held by the Secured Party hereunder, and (b) execute and deliver to the Grantor a proper instrument or instruments acknowledging the satisfaction and termination of this Agreement.  </w:t>
      </w:r>
      <w:r>
        <w:rPr>
          <w:iCs/>
        </w:rPr>
        <w:t xml:space="preserve">On the </w:t>
      </w:r>
      <w:proofErr w:type="spellStart"/>
      <w:r>
        <w:rPr>
          <w:iCs/>
        </w:rPr>
        <w:t>aforestated</w:t>
      </w:r>
      <w:proofErr w:type="spellEnd"/>
      <w:r>
        <w:rPr>
          <w:iCs/>
        </w:rPr>
        <w:t xml:space="preserve"> date, at Grantor’s sole cost and expense, Secured Party will terminate and release any and all liens, including </w:t>
      </w:r>
      <w:proofErr w:type="spellStart"/>
      <w:r>
        <w:rPr>
          <w:iCs/>
        </w:rPr>
        <w:t>UCC</w:t>
      </w:r>
      <w:proofErr w:type="spellEnd"/>
      <w:r>
        <w:rPr>
          <w:iCs/>
        </w:rPr>
        <w:t>-1, with regard to the Collateral, and will provide written notice of termination with respect to any Deposit Account Control Agreement associated with the Factoring Agreements.</w:t>
      </w:r>
    </w:p>
    <w:p>
      <w:pPr>
        <w:pStyle w:val="Heading2"/>
        <w:rPr>
          <w:vanish/>
          <w:color w:val="FF0000"/>
          <w:specVanish/>
        </w:rPr>
      </w:pPr>
      <w:r>
        <w:rPr>
          <w:color w:val="000000"/>
        </w:rPr>
        <w:t>Governing Law</w:t>
      </w:r>
    </w:p>
    <w:p>
      <w:pPr>
        <w:pStyle w:val="HeadingBody2"/>
      </w:pPr>
      <w:r>
        <w:t>. This Agreement and any claim, controversy, dispute or cause of action (whether in contract or tort or otherwise) based upon, arising out of or relating to this Agreement or the Factoring Agreements and the transactions contemplated hereby and thereby shall be governed by, and construed in accordance with, the laws of the State of California.</w:t>
      </w:r>
    </w:p>
    <w:p>
      <w:pPr>
        <w:pStyle w:val="Heading2"/>
        <w:rPr>
          <w:vanish/>
          <w:color w:val="FF0000"/>
          <w:specVanish/>
        </w:rPr>
      </w:pPr>
      <w:r>
        <w:rPr>
          <w:color w:val="000000"/>
        </w:rPr>
        <w:t>Counterparts</w:t>
      </w:r>
    </w:p>
    <w:p>
      <w:pPr>
        <w:pStyle w:val="HeadingBody2"/>
      </w:pPr>
      <w:r>
        <w:t>. This Agreement and any amendments, waivers, consents or supplements hereto may be executed in counterparts (and by different parties hereto in different counterparts), each of which shall constitute an original, but all taken together shall constitute a single contract. Delivery of an executed counterpart of a signature page to this Agreement by facsimile or in electronic (i.e., “pdf” or “</w:t>
      </w:r>
      <w:proofErr w:type="spellStart"/>
      <w:r>
        <w:t>tif</w:t>
      </w:r>
      <w:proofErr w:type="spellEnd"/>
      <w:r>
        <w:t>”) format shall be effective as delivery of a manually executed counterpart of this Agreement. This Agreement [and the Factoring Agreements] constitute the entire contract among the parties with respect to the subject matter hereof and supersede all previous agreements and understandings, oral or written, with respect thereto.</w:t>
      </w:r>
    </w:p>
    <w:p>
      <w:pPr>
        <w:pStyle w:val="Heading2"/>
        <w:rPr>
          <w:vanish/>
          <w:color w:val="FF0000"/>
          <w:specVanish/>
        </w:rPr>
      </w:pPr>
      <w:r>
        <w:rPr>
          <w:color w:val="000000"/>
        </w:rPr>
        <w:lastRenderedPageBreak/>
        <w:t>Resolution of Drafting Ambiguities</w:t>
      </w:r>
    </w:p>
    <w:p>
      <w:pPr>
        <w:pStyle w:val="HeadingBody2"/>
      </w:pPr>
      <w:r>
        <w:t>.  Grantor acknowledges and agrees that it was represented by counsel in connection with the execution and delivery of this Agreement, that it and its counsel reviewed and participated in the preparation and negotiation of this Agreement and that any rule of construction to the effect that ambiguities are to be resolved against the drafting party (i.e., the Secured Party) shall not be employed in the interpretation of this Agreement.</w:t>
      </w:r>
    </w:p>
    <w:p>
      <w:pPr>
        <w:pStyle w:val="Heading2"/>
        <w:rPr>
          <w:vanish/>
          <w:color w:val="FF0000"/>
          <w:specVanish/>
        </w:rPr>
      </w:pPr>
      <w:r>
        <w:t>Expenses</w:t>
      </w:r>
    </w:p>
    <w:p>
      <w:pPr>
        <w:pStyle w:val="HeadingBody2"/>
      </w:pPr>
      <w:r>
        <w:t xml:space="preserve">.  Grantor agrees to pay or to reimburse Secured Party for all reasonable costs and expenses (including reasonable attorney’s fees and expenses) that may be incurred by Secured Party  in any effort to enforce any of the provisions of </w:t>
      </w:r>
      <w:r>
        <w:rPr>
          <w:b/>
          <w:i/>
        </w:rPr>
        <w:t>Section 11</w:t>
      </w:r>
      <w:r>
        <w:t>, or any of the obligations of Grantor in respect of the Collateral or in connection with (a) the preservation of the First Priority lien on, or the rights of Secured Party to the Collateral pursuant to this Agreement or (b) any actual or attempted sale, lease, disposition, exchange, collection, compromise, settlement or other realization in respect of, or care of, the Collateral, including all such costs and expenses (and reasonable attorney’s fees and expenses) incurred in any bankruptcy, reorganization, workout or other similar proceeding.</w:t>
      </w:r>
    </w:p>
    <w:p>
      <w:pPr>
        <w:pBdr>
          <w:top w:val="nil"/>
          <w:left w:val="nil"/>
          <w:bottom w:val="nil"/>
          <w:right w:val="nil"/>
          <w:between w:val="nil"/>
        </w:pBdr>
        <w:spacing w:after="600"/>
        <w:ind w:firstLine="720"/>
        <w:jc w:val="both"/>
      </w:pPr>
    </w:p>
    <w:p>
      <w:pPr>
        <w:pStyle w:val="DMTitle"/>
      </w:pPr>
      <w:r>
        <w:t>[SIGNATURE PAGE FOLLOWS]</w:t>
      </w:r>
    </w:p>
    <w:p>
      <w:pPr>
        <w:pStyle w:val="DMBdyTxt5"/>
        <w:sectPr>
          <w:footerReference w:type="default" r:id="rId7"/>
          <w:footerReference w:type="first" r:id="rId8"/>
          <w:pgSz w:w="12240" w:h="15840" w:code="1"/>
          <w:pgMar w:top="1440" w:right="1440" w:bottom="1440" w:left="1440" w:header="720" w:footer="720" w:gutter="0"/>
          <w:cols w:space="720"/>
          <w:titlePg/>
          <w:docGrid w:linePitch="360"/>
        </w:sectPr>
      </w:pPr>
    </w:p>
    <w:p>
      <w:pPr>
        <w:pStyle w:val="DMBdyTxtJust"/>
      </w:pPr>
      <w:r>
        <w:lastRenderedPageBreak/>
        <w:t>IN WITNESS WHEREOF, the parties hereto have executed this Agreement as of the date first above written.</w:t>
      </w:r>
    </w:p>
    <w:tbl>
      <w:tblPr>
        <w:tblW w:w="0" w:type="auto"/>
        <w:tblLayout w:type="fixed"/>
        <w:tblLook w:val="0000" w:firstRow="0" w:lastRow="0" w:firstColumn="0" w:lastColumn="0" w:noHBand="0" w:noVBand="0"/>
      </w:tblPr>
      <w:tblGrid>
        <w:gridCol w:w="4324"/>
        <w:gridCol w:w="4324"/>
      </w:tblGrid>
      <w:tr>
        <w:tc>
          <w:tcPr>
            <w:tcW w:w="4324" w:type="dxa"/>
          </w:tcPr>
          <w:p>
            <w:pPr>
              <w:pBdr>
                <w:top w:val="nil"/>
                <w:left w:val="nil"/>
                <w:bottom w:val="nil"/>
                <w:right w:val="nil"/>
                <w:between w:val="nil"/>
              </w:pBdr>
              <w:jc w:val="both"/>
            </w:pPr>
          </w:p>
        </w:tc>
        <w:tc>
          <w:tcPr>
            <w:tcW w:w="4324" w:type="dxa"/>
          </w:tcPr>
          <w:p>
            <w:pPr>
              <w:pBdr>
                <w:top w:val="nil"/>
                <w:left w:val="nil"/>
                <w:bottom w:val="nil"/>
                <w:right w:val="nil"/>
                <w:between w:val="nil"/>
              </w:pBdr>
              <w:tabs>
                <w:tab w:val="left" w:pos="0"/>
                <w:tab w:val="left" w:pos="3544"/>
              </w:tabs>
              <w:ind w:right="459"/>
            </w:pPr>
            <w:r>
              <w:rPr>
                <w:u w:val="single"/>
              </w:rPr>
              <w:t>TEACH Las Vegas</w:t>
            </w:r>
            <w:r>
              <w:rPr>
                <w:color w:val="000000"/>
              </w:rPr>
              <w:t>, as Grantor</w:t>
            </w:r>
          </w:p>
          <w:p>
            <w:pPr>
              <w:pBdr>
                <w:top w:val="nil"/>
                <w:left w:val="nil"/>
                <w:bottom w:val="nil"/>
                <w:right w:val="nil"/>
                <w:between w:val="nil"/>
              </w:pBdr>
              <w:tabs>
                <w:tab w:val="left" w:pos="0"/>
                <w:tab w:val="left" w:pos="3544"/>
              </w:tabs>
              <w:ind w:right="459"/>
              <w:jc w:val="both"/>
            </w:pPr>
          </w:p>
        </w:tc>
      </w:tr>
      <w:tr>
        <w:tc>
          <w:tcPr>
            <w:tcW w:w="4324" w:type="dxa"/>
          </w:tcPr>
          <w:p>
            <w:pPr>
              <w:pBdr>
                <w:top w:val="nil"/>
                <w:left w:val="nil"/>
                <w:bottom w:val="nil"/>
                <w:right w:val="nil"/>
                <w:between w:val="nil"/>
              </w:pBdr>
              <w:jc w:val="both"/>
            </w:pPr>
          </w:p>
        </w:tc>
        <w:tc>
          <w:tcPr>
            <w:tcW w:w="4324" w:type="dxa"/>
          </w:tcPr>
          <w:p>
            <w:pPr>
              <w:pBdr>
                <w:top w:val="nil"/>
                <w:left w:val="nil"/>
                <w:bottom w:val="nil"/>
                <w:right w:val="nil"/>
                <w:between w:val="nil"/>
              </w:pBdr>
              <w:tabs>
                <w:tab w:val="left" w:pos="0"/>
                <w:tab w:val="left" w:pos="3544"/>
              </w:tabs>
              <w:ind w:right="459"/>
              <w:jc w:val="both"/>
            </w:pPr>
          </w:p>
          <w:p>
            <w:pPr>
              <w:pBdr>
                <w:top w:val="nil"/>
                <w:left w:val="nil"/>
                <w:bottom w:val="nil"/>
                <w:right w:val="nil"/>
                <w:between w:val="nil"/>
              </w:pBdr>
              <w:tabs>
                <w:tab w:val="left" w:pos="0"/>
                <w:tab w:val="left" w:pos="4039"/>
              </w:tabs>
              <w:ind w:right="-68"/>
              <w:jc w:val="both"/>
            </w:pPr>
            <w:r>
              <w:rPr>
                <w:color w:val="000000"/>
              </w:rPr>
              <w:t>By______________________________</w:t>
            </w:r>
          </w:p>
          <w:p>
            <w:pPr>
              <w:pBdr>
                <w:top w:val="nil"/>
                <w:left w:val="nil"/>
                <w:bottom w:val="nil"/>
                <w:right w:val="nil"/>
                <w:between w:val="nil"/>
              </w:pBdr>
              <w:tabs>
                <w:tab w:val="left" w:pos="0"/>
                <w:tab w:val="left" w:pos="3544"/>
              </w:tabs>
              <w:ind w:right="459"/>
              <w:jc w:val="both"/>
            </w:pPr>
            <w:r>
              <w:rPr>
                <w:color w:val="000000"/>
              </w:rPr>
              <w:t xml:space="preserve">Name: </w:t>
            </w:r>
            <w:proofErr w:type="spellStart"/>
            <w:r>
              <w:t>Trishawn</w:t>
            </w:r>
            <w:proofErr w:type="spellEnd"/>
            <w:r>
              <w:t xml:space="preserve"> Allison</w:t>
            </w:r>
          </w:p>
          <w:p>
            <w:pPr>
              <w:pBdr>
                <w:top w:val="nil"/>
                <w:left w:val="nil"/>
                <w:bottom w:val="nil"/>
                <w:right w:val="nil"/>
                <w:between w:val="nil"/>
              </w:pBdr>
              <w:tabs>
                <w:tab w:val="left" w:pos="0"/>
                <w:tab w:val="left" w:pos="3544"/>
              </w:tabs>
              <w:ind w:right="459"/>
              <w:jc w:val="both"/>
            </w:pPr>
            <w:r>
              <w:rPr>
                <w:color w:val="000000"/>
              </w:rPr>
              <w:t xml:space="preserve">Title: </w:t>
            </w:r>
            <w:r>
              <w:t>Board Chairman</w:t>
            </w:r>
          </w:p>
          <w:p>
            <w:pPr>
              <w:pBdr>
                <w:top w:val="nil"/>
                <w:left w:val="nil"/>
                <w:bottom w:val="nil"/>
                <w:right w:val="nil"/>
                <w:between w:val="nil"/>
              </w:pBdr>
              <w:tabs>
                <w:tab w:val="left" w:pos="0"/>
                <w:tab w:val="left" w:pos="3544"/>
              </w:tabs>
              <w:ind w:right="459"/>
              <w:jc w:val="both"/>
            </w:pPr>
            <w:r>
              <w:rPr>
                <w:color w:val="000000"/>
              </w:rPr>
              <w:t>Address for Notices:</w:t>
            </w:r>
          </w:p>
          <w:p>
            <w:pPr>
              <w:pBdr>
                <w:top w:val="nil"/>
                <w:left w:val="nil"/>
                <w:bottom w:val="nil"/>
                <w:right w:val="nil"/>
                <w:between w:val="nil"/>
              </w:pBdr>
              <w:tabs>
                <w:tab w:val="left" w:pos="0"/>
                <w:tab w:val="left" w:pos="3544"/>
              </w:tabs>
              <w:ind w:right="459"/>
              <w:jc w:val="both"/>
            </w:pPr>
            <w:r>
              <w:t>4660 N. Rancho Drive, Las Vegas, NV 89130</w:t>
            </w:r>
          </w:p>
          <w:p>
            <w:pPr>
              <w:pBdr>
                <w:top w:val="nil"/>
                <w:left w:val="nil"/>
                <w:bottom w:val="nil"/>
                <w:right w:val="nil"/>
                <w:between w:val="nil"/>
              </w:pBdr>
              <w:tabs>
                <w:tab w:val="left" w:pos="0"/>
                <w:tab w:val="left" w:pos="3544"/>
              </w:tabs>
              <w:ind w:right="459"/>
              <w:jc w:val="both"/>
            </w:pPr>
          </w:p>
          <w:p>
            <w:pPr>
              <w:pBdr>
                <w:top w:val="nil"/>
                <w:left w:val="nil"/>
                <w:bottom w:val="nil"/>
                <w:right w:val="nil"/>
                <w:between w:val="nil"/>
              </w:pBdr>
              <w:tabs>
                <w:tab w:val="left" w:pos="0"/>
                <w:tab w:val="left" w:pos="3544"/>
              </w:tabs>
              <w:ind w:right="459"/>
              <w:jc w:val="both"/>
            </w:pPr>
          </w:p>
        </w:tc>
      </w:tr>
    </w:tbl>
    <w:p>
      <w:pPr>
        <w:pBdr>
          <w:top w:val="nil"/>
          <w:left w:val="nil"/>
          <w:bottom w:val="nil"/>
          <w:right w:val="nil"/>
          <w:between w:val="nil"/>
        </w:pBdr>
        <w:tabs>
          <w:tab w:val="left" w:pos="0"/>
          <w:tab w:val="left" w:pos="3544"/>
        </w:tabs>
        <w:ind w:right="459"/>
        <w:jc w:val="both"/>
      </w:pPr>
    </w:p>
    <w:tbl>
      <w:tblPr>
        <w:tblW w:w="0" w:type="auto"/>
        <w:tblLayout w:type="fixed"/>
        <w:tblLook w:val="0000" w:firstRow="0" w:lastRow="0" w:firstColumn="0" w:lastColumn="0" w:noHBand="0" w:noVBand="0"/>
      </w:tblPr>
      <w:tblGrid>
        <w:gridCol w:w="4324"/>
        <w:gridCol w:w="4324"/>
      </w:tblGrid>
      <w:tr>
        <w:tc>
          <w:tcPr>
            <w:tcW w:w="4324" w:type="dxa"/>
          </w:tcPr>
          <w:p>
            <w:pPr>
              <w:jc w:val="both"/>
            </w:pPr>
          </w:p>
        </w:tc>
        <w:tc>
          <w:tcPr>
            <w:tcW w:w="4324" w:type="dxa"/>
          </w:tcPr>
          <w:p>
            <w:r>
              <w:t>CHARTER ASSET MANAGEMENT FUND, L.P., as Secured Party</w:t>
            </w:r>
          </w:p>
          <w:p>
            <w:pPr>
              <w:jc w:val="both"/>
            </w:pPr>
          </w:p>
          <w:p>
            <w:pPr>
              <w:jc w:val="both"/>
            </w:pPr>
          </w:p>
          <w:p>
            <w:pPr>
              <w:jc w:val="both"/>
            </w:pPr>
            <w:r>
              <w:t>By: Charter Asset Management GP LLC.,</w:t>
            </w:r>
          </w:p>
          <w:p>
            <w:pPr>
              <w:jc w:val="both"/>
            </w:pPr>
            <w:r>
              <w:t>A Delaware limited liability company</w:t>
            </w:r>
          </w:p>
          <w:p>
            <w:pPr>
              <w:jc w:val="both"/>
            </w:pPr>
            <w:r>
              <w:t>Its: General Partner</w:t>
            </w:r>
          </w:p>
          <w:p>
            <w:pPr>
              <w:jc w:val="both"/>
            </w:pPr>
          </w:p>
          <w:p>
            <w:pPr>
              <w:jc w:val="both"/>
            </w:pPr>
          </w:p>
          <w:p>
            <w:pPr>
              <w:tabs>
                <w:tab w:val="left" w:pos="0"/>
                <w:tab w:val="left" w:pos="3544"/>
              </w:tabs>
              <w:ind w:right="459"/>
              <w:jc w:val="both"/>
            </w:pPr>
            <w:r>
              <w:t>By:___________________________</w:t>
            </w:r>
          </w:p>
          <w:p>
            <w:pPr>
              <w:tabs>
                <w:tab w:val="left" w:pos="0"/>
                <w:tab w:val="left" w:pos="3544"/>
              </w:tabs>
              <w:ind w:right="459" w:firstLine="450"/>
              <w:jc w:val="both"/>
            </w:pPr>
            <w:r>
              <w:t xml:space="preserve">Paul </w:t>
            </w:r>
            <w:proofErr w:type="spellStart"/>
            <w:r>
              <w:t>Im</w:t>
            </w:r>
            <w:proofErr w:type="spellEnd"/>
          </w:p>
          <w:p>
            <w:pPr>
              <w:tabs>
                <w:tab w:val="left" w:pos="990"/>
                <w:tab w:val="left" w:pos="3544"/>
              </w:tabs>
              <w:ind w:right="459" w:firstLine="450"/>
              <w:jc w:val="both"/>
            </w:pPr>
            <w:r>
              <w:t>Title: Managing Member</w:t>
            </w:r>
          </w:p>
          <w:p>
            <w:pPr>
              <w:tabs>
                <w:tab w:val="left" w:pos="0"/>
                <w:tab w:val="left" w:pos="3544"/>
              </w:tabs>
              <w:ind w:right="459" w:firstLine="450"/>
              <w:jc w:val="both"/>
            </w:pPr>
          </w:p>
          <w:p>
            <w:pPr>
              <w:tabs>
                <w:tab w:val="left" w:pos="0"/>
                <w:tab w:val="left" w:pos="3544"/>
              </w:tabs>
              <w:ind w:right="459" w:firstLine="450"/>
              <w:jc w:val="both"/>
            </w:pPr>
            <w:r>
              <w:t>Address for Notices:</w:t>
            </w:r>
          </w:p>
          <w:p>
            <w:pPr>
              <w:ind w:firstLine="450"/>
              <w:jc w:val="both"/>
            </w:pPr>
            <w:r>
              <w:t>633 W. 5th Street, 26th Floor</w:t>
            </w:r>
          </w:p>
          <w:p>
            <w:pPr>
              <w:ind w:firstLine="450"/>
              <w:jc w:val="both"/>
            </w:pPr>
            <w:r>
              <w:t>Los Angeles, CA 90071</w:t>
            </w:r>
          </w:p>
          <w:p>
            <w:pPr>
              <w:jc w:val="both"/>
            </w:pPr>
          </w:p>
          <w:p>
            <w:pPr>
              <w:jc w:val="both"/>
            </w:pPr>
          </w:p>
          <w:p>
            <w:pPr>
              <w:jc w:val="both"/>
            </w:pPr>
            <w:r>
              <w:t>By:_______________________________</w:t>
            </w:r>
          </w:p>
          <w:p>
            <w:pPr>
              <w:tabs>
                <w:tab w:val="left" w:pos="0"/>
                <w:tab w:val="left" w:pos="3544"/>
              </w:tabs>
              <w:ind w:right="459" w:firstLine="450"/>
              <w:jc w:val="both"/>
            </w:pPr>
            <w:r>
              <w:t>Name: David Park</w:t>
            </w:r>
          </w:p>
          <w:p>
            <w:pPr>
              <w:tabs>
                <w:tab w:val="left" w:pos="0"/>
                <w:tab w:val="left" w:pos="3544"/>
              </w:tabs>
              <w:ind w:right="459" w:firstLine="450"/>
              <w:jc w:val="both"/>
            </w:pPr>
            <w:r>
              <w:t>Title: Managing Member</w:t>
            </w:r>
          </w:p>
          <w:p>
            <w:pPr>
              <w:tabs>
                <w:tab w:val="left" w:pos="0"/>
                <w:tab w:val="left" w:pos="3544"/>
              </w:tabs>
              <w:ind w:right="459" w:firstLine="450"/>
              <w:jc w:val="both"/>
            </w:pPr>
          </w:p>
          <w:p>
            <w:pPr>
              <w:tabs>
                <w:tab w:val="left" w:pos="0"/>
                <w:tab w:val="left" w:pos="3544"/>
              </w:tabs>
              <w:ind w:right="459" w:firstLine="450"/>
              <w:jc w:val="both"/>
            </w:pPr>
            <w:r>
              <w:t>Address for Notices:</w:t>
            </w:r>
          </w:p>
          <w:p>
            <w:pPr>
              <w:ind w:firstLine="450"/>
              <w:jc w:val="both"/>
            </w:pPr>
            <w:r>
              <w:t>633 W. 5th Street, 26th Floor</w:t>
            </w:r>
          </w:p>
          <w:p>
            <w:pPr>
              <w:ind w:firstLine="450"/>
              <w:jc w:val="both"/>
            </w:pPr>
            <w:r>
              <w:t>Los Angeles, CA 90071</w:t>
            </w:r>
          </w:p>
          <w:p>
            <w:pPr>
              <w:jc w:val="both"/>
            </w:pPr>
          </w:p>
          <w:p>
            <w:pPr>
              <w:jc w:val="both"/>
            </w:pPr>
          </w:p>
        </w:tc>
      </w:tr>
      <w:tr>
        <w:tc>
          <w:tcPr>
            <w:tcW w:w="4324" w:type="dxa"/>
          </w:tcPr>
          <w:p>
            <w:pPr>
              <w:jc w:val="both"/>
            </w:pPr>
          </w:p>
        </w:tc>
        <w:tc>
          <w:tcPr>
            <w:tcW w:w="4324" w:type="dxa"/>
          </w:tcPr>
          <w:p>
            <w:pPr>
              <w:jc w:val="both"/>
            </w:pPr>
          </w:p>
        </w:tc>
      </w:tr>
      <w:tr>
        <w:tc>
          <w:tcPr>
            <w:tcW w:w="4324" w:type="dxa"/>
          </w:tcPr>
          <w:p>
            <w:pPr>
              <w:pBdr>
                <w:top w:val="nil"/>
                <w:left w:val="nil"/>
                <w:bottom w:val="nil"/>
                <w:right w:val="nil"/>
                <w:between w:val="nil"/>
              </w:pBdr>
              <w:jc w:val="both"/>
            </w:pPr>
          </w:p>
        </w:tc>
        <w:tc>
          <w:tcPr>
            <w:tcW w:w="4324" w:type="dxa"/>
          </w:tcPr>
          <w:p>
            <w:pPr>
              <w:pBdr>
                <w:top w:val="nil"/>
                <w:left w:val="nil"/>
                <w:bottom w:val="nil"/>
                <w:right w:val="nil"/>
                <w:between w:val="nil"/>
              </w:pBdr>
              <w:tabs>
                <w:tab w:val="left" w:pos="0"/>
                <w:tab w:val="left" w:pos="3544"/>
              </w:tabs>
              <w:ind w:right="459"/>
              <w:jc w:val="both"/>
            </w:pPr>
          </w:p>
        </w:tc>
      </w:tr>
    </w:tbl>
    <w:p>
      <w:pPr>
        <w:pBdr>
          <w:top w:val="nil"/>
          <w:left w:val="nil"/>
          <w:bottom w:val="nil"/>
          <w:right w:val="nil"/>
          <w:between w:val="nil"/>
        </w:pBdr>
        <w:spacing w:before="240" w:after="360"/>
        <w:jc w:val="center"/>
        <w:rPr>
          <w:b/>
          <w:smallCaps/>
        </w:rPr>
        <w:sectPr>
          <w:headerReference w:type="first" r:id="rId9"/>
          <w:footerReference w:type="first" r:id="rId10"/>
          <w:pgSz w:w="12240" w:h="15840" w:code="1"/>
          <w:pgMar w:top="1440" w:right="1440" w:bottom="1440" w:left="1440" w:header="720" w:footer="720" w:gutter="0"/>
          <w:cols w:space="720"/>
          <w:titlePg/>
          <w:docGrid w:linePitch="360"/>
        </w:sectPr>
      </w:pPr>
    </w:p>
    <w:p>
      <w:pPr>
        <w:pStyle w:val="DMTitleB"/>
      </w:pPr>
      <w:r>
        <w:lastRenderedPageBreak/>
        <w:t>SCHEDULE 1</w:t>
      </w:r>
    </w:p>
    <w:p>
      <w:pPr>
        <w:pStyle w:val="DMTitleB"/>
      </w:pPr>
      <w:r>
        <w:t>COMMERCIAL TORT CLAIMS</w:t>
      </w:r>
    </w:p>
    <w:p>
      <w:pPr>
        <w:pBdr>
          <w:top w:val="nil"/>
          <w:left w:val="nil"/>
          <w:bottom w:val="nil"/>
          <w:right w:val="nil"/>
          <w:between w:val="nil"/>
        </w:pBdr>
        <w:spacing w:before="240" w:after="240"/>
        <w:jc w:val="center"/>
      </w:pPr>
    </w:p>
    <w:p>
      <w:pPr>
        <w:pBdr>
          <w:top w:val="nil"/>
          <w:left w:val="nil"/>
          <w:bottom w:val="nil"/>
          <w:right w:val="nil"/>
          <w:between w:val="nil"/>
        </w:pBdr>
        <w:spacing w:before="240" w:after="240"/>
        <w:jc w:val="center"/>
        <w:sectPr>
          <w:footerReference w:type="first" r:id="rId11"/>
          <w:pgSz w:w="12240" w:h="15840" w:code="1"/>
          <w:pgMar w:top="1440" w:right="1440" w:bottom="1440" w:left="1440" w:header="720" w:footer="720" w:gutter="0"/>
          <w:cols w:space="720"/>
          <w:titlePg/>
          <w:docGrid w:linePitch="360"/>
        </w:sectPr>
      </w:pPr>
    </w:p>
    <w:p>
      <w:pPr>
        <w:pStyle w:val="DMTitleB"/>
      </w:pPr>
      <w:r>
        <w:lastRenderedPageBreak/>
        <w:t>SCHEDULE 2</w:t>
      </w:r>
    </w:p>
    <w:p>
      <w:pPr>
        <w:pStyle w:val="DMTitleB"/>
      </w:pPr>
      <w:r>
        <w:t>LOCATION OF COLLATERAL</w:t>
      </w:r>
    </w:p>
    <w:p>
      <w:pPr>
        <w:pStyle w:val="DMTitleB"/>
      </w:pPr>
      <w:r>
        <w:t>4660 N. Rancho Drive, Las Vegas, NV 89130</w:t>
      </w:r>
    </w:p>
    <w:p>
      <w:pPr>
        <w:pStyle w:val="DMTitleB"/>
      </w:pPr>
      <w:bookmarkStart w:id="1" w:name="_GoBack"/>
      <w:bookmarkEnd w:id="1"/>
    </w:p>
    <w:sectPr>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noProof/>
      </w:rPr>
    </w:pPr>
    <w:r>
      <w:fldChar w:fldCharType="begin"/>
    </w:r>
    <w:r>
      <w:instrText xml:space="preserve"> PAGE   \* MERGEFORMAT </w:instrText>
    </w:r>
    <w:r>
      <w:fldChar w:fldCharType="separate"/>
    </w:r>
    <w:r>
      <w:rPr>
        <w:noProof/>
      </w:rPr>
      <w:t>10</w:t>
    </w:r>
    <w:r>
      <w:rPr>
        <w:noProof/>
      </w:rPr>
      <w:fldChar w:fldCharType="end"/>
    </w:r>
  </w:p>
  <w:p>
    <w:pPr>
      <w:pStyle w:val="Footer"/>
      <w:jc w:val="left"/>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DM3</w:t>
    </w:r>
    <w:proofErr w:type="spellEnd"/>
    <w:r>
      <w:rPr>
        <w:rStyle w:val="DocID"/>
      </w:rPr>
      <w:t>\8878945.4</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left"/>
      <w:rPr>
        <w:rStyle w:val="DocID"/>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DM3</w:t>
    </w:r>
    <w:proofErr w:type="spellEnd"/>
    <w:r>
      <w:rPr>
        <w:rStyle w:val="DocID"/>
      </w:rPr>
      <w:t>\8878945.4</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left"/>
      <w:rPr>
        <w:rStyle w:val="DocID"/>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DM3</w:t>
    </w:r>
    <w:proofErr w:type="spellEnd"/>
    <w:r>
      <w:rPr>
        <w:rStyle w:val="DocID"/>
      </w:rPr>
      <w:t>\8878945.4</w:t>
    </w:r>
    <w:r>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Style w:val="DocID"/>
        <w:sz w:val="22"/>
      </w:rPr>
    </w:pPr>
    <w:r>
      <w:rPr>
        <w:rStyle w:val="DocID"/>
        <w:sz w:val="22"/>
      </w:rPr>
      <w:t>SCHEDULE 1</w:t>
    </w:r>
  </w:p>
  <w:p>
    <w:pPr>
      <w:pStyle w:val="Footer"/>
      <w:jc w:val="left"/>
      <w:rPr>
        <w:rStyle w:val="DocID"/>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DM3</w:t>
    </w:r>
    <w:proofErr w:type="spellEnd"/>
    <w:r>
      <w:rPr>
        <w:rStyle w:val="DocID"/>
      </w:rPr>
      <w:t>\8878945.4</w:t>
    </w:r>
    <w:r>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Style w:val="DocID"/>
        <w:sz w:val="22"/>
      </w:rPr>
    </w:pPr>
    <w:r>
      <w:rPr>
        <w:rStyle w:val="DocID"/>
        <w:sz w:val="22"/>
      </w:rPr>
      <w:t>SCHEDULE 2</w:t>
    </w:r>
  </w:p>
  <w:p>
    <w:pPr>
      <w:pStyle w:val="Footer"/>
      <w:jc w:val="left"/>
      <w:rPr>
        <w:rStyle w:val="DocID"/>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DM3</w:t>
    </w:r>
    <w:proofErr w:type="spellEnd"/>
    <w:r>
      <w:rPr>
        <w:rStyle w:val="DocID"/>
      </w:rPr>
      <w:t>\8878945.4</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CC2"/>
    <w:multiLevelType w:val="multilevel"/>
    <w:tmpl w:val="AD787884"/>
    <w:name w:val="General Numbering (3a)-Scheme 1"/>
    <w:lvl w:ilvl="0">
      <w:start w:val="1"/>
      <w:numFmt w:val="upperLetter"/>
      <w:pStyle w:val="Heading1"/>
      <w:lvlText w:val="%1."/>
      <w:lvlJc w:val="left"/>
      <w:pPr>
        <w:tabs>
          <w:tab w:val="num" w:pos="1440"/>
        </w:tabs>
        <w:ind w:left="0" w:firstLine="720"/>
      </w:pPr>
      <w:rPr>
        <w:rFonts w:hint="default"/>
        <w:caps w:val="0"/>
        <w:color w:val="010000"/>
        <w:u w:val="none"/>
      </w:rPr>
    </w:lvl>
    <w:lvl w:ilvl="1">
      <w:start w:val="1"/>
      <w:numFmt w:val="decimal"/>
      <w:pStyle w:val="Heading2"/>
      <w:lvlText w:val="%2."/>
      <w:lvlJc w:val="left"/>
      <w:pPr>
        <w:tabs>
          <w:tab w:val="num" w:pos="2160"/>
        </w:tabs>
        <w:ind w:left="0" w:firstLine="720"/>
      </w:pPr>
      <w:rPr>
        <w:rFonts w:hint="default"/>
        <w:caps w:val="0"/>
        <w:color w:val="010000"/>
        <w:u w:val="none"/>
      </w:rPr>
    </w:lvl>
    <w:lvl w:ilvl="2">
      <w:start w:val="1"/>
      <w:numFmt w:val="lowerLetter"/>
      <w:pStyle w:val="Heading3"/>
      <w:lvlText w:val="(%3)"/>
      <w:lvlJc w:val="left"/>
      <w:pPr>
        <w:tabs>
          <w:tab w:val="num" w:pos="2880"/>
        </w:tabs>
        <w:ind w:left="0" w:firstLine="1440"/>
      </w:pPr>
      <w:rPr>
        <w:rFonts w:hint="default"/>
        <w:caps w:val="0"/>
        <w:color w:val="010000"/>
        <w:u w:val="none"/>
      </w:rPr>
    </w:lvl>
    <w:lvl w:ilvl="3">
      <w:start w:val="1"/>
      <w:numFmt w:val="lowerRoman"/>
      <w:pStyle w:val="Heading4"/>
      <w:lvlText w:val="(%4)"/>
      <w:lvlJc w:val="left"/>
      <w:pPr>
        <w:tabs>
          <w:tab w:val="num" w:pos="3600"/>
        </w:tabs>
        <w:ind w:left="0" w:firstLine="2880"/>
      </w:pPr>
      <w:rPr>
        <w:rFonts w:hint="default"/>
        <w:caps w:val="0"/>
        <w:color w:val="010000"/>
        <w:u w:val="none"/>
      </w:rPr>
    </w:lvl>
    <w:lvl w:ilvl="4">
      <w:start w:val="1"/>
      <w:numFmt w:val="decimal"/>
      <w:pStyle w:val="Heading5"/>
      <w:lvlText w:val="(%5)"/>
      <w:lvlJc w:val="left"/>
      <w:pPr>
        <w:tabs>
          <w:tab w:val="num" w:pos="4320"/>
        </w:tabs>
        <w:ind w:left="0" w:firstLine="3600"/>
      </w:pPr>
      <w:rPr>
        <w:rFonts w:hint="default"/>
        <w:caps w:val="0"/>
        <w:color w:val="010000"/>
        <w:u w:val="none"/>
      </w:rPr>
    </w:lvl>
    <w:lvl w:ilvl="5">
      <w:start w:val="1"/>
      <w:numFmt w:val="lowerLetter"/>
      <w:pStyle w:val="Heading6"/>
      <w:lvlText w:val="(%6)"/>
      <w:lvlJc w:val="left"/>
      <w:pPr>
        <w:tabs>
          <w:tab w:val="num" w:pos="5040"/>
        </w:tabs>
        <w:ind w:left="0" w:firstLine="4320"/>
      </w:pPr>
      <w:rPr>
        <w:rFonts w:hint="default"/>
        <w:caps w:val="0"/>
        <w:color w:val="010000"/>
        <w:u w:val="none"/>
      </w:rPr>
    </w:lvl>
    <w:lvl w:ilvl="6">
      <w:start w:val="1"/>
      <w:numFmt w:val="lowerRoman"/>
      <w:pStyle w:val="Heading7"/>
      <w:lvlText w:val="(%7)"/>
      <w:lvlJc w:val="left"/>
      <w:pPr>
        <w:tabs>
          <w:tab w:val="num" w:pos="5760"/>
        </w:tabs>
        <w:ind w:left="0" w:firstLine="5040"/>
      </w:pPr>
      <w:rPr>
        <w:rFonts w:hint="default"/>
        <w:caps w:val="0"/>
        <w:color w:val="010000"/>
        <w:u w:val="none"/>
      </w:rPr>
    </w:lvl>
    <w:lvl w:ilvl="7">
      <w:start w:val="1"/>
      <w:numFmt w:val="decimal"/>
      <w:pStyle w:val="Heading8"/>
      <w:lvlText w:val="%8)"/>
      <w:lvlJc w:val="left"/>
      <w:pPr>
        <w:tabs>
          <w:tab w:val="num" w:pos="6480"/>
        </w:tabs>
        <w:ind w:left="0" w:firstLine="5760"/>
      </w:pPr>
      <w:rPr>
        <w:rFonts w:hint="default"/>
        <w:caps w:val="0"/>
        <w:color w:val="010000"/>
        <w:u w:val="none"/>
      </w:rPr>
    </w:lvl>
    <w:lvl w:ilvl="8">
      <w:start w:val="1"/>
      <w:numFmt w:val="lowerLetter"/>
      <w:pStyle w:val="Heading9"/>
      <w:lvlText w:val="%9)"/>
      <w:lvlJc w:val="left"/>
      <w:pPr>
        <w:tabs>
          <w:tab w:val="num" w:pos="7200"/>
        </w:tabs>
        <w:ind w:left="0" w:firstLine="6480"/>
      </w:pPr>
      <w:rPr>
        <w:rFonts w:hint="default"/>
        <w:caps w:val="0"/>
        <w:color w:val="010000"/>
        <w:u w:val="none"/>
      </w:rPr>
    </w:lvl>
  </w:abstractNum>
  <w:abstractNum w:abstractNumId="1" w15:restartNumberingAfterBreak="0">
    <w:nsid w:val="19CE1ADF"/>
    <w:multiLevelType w:val="hybridMultilevel"/>
    <w:tmpl w:val="9658234C"/>
    <w:name w:val="DM Bullet .25"/>
    <w:lvl w:ilvl="0" w:tplc="C3C4D02A">
      <w:start w:val="1"/>
      <w:numFmt w:val="bullet"/>
      <w:lvlRestart w:val="0"/>
      <w:pStyle w:val="DMBullet25"/>
      <w:lvlText w:val=""/>
      <w:lvlJc w:val="left"/>
      <w:pPr>
        <w:tabs>
          <w:tab w:val="num" w:pos="360"/>
        </w:tabs>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11E41"/>
    <w:multiLevelType w:val="hybridMultilevel"/>
    <w:tmpl w:val="7ADE1B8C"/>
    <w:name w:val="DM List Tabbed"/>
    <w:lvl w:ilvl="0" w:tplc="1536370E">
      <w:start w:val="1"/>
      <w:numFmt w:val="decimal"/>
      <w:lvlRestart w:val="0"/>
      <w:pStyle w:val="DMListTabbed"/>
      <w:lvlText w:val="%1."/>
      <w:lvlJc w:val="left"/>
      <w:pPr>
        <w:tabs>
          <w:tab w:val="num" w:pos="144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E43200E"/>
    <w:multiLevelType w:val="hybridMultilevel"/>
    <w:tmpl w:val="D2128D1A"/>
    <w:name w:val="DM List Tabbed Dbl"/>
    <w:lvl w:ilvl="0" w:tplc="40D0E878">
      <w:start w:val="1"/>
      <w:numFmt w:val="decimal"/>
      <w:lvlRestart w:val="0"/>
      <w:pStyle w:val="DMListTabbedDb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D0296"/>
    <w:multiLevelType w:val="hybridMultilevel"/>
    <w:tmpl w:val="2E88A3AC"/>
    <w:name w:val="DM List 1"/>
    <w:lvl w:ilvl="0" w:tplc="22848712">
      <w:start w:val="1"/>
      <w:numFmt w:val="decimal"/>
      <w:lvlRestart w:val="0"/>
      <w:pStyle w:val="D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85F14"/>
    <w:multiLevelType w:val="hybridMultilevel"/>
    <w:tmpl w:val="6A326E88"/>
    <w:lvl w:ilvl="0" w:tplc="B484CED0">
      <w:start w:val="1"/>
      <w:numFmt w:val="bullet"/>
      <w:lvlRestart w:val="0"/>
      <w:lvlText w:val=""/>
      <w:lvlJc w:val="left"/>
      <w:pPr>
        <w:tabs>
          <w:tab w:val="num" w:pos="720"/>
        </w:tabs>
        <w:ind w:left="720" w:hanging="720"/>
      </w:pPr>
      <w:rPr>
        <w:rFonts w:ascii="Symbol" w:hAnsi="Symbol" w:cs="Times New Roman" w:hint="default"/>
      </w:rPr>
    </w:lvl>
    <w:lvl w:ilvl="1" w:tplc="C65A175E">
      <w:start w:val="1"/>
      <w:numFmt w:val="bullet"/>
      <w:pStyle w:val="DMBulletWrap"/>
      <w:lvlText w:val=""/>
      <w:lvlJc w:val="left"/>
      <w:pPr>
        <w:tabs>
          <w:tab w:val="num" w:pos="720"/>
        </w:tabs>
        <w:ind w:left="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02042C"/>
    <w:multiLevelType w:val="hybridMultilevel"/>
    <w:tmpl w:val="1120400C"/>
    <w:name w:val="DM Bullet .5"/>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E971B1"/>
    <w:multiLevelType w:val="singleLevel"/>
    <w:tmpl w:val="3A2ABB08"/>
    <w:name w:val="DM Bullet Left"/>
    <w:lvl w:ilvl="0">
      <w:start w:val="1"/>
      <w:numFmt w:val="bullet"/>
      <w:lvlRestart w:val="0"/>
      <w:pStyle w:val="DMBulletLeft"/>
      <w:lvlText w:val=""/>
      <w:lvlJc w:val="left"/>
      <w:pPr>
        <w:tabs>
          <w:tab w:val="num" w:pos="720"/>
        </w:tabs>
        <w:ind w:left="720" w:hanging="720"/>
      </w:pPr>
      <w:rPr>
        <w:rFonts w:ascii="Symbol" w:hAnsi="Symbol"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 w:numId="9">
    <w:abstractNumId w:val="1"/>
  </w:num>
  <w:num w:numId="10">
    <w:abstractNumId w:val="6"/>
  </w:num>
  <w:num w:numId="11">
    <w:abstractNumId w:val="7"/>
  </w:num>
  <w:num w:numId="12">
    <w:abstractNumId w:val="5"/>
  </w:num>
  <w:num w:numId="13">
    <w:abstractNumId w:val="4"/>
  </w:num>
  <w:num w:numId="14">
    <w:abstractNumId w:val="2"/>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4:54:25&lt;/LastUpdated&gt;&lt;NumberingSchemeID&gt;144&lt;/NumberingSchemeID&gt;&lt;SortOrder&gt;0&lt;/SortOrder&gt;&lt;Name&gt;General Numbering (3a)&lt;/Name&gt;&lt;NameFrench&gt;Numérotation générale (3a)&lt;/NameFrench&gt;&lt;Description&gt;General numbering pattern: A. 1. a. ... Numbering begins at the left margin.&lt;/Description&gt;&lt;DescriptionFrench&gt;Modèle général de numérotation :  A.  1.  a. …_x000d__x000a_La numérotation commence au niveau de la marge de gauche.&lt;/DescriptionFrench&gt;&lt;FilterID&gt;1&lt;/FilterID&gt;&lt;FilterArray&gt;1&lt;/FilterArray&gt;&lt;DefaultNumberOfLevelsInTOC&gt;3&lt;/DefaultNumberOfLevelsInTOC&gt;&lt;CustomTOCAttached&gt;false&lt;/CustomTOCAttached&gt;&lt;DefaultTOCSchemeID&gt;0&lt;/DefaultTOCSchemeID&gt;&lt;BitMapID&gt;512&lt;/BitMapID&gt;&lt;Hidden&gt;false&lt;/Hidden&gt;&lt;ListIndexUsed&gt;0&lt;/ListIndexUsed&gt;&lt;CapturedDocument&gt;\\pcgserver\PcgStaff\MichelleGuyot\Numbering Assistant\2013\New Scheme\General Numbering (3a).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gt;&lt;NumberingSchemeOption&gt;&lt;LastUpdated&gt;0001-01-01T00:00:00&lt;/LastUpdated&gt;&lt;NumberingScheme_OptionID&gt;577&lt;/NumberingScheme_OptionID&gt;&lt;NumberingSchemeID&gt;144&lt;/NumberingSchemeID&gt;&lt;OptionID&gt;0&lt;/OptionID&gt;&lt;Code&gt;AutoNumbering&lt;/Code&gt;&lt;Value&gt;0&lt;/Value&gt;&lt;SortOrder&gt;0&lt;/SortOrder&gt;&lt;MutuallyExclusive1&gt;false&lt;/MutuallyExclusive1&gt;&lt;MutuallyExclusive2&gt;false&lt;/MutuallyExclusive2&gt;&lt;MutuallyExclusive3&gt;false&lt;/MutuallyExclusive3&gt;&lt;/NumberingSchemeOption&gt;&lt;NumberingSchemeOption&gt;&lt;LastUpdated&gt;0001-01-01T00:00:00&lt;/LastUpdated&gt;&lt;NumberingScheme_OptionID&gt;579&lt;/NumberingScheme_OptionID&gt;&lt;NumberingSchemeID&gt;144&lt;/NumberingSchemeID&gt;&lt;OptionID&gt;0&lt;/OptionID&gt;&lt;Code&gt;RemoveHangingIndents&lt;/Code&gt;&lt;Value&gt;0&lt;/Value&gt;&lt;SortOrder&gt;0&lt;/SortOrder&gt;&lt;MutuallyExclusive1&gt;false&lt;/MutuallyExclusive1&gt;&lt;MutuallyExclusive2&gt;false&lt;/MutuallyExclusive2&gt;&lt;MutuallyExclusive3&gt;false&lt;/MutuallyExclusive3&gt;&lt;/NumberingSchemeOption&gt;&lt;NumberingSchemeOption&gt;&lt;LastUpdated&gt;0001-01-01T00:00:00&lt;/LastUpdated&gt;&lt;NumberingScheme_OptionID&gt;576&lt;/NumberingScheme_OptionID&gt;&lt;NumberingSchemeID&gt;144&lt;/NumberingSchemeID&gt;&lt;OptionID&gt;0&lt;/OptionID&gt;&lt;Code&gt;ApplyFullJustification&lt;/Code&gt;&lt;Value&gt;0&lt;/Value&gt;&lt;SortOrder&gt;0&lt;/SortOrder&gt;&lt;MutuallyExclusive1&gt;false&lt;/MutuallyExclusive1&gt;&lt;MutuallyExclusive2&gt;false&lt;/MutuallyExclusive2&gt;&lt;MutuallyExclusive3&gt;false&lt;/MutuallyExclusive3&gt;&lt;/NumberingSchemeOption&gt;&lt;/SelectedNumberingSchemeOptions&gt;&lt;Index&gt;1&lt;/Index&gt;&lt;/AddedNumberingScheme&gt;&lt;/ArrayOfAddedNumberingScheme&gt;"/>
    <w:docVar w:name="CMRemoved" w:val="True"/>
    <w:docVar w:name="DateRemoved" w:val="True"/>
    <w:docVar w:name="DefaultNumberOfLevelsInTOCForThisScheme" w:val="3"/>
    <w:docVar w:name="DocCategory1" w:val="R2523"/>
    <w:docVar w:name="DocCategory2" w:val="00059"/>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EnforceSchemeFont" w:val="False"/>
    <w:docVar w:name="LastSchemeChoice" w:val="General Numbering (3a)"/>
    <w:docVar w:name="LastSchemeUniqueID" w:val="144"/>
    <w:docVar w:name="LegacyDocIDRemoved" w:val="True"/>
    <w:docVar w:name="LegacyNa" w:val="False"/>
    <w:docVar w:name="Option0True" w:val="False"/>
    <w:docVar w:name="Option1True" w:val="False"/>
    <w:docVar w:name="Option2True" w:val="False"/>
    <w:docVar w:name="Option3True" w:val="False"/>
    <w:docVar w:name="StyleSeparatorCheck"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5034C8-1378-4B7C-A86A-2BA2FBE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rPr>
  </w:style>
  <w:style w:type="paragraph" w:styleId="Heading1">
    <w:name w:val="heading 1"/>
    <w:basedOn w:val="Normal"/>
    <w:link w:val="Heading1Char"/>
    <w:uiPriority w:val="9"/>
    <w:qFormat/>
    <w:pPr>
      <w:numPr>
        <w:numId w:val="8"/>
      </w:numPr>
      <w:spacing w:after="240"/>
      <w:jc w:val="both"/>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8"/>
      </w:numPr>
      <w:tabs>
        <w:tab w:val="clear" w:pos="2160"/>
        <w:tab w:val="left" w:pos="1440"/>
      </w:tabs>
      <w:spacing w:after="240"/>
      <w:jc w:val="both"/>
      <w:outlineLvl w:val="1"/>
    </w:pPr>
    <w:rPr>
      <w:rFonts w:eastAsiaTheme="majorEastAsia" w:cs="Times New Roman"/>
      <w:bCs/>
      <w:szCs w:val="26"/>
      <w:u w:val="single"/>
    </w:rPr>
  </w:style>
  <w:style w:type="paragraph" w:styleId="Heading3">
    <w:name w:val="heading 3"/>
    <w:basedOn w:val="Normal"/>
    <w:link w:val="Heading3Char"/>
    <w:uiPriority w:val="9"/>
    <w:unhideWhenUsed/>
    <w:qFormat/>
    <w:pPr>
      <w:numPr>
        <w:ilvl w:val="2"/>
        <w:numId w:val="8"/>
      </w:numPr>
      <w:tabs>
        <w:tab w:val="clear" w:pos="2880"/>
        <w:tab w:val="left" w:pos="2160"/>
      </w:tabs>
      <w:spacing w:after="240"/>
      <w:jc w:val="both"/>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8"/>
      </w:numPr>
      <w:tabs>
        <w:tab w:val="left" w:pos="3600"/>
      </w:tabs>
      <w:spacing w:after="240"/>
      <w:jc w:val="both"/>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8"/>
      </w:numPr>
      <w:tabs>
        <w:tab w:val="left" w:pos="4320"/>
      </w:tabs>
      <w:spacing w:after="240"/>
      <w:jc w:val="both"/>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8"/>
      </w:numPr>
      <w:tabs>
        <w:tab w:val="left" w:pos="5040"/>
      </w:tabs>
      <w:spacing w:after="240"/>
      <w:jc w:val="both"/>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8"/>
      </w:numPr>
      <w:tabs>
        <w:tab w:val="left" w:pos="5760"/>
      </w:tabs>
      <w:spacing w:after="240"/>
      <w:jc w:val="both"/>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8"/>
      </w:numPr>
      <w:tabs>
        <w:tab w:val="left" w:pos="6480"/>
      </w:tabs>
      <w:spacing w:after="240"/>
      <w:jc w:val="both"/>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8"/>
      </w:numPr>
      <w:tabs>
        <w:tab w:val="left" w:pos="7200"/>
      </w:tabs>
      <w:spacing w:after="240"/>
      <w:jc w:val="both"/>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jc w:val="both"/>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qFormat/>
    <w:pPr>
      <w:numPr>
        <w:numId w:val="11"/>
      </w:numPr>
      <w:spacing w:after="240"/>
    </w:pPr>
    <w:rPr>
      <w:rFonts w:eastAsia="Times New Roman" w:cs="Times New Roman"/>
      <w:szCs w:val="20"/>
    </w:rPr>
  </w:style>
  <w:style w:type="paragraph" w:customStyle="1" w:styleId="DMBulletWrap">
    <w:name w:val="DM Bullet Wrap"/>
    <w:basedOn w:val="Normal"/>
    <w:pPr>
      <w:numPr>
        <w:ilvl w:val="1"/>
        <w:numId w:val="12"/>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pPr>
    <w:rPr>
      <w:rFonts w:eastAsia="Times New Roman" w:cs="Times New Roman"/>
      <w:szCs w:val="20"/>
    </w:rPr>
  </w:style>
  <w:style w:type="paragraph" w:customStyle="1" w:styleId="DMLeftInd1">
    <w:name w:val="DM Left Ind 1"/>
    <w:basedOn w:val="Normal"/>
    <w:qFormat/>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qFormat/>
    <w:pPr>
      <w:numPr>
        <w:numId w:val="14"/>
      </w:numPr>
      <w:spacing w:after="240"/>
      <w:contextualSpacing/>
    </w:pPr>
    <w:rPr>
      <w:rFonts w:eastAsia="Times New Roman" w:cs="Times New Roman"/>
      <w:szCs w:val="24"/>
    </w:rPr>
  </w:style>
  <w:style w:type="paragraph" w:customStyle="1" w:styleId="DMListTabbedDbl">
    <w:name w:val="DM List Tabbed Dbl"/>
    <w:basedOn w:val="Normal"/>
    <w:qFormat/>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outlineLvl w:val="0"/>
    </w:pPr>
    <w:rPr>
      <w:rFonts w:eastAsia="Times New Roman" w:cs="Times New Roman"/>
      <w:b/>
      <w:szCs w:val="20"/>
    </w:rPr>
  </w:style>
  <w:style w:type="character" w:customStyle="1" w:styleId="DocID">
    <w:name w:val="DocID"/>
    <w:basedOn w:val="DefaultParagraphFont"/>
    <w:qFormat/>
    <w:rPr>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
    <w:basedOn w:val="Normal"/>
    <w:next w:val="Normal"/>
    <w:link w:val="FootnoteTextChar"/>
    <w:pPr>
      <w:spacing w:after="240"/>
      <w:ind w:firstLine="720"/>
    </w:pPr>
    <w:rPr>
      <w:rFonts w:eastAsia="Times New Roman" w:cs="Times New Roman"/>
      <w:sz w:val="20"/>
      <w:szCs w:val="20"/>
    </w:rPr>
  </w:style>
  <w:style w:type="character" w:customStyle="1" w:styleId="FootnoteTextChar">
    <w:name w:val="Footnote Text Char"/>
    <w:aliases w:val="DM Footnote Text Char"/>
    <w:basedOn w:val="DefaultParagraphFont"/>
    <w:link w:val="FootnoteText"/>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jc w:val="center"/>
    </w:pPr>
  </w:style>
  <w:style w:type="character" w:customStyle="1" w:styleId="FooterChar">
    <w:name w:val="Footer Char"/>
    <w:basedOn w:val="DefaultParagraphFont"/>
    <w:link w:val="Footer"/>
    <w:uiPriority w:val="99"/>
    <w:rPr>
      <w:rFonts w:ascii="Times New Roman" w:hAnsi="Times New Roman"/>
    </w:rPr>
  </w:style>
  <w:style w:type="character" w:customStyle="1" w:styleId="Heading2Char">
    <w:name w:val="Heading 2 Char"/>
    <w:basedOn w:val="DefaultParagraphFont"/>
    <w:link w:val="Heading2"/>
    <w:uiPriority w:val="9"/>
    <w:rPr>
      <w:rFonts w:ascii="Times New Roman" w:eastAsiaTheme="majorEastAsia" w:hAnsi="Times New Roman" w:cs="Times New Roman"/>
      <w:bCs/>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jc w:val="both"/>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character" w:styleId="FootnoteReference">
    <w:name w:val="footnote reference"/>
  </w:style>
  <w:style w:type="paragraph" w:customStyle="1" w:styleId="HeadingBody1">
    <w:name w:val="HeadingBody1"/>
    <w:basedOn w:val="Normal"/>
    <w:next w:val="Heading1"/>
    <w:link w:val="HeadingBody1Char"/>
    <w:semiHidden/>
    <w:pPr>
      <w:spacing w:after="240"/>
      <w:ind w:firstLine="720"/>
      <w:jc w:val="both"/>
    </w:pPr>
    <w:rPr>
      <w:rFonts w:eastAsiaTheme="majorEastAsia" w:cs="Times New Roman"/>
      <w:szCs w:val="26"/>
    </w:rPr>
  </w:style>
  <w:style w:type="character" w:customStyle="1" w:styleId="HeadingBody1Char">
    <w:name w:val="HeadingBody1 Char"/>
    <w:basedOn w:val="Heading2Char"/>
    <w:link w:val="HeadingBody1"/>
    <w:semiHidden/>
    <w:rPr>
      <w:rFonts w:ascii="Times New Roman" w:eastAsiaTheme="majorEastAsia" w:hAnsi="Times New Roman" w:cs="Times New Roman"/>
      <w:bCs w:val="0"/>
      <w:sz w:val="24"/>
      <w:szCs w:val="26"/>
      <w:u w:val="single"/>
    </w:rPr>
  </w:style>
  <w:style w:type="paragraph" w:customStyle="1" w:styleId="HeadingBody2">
    <w:name w:val="HeadingBody2"/>
    <w:basedOn w:val="Normal"/>
    <w:next w:val="Heading2"/>
    <w:link w:val="HeadingBody2Char"/>
    <w:semiHidden/>
    <w:pPr>
      <w:spacing w:after="240"/>
      <w:ind w:firstLine="1440"/>
      <w:jc w:val="both"/>
    </w:pPr>
    <w:rPr>
      <w:rFonts w:eastAsiaTheme="majorEastAsia" w:cs="Times New Roman"/>
      <w:szCs w:val="26"/>
    </w:rPr>
  </w:style>
  <w:style w:type="character" w:customStyle="1" w:styleId="HeadingBody2Char">
    <w:name w:val="HeadingBody2 Char"/>
    <w:basedOn w:val="Heading2Char"/>
    <w:link w:val="HeadingBody2"/>
    <w:semiHidden/>
    <w:rPr>
      <w:rFonts w:ascii="Times New Roman" w:eastAsiaTheme="majorEastAsia" w:hAnsi="Times New Roman" w:cs="Times New Roman"/>
      <w:bCs w:val="0"/>
      <w:sz w:val="24"/>
      <w:szCs w:val="26"/>
      <w:u w:val="single"/>
    </w:rPr>
  </w:style>
  <w:style w:type="paragraph" w:customStyle="1" w:styleId="HeadingBody3">
    <w:name w:val="HeadingBody3"/>
    <w:basedOn w:val="Normal"/>
    <w:next w:val="Heading3"/>
    <w:link w:val="HeadingBody3Char"/>
    <w:semiHidden/>
    <w:pPr>
      <w:spacing w:after="240"/>
      <w:ind w:firstLine="2160"/>
      <w:jc w:val="both"/>
    </w:pPr>
    <w:rPr>
      <w:rFonts w:eastAsiaTheme="majorEastAsia" w:cs="Times New Roman"/>
      <w:szCs w:val="26"/>
    </w:rPr>
  </w:style>
  <w:style w:type="character" w:customStyle="1" w:styleId="HeadingBody3Char">
    <w:name w:val="HeadingBody3 Char"/>
    <w:basedOn w:val="Heading2Char"/>
    <w:link w:val="HeadingBody3"/>
    <w:semiHidden/>
    <w:rPr>
      <w:rFonts w:ascii="Times New Roman" w:eastAsiaTheme="majorEastAsia" w:hAnsi="Times New Roman" w:cs="Times New Roman"/>
      <w:bCs w:val="0"/>
      <w:sz w:val="24"/>
      <w:szCs w:val="26"/>
      <w:u w:val="single"/>
    </w:rPr>
  </w:style>
  <w:style w:type="paragraph" w:customStyle="1" w:styleId="HeadingBody4">
    <w:name w:val="HeadingBody4"/>
    <w:basedOn w:val="Normal"/>
    <w:next w:val="Heading4"/>
    <w:link w:val="HeadingBody4Char"/>
    <w:semiHidden/>
    <w:pPr>
      <w:spacing w:after="240"/>
      <w:ind w:firstLine="2880"/>
      <w:jc w:val="both"/>
    </w:pPr>
    <w:rPr>
      <w:rFonts w:eastAsiaTheme="majorEastAsia" w:cs="Times New Roman"/>
      <w:szCs w:val="26"/>
    </w:rPr>
  </w:style>
  <w:style w:type="character" w:customStyle="1" w:styleId="HeadingBody4Char">
    <w:name w:val="HeadingBody4 Char"/>
    <w:basedOn w:val="Heading2Char"/>
    <w:link w:val="HeadingBody4"/>
    <w:semiHidden/>
    <w:rPr>
      <w:rFonts w:ascii="Times New Roman" w:eastAsiaTheme="majorEastAsia" w:hAnsi="Times New Roman" w:cs="Times New Roman"/>
      <w:bCs w:val="0"/>
      <w:sz w:val="24"/>
      <w:szCs w:val="26"/>
      <w:u w:val="single"/>
    </w:rPr>
  </w:style>
  <w:style w:type="paragraph" w:customStyle="1" w:styleId="HeadingBody5">
    <w:name w:val="HeadingBody5"/>
    <w:basedOn w:val="Normal"/>
    <w:next w:val="Heading5"/>
    <w:link w:val="HeadingBody5Char"/>
    <w:semiHidden/>
    <w:pPr>
      <w:spacing w:after="240"/>
      <w:ind w:firstLine="3600"/>
      <w:jc w:val="both"/>
    </w:pPr>
    <w:rPr>
      <w:rFonts w:eastAsiaTheme="majorEastAsia" w:cs="Times New Roman"/>
      <w:szCs w:val="26"/>
    </w:rPr>
  </w:style>
  <w:style w:type="character" w:customStyle="1" w:styleId="HeadingBody5Char">
    <w:name w:val="HeadingBody5 Char"/>
    <w:basedOn w:val="Heading2Char"/>
    <w:link w:val="HeadingBody5"/>
    <w:semiHidden/>
    <w:rPr>
      <w:rFonts w:ascii="Times New Roman" w:eastAsiaTheme="majorEastAsia" w:hAnsi="Times New Roman" w:cs="Times New Roman"/>
      <w:bCs w:val="0"/>
      <w:sz w:val="24"/>
      <w:szCs w:val="26"/>
      <w:u w:val="single"/>
    </w:rPr>
  </w:style>
  <w:style w:type="paragraph" w:customStyle="1" w:styleId="HeadingBody6">
    <w:name w:val="HeadingBody6"/>
    <w:basedOn w:val="Normal"/>
    <w:next w:val="Heading6"/>
    <w:link w:val="HeadingBody6Char"/>
    <w:semiHidden/>
    <w:pPr>
      <w:spacing w:after="240"/>
      <w:ind w:firstLine="4320"/>
      <w:jc w:val="both"/>
    </w:pPr>
    <w:rPr>
      <w:rFonts w:eastAsiaTheme="majorEastAsia" w:cs="Times New Roman"/>
      <w:szCs w:val="26"/>
    </w:rPr>
  </w:style>
  <w:style w:type="character" w:customStyle="1" w:styleId="HeadingBody6Char">
    <w:name w:val="HeadingBody6 Char"/>
    <w:basedOn w:val="Heading2Char"/>
    <w:link w:val="HeadingBody6"/>
    <w:semiHidden/>
    <w:rPr>
      <w:rFonts w:ascii="Times New Roman" w:eastAsiaTheme="majorEastAsia" w:hAnsi="Times New Roman" w:cs="Times New Roman"/>
      <w:bCs w:val="0"/>
      <w:sz w:val="24"/>
      <w:szCs w:val="26"/>
      <w:u w:val="single"/>
    </w:rPr>
  </w:style>
  <w:style w:type="paragraph" w:customStyle="1" w:styleId="HeadingBody7">
    <w:name w:val="HeadingBody7"/>
    <w:basedOn w:val="Normal"/>
    <w:next w:val="Heading7"/>
    <w:link w:val="HeadingBody7Char"/>
    <w:semiHidden/>
    <w:pPr>
      <w:spacing w:after="240"/>
      <w:ind w:firstLine="5040"/>
      <w:jc w:val="both"/>
    </w:pPr>
    <w:rPr>
      <w:rFonts w:eastAsiaTheme="majorEastAsia" w:cs="Times New Roman"/>
      <w:szCs w:val="26"/>
    </w:rPr>
  </w:style>
  <w:style w:type="character" w:customStyle="1" w:styleId="HeadingBody7Char">
    <w:name w:val="HeadingBody7 Char"/>
    <w:basedOn w:val="Heading2Char"/>
    <w:link w:val="HeadingBody7"/>
    <w:semiHidden/>
    <w:rPr>
      <w:rFonts w:ascii="Times New Roman" w:eastAsiaTheme="majorEastAsia" w:hAnsi="Times New Roman" w:cs="Times New Roman"/>
      <w:bCs w:val="0"/>
      <w:sz w:val="24"/>
      <w:szCs w:val="26"/>
      <w:u w:val="single"/>
    </w:rPr>
  </w:style>
  <w:style w:type="paragraph" w:customStyle="1" w:styleId="HeadingBody8">
    <w:name w:val="HeadingBody8"/>
    <w:basedOn w:val="Normal"/>
    <w:next w:val="Heading8"/>
    <w:link w:val="HeadingBody8Char"/>
    <w:semiHidden/>
    <w:pPr>
      <w:spacing w:after="240"/>
      <w:ind w:firstLine="5760"/>
      <w:jc w:val="both"/>
    </w:pPr>
    <w:rPr>
      <w:rFonts w:eastAsiaTheme="majorEastAsia" w:cs="Times New Roman"/>
      <w:szCs w:val="26"/>
    </w:rPr>
  </w:style>
  <w:style w:type="character" w:customStyle="1" w:styleId="HeadingBody8Char">
    <w:name w:val="HeadingBody8 Char"/>
    <w:basedOn w:val="Heading2Char"/>
    <w:link w:val="HeadingBody8"/>
    <w:semiHidden/>
    <w:rPr>
      <w:rFonts w:ascii="Times New Roman" w:eastAsiaTheme="majorEastAsia" w:hAnsi="Times New Roman" w:cs="Times New Roman"/>
      <w:bCs w:val="0"/>
      <w:sz w:val="24"/>
      <w:szCs w:val="26"/>
      <w:u w:val="single"/>
    </w:rPr>
  </w:style>
  <w:style w:type="paragraph" w:customStyle="1" w:styleId="HeadingBody9">
    <w:name w:val="HeadingBody9"/>
    <w:basedOn w:val="Normal"/>
    <w:next w:val="Heading9"/>
    <w:link w:val="HeadingBody9Char"/>
    <w:semiHidden/>
    <w:pPr>
      <w:spacing w:after="240"/>
      <w:ind w:firstLine="6480"/>
      <w:jc w:val="both"/>
    </w:pPr>
    <w:rPr>
      <w:rFonts w:eastAsiaTheme="majorEastAsia" w:cs="Times New Roman"/>
      <w:szCs w:val="26"/>
    </w:rPr>
  </w:style>
  <w:style w:type="character" w:customStyle="1" w:styleId="HeadingBody9Char">
    <w:name w:val="HeadingBody9 Char"/>
    <w:basedOn w:val="Heading2Char"/>
    <w:link w:val="HeadingBody9"/>
    <w:semiHidden/>
    <w:rPr>
      <w:rFonts w:ascii="Times New Roman" w:eastAsiaTheme="majorEastAsia" w:hAnsi="Times New Roman" w:cs="Times New Roman"/>
      <w:bCs w:val="0"/>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uane%20Morri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13</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Lynn Elliott</cp:lastModifiedBy>
  <cp:revision>13</cp:revision>
  <dcterms:created xsi:type="dcterms:W3CDTF">2022-07-27T21:38:00Z</dcterms:created>
  <dcterms:modified xsi:type="dcterms:W3CDTF">2022-07-28T01:05:00Z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DM3\8878945.4</vt:lpwstr>
  </property>
</Properties>
</file>