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68744" w14:textId="30CE9D8A" w:rsidR="00EE3DD4" w:rsidRPr="00FD1F47" w:rsidRDefault="007751A3" w:rsidP="00FD1F47">
      <w:pPr>
        <w:pStyle w:val="ListParagraph"/>
        <w:spacing w:after="0" w:line="240" w:lineRule="auto"/>
        <w:jc w:val="center"/>
        <w:rPr>
          <w:rFonts w:ascii="Avenir Book" w:hAnsi="Avenir Book"/>
          <w:b/>
          <w:color w:val="538135" w:themeColor="accent6" w:themeShade="BF"/>
        </w:rPr>
      </w:pPr>
      <w:r w:rsidRPr="00FD1F47">
        <w:rPr>
          <w:rFonts w:ascii="Avenir Book" w:hAnsi="Avenir Book"/>
          <w:b/>
          <w:color w:val="538135" w:themeColor="accent6" w:themeShade="BF"/>
        </w:rPr>
        <w:t xml:space="preserve">Committee Members: </w:t>
      </w:r>
      <w:r w:rsidR="00830B6F" w:rsidRPr="00FD1F47">
        <w:rPr>
          <w:rFonts w:ascii="Avenir Book" w:hAnsi="Avenir Book"/>
          <w:b/>
          <w:color w:val="538135" w:themeColor="accent6" w:themeShade="BF"/>
        </w:rPr>
        <w:t xml:space="preserve">Adam </w:t>
      </w:r>
      <w:proofErr w:type="spellStart"/>
      <w:r w:rsidR="00830B6F" w:rsidRPr="00FD1F47">
        <w:rPr>
          <w:rFonts w:ascii="Avenir Book" w:hAnsi="Avenir Book"/>
          <w:b/>
          <w:color w:val="538135" w:themeColor="accent6" w:themeShade="BF"/>
        </w:rPr>
        <w:t>Laniyan</w:t>
      </w:r>
      <w:proofErr w:type="spellEnd"/>
      <w:r w:rsidR="00830B6F" w:rsidRPr="00FD1F47">
        <w:rPr>
          <w:rFonts w:ascii="Avenir Book" w:hAnsi="Avenir Book"/>
          <w:b/>
          <w:color w:val="538135" w:themeColor="accent6" w:themeShade="BF"/>
        </w:rPr>
        <w:t>,</w:t>
      </w:r>
      <w:r w:rsidRPr="00FD1F47">
        <w:rPr>
          <w:rFonts w:ascii="Avenir Book" w:hAnsi="Avenir Book"/>
          <w:b/>
          <w:color w:val="538135" w:themeColor="accent6" w:themeShade="BF"/>
        </w:rPr>
        <w:t xml:space="preserve"> </w:t>
      </w:r>
      <w:r w:rsidR="0054312B">
        <w:rPr>
          <w:rFonts w:ascii="Avenir Book" w:hAnsi="Avenir Book"/>
          <w:b/>
          <w:color w:val="538135" w:themeColor="accent6" w:themeShade="BF"/>
        </w:rPr>
        <w:t xml:space="preserve">Ambrosia Johnson (HOS), </w:t>
      </w:r>
      <w:r w:rsidR="007B62DB" w:rsidRPr="00FD1F47">
        <w:rPr>
          <w:rFonts w:ascii="Avenir Book" w:hAnsi="Avenir Book"/>
          <w:b/>
          <w:color w:val="538135" w:themeColor="accent6" w:themeShade="BF"/>
        </w:rPr>
        <w:t>Brian Andre (DOF)</w:t>
      </w:r>
    </w:p>
    <w:p w14:paraId="00149D30" w14:textId="77777777" w:rsidR="00FD1F47" w:rsidRPr="000F429C" w:rsidRDefault="00FD1F47" w:rsidP="000F429C">
      <w:pPr>
        <w:tabs>
          <w:tab w:val="left" w:pos="2661"/>
        </w:tabs>
        <w:spacing w:after="0" w:line="240" w:lineRule="auto"/>
        <w:jc w:val="both"/>
        <w:rPr>
          <w:rFonts w:ascii="Avenir Book" w:hAnsi="Avenir Book"/>
          <w:bCs/>
        </w:rPr>
      </w:pPr>
    </w:p>
    <w:p w14:paraId="74821B90" w14:textId="6A32FA2E" w:rsidR="00CD00B9" w:rsidRPr="00FD1F47" w:rsidRDefault="000F429C" w:rsidP="00FD1F47">
      <w:pPr>
        <w:pStyle w:val="ListParagraph"/>
        <w:numPr>
          <w:ilvl w:val="0"/>
          <w:numId w:val="47"/>
        </w:numPr>
        <w:tabs>
          <w:tab w:val="left" w:pos="2661"/>
        </w:tabs>
        <w:spacing w:after="0" w:line="240" w:lineRule="auto"/>
        <w:jc w:val="both"/>
        <w:rPr>
          <w:rFonts w:ascii="Avenir Book" w:hAnsi="Avenir Book"/>
        </w:rPr>
      </w:pPr>
      <w:r>
        <w:rPr>
          <w:rFonts w:ascii="Avenir Book" w:hAnsi="Avenir Book"/>
          <w:b/>
        </w:rPr>
        <w:t>October</w:t>
      </w:r>
      <w:r w:rsidR="00CD00B9" w:rsidRPr="00FD1F47">
        <w:rPr>
          <w:rFonts w:ascii="Avenir Book" w:hAnsi="Avenir Book"/>
          <w:b/>
        </w:rPr>
        <w:t xml:space="preserve"> </w:t>
      </w:r>
      <w:r w:rsidR="00A660FD" w:rsidRPr="00FD1F47">
        <w:rPr>
          <w:rFonts w:ascii="Avenir Book" w:hAnsi="Avenir Book"/>
          <w:b/>
        </w:rPr>
        <w:t xml:space="preserve">2021 </w:t>
      </w:r>
      <w:r w:rsidR="00CD00B9" w:rsidRPr="00FD1F47">
        <w:rPr>
          <w:rFonts w:ascii="Avenir Book" w:hAnsi="Avenir Book"/>
          <w:b/>
        </w:rPr>
        <w:t>Financials:</w:t>
      </w:r>
    </w:p>
    <w:p w14:paraId="2F22AFF2" w14:textId="421A5DD8" w:rsidR="009B6ECC" w:rsidRDefault="00A660FD" w:rsidP="00FD1F47">
      <w:pPr>
        <w:pStyle w:val="ListParagraph"/>
        <w:numPr>
          <w:ilvl w:val="1"/>
          <w:numId w:val="47"/>
        </w:numPr>
        <w:tabs>
          <w:tab w:val="left" w:pos="2661"/>
        </w:tabs>
        <w:spacing w:after="0" w:line="240" w:lineRule="auto"/>
        <w:jc w:val="both"/>
        <w:rPr>
          <w:rFonts w:ascii="Avenir Book" w:hAnsi="Avenir Book"/>
        </w:rPr>
      </w:pPr>
      <w:r w:rsidRPr="00FD1F47">
        <w:rPr>
          <w:rFonts w:ascii="Avenir Book" w:hAnsi="Avenir Book"/>
          <w:i/>
          <w:iCs/>
        </w:rPr>
        <w:t>Financial indicators and balance sheet review:</w:t>
      </w:r>
      <w:r w:rsidRPr="00FD1F47">
        <w:rPr>
          <w:rFonts w:ascii="Avenir Book" w:hAnsi="Avenir Book"/>
        </w:rPr>
        <w:t xml:space="preserve"> no significant items stand out. Cash on hand of</w:t>
      </w:r>
      <w:r w:rsidR="000F429C">
        <w:rPr>
          <w:rFonts w:ascii="Avenir Book" w:hAnsi="Avenir Book"/>
        </w:rPr>
        <w:t xml:space="preserve"> 254</w:t>
      </w:r>
      <w:r w:rsidR="004964D4">
        <w:rPr>
          <w:rFonts w:ascii="Avenir Book" w:hAnsi="Avenir Book"/>
        </w:rPr>
        <w:t xml:space="preserve"> days</w:t>
      </w:r>
      <w:r w:rsidR="000F429C">
        <w:rPr>
          <w:rFonts w:ascii="Avenir Book" w:hAnsi="Avenir Book"/>
        </w:rPr>
        <w:t xml:space="preserve"> (up from</w:t>
      </w:r>
      <w:r w:rsidRPr="00FD1F47">
        <w:rPr>
          <w:rFonts w:ascii="Avenir Book" w:hAnsi="Avenir Book"/>
        </w:rPr>
        <w:t xml:space="preserve"> 208 days</w:t>
      </w:r>
      <w:r w:rsidR="000F429C">
        <w:rPr>
          <w:rFonts w:ascii="Avenir Book" w:hAnsi="Avenir Book"/>
        </w:rPr>
        <w:t xml:space="preserve"> in September)</w:t>
      </w:r>
      <w:r w:rsidRPr="00FD1F47">
        <w:rPr>
          <w:rFonts w:ascii="Avenir Book" w:hAnsi="Avenir Book"/>
        </w:rPr>
        <w:t xml:space="preserve"> exceeds </w:t>
      </w:r>
      <w:proofErr w:type="gramStart"/>
      <w:r w:rsidRPr="00FD1F47">
        <w:rPr>
          <w:rFonts w:ascii="Avenir Book" w:hAnsi="Avenir Book"/>
        </w:rPr>
        <w:t>90 day</w:t>
      </w:r>
      <w:proofErr w:type="gramEnd"/>
      <w:r w:rsidRPr="00FD1F47">
        <w:rPr>
          <w:rFonts w:ascii="Avenir Book" w:hAnsi="Avenir Book"/>
        </w:rPr>
        <w:t xml:space="preserve"> goal. </w:t>
      </w:r>
      <w:r w:rsidR="001E376A">
        <w:rPr>
          <w:rFonts w:ascii="Avenir Book" w:hAnsi="Avenir Book"/>
        </w:rPr>
        <w:t xml:space="preserve">Unearned revenue includes DOE per pupil revenue payment, received in October, to be applied to November and December 2021 </w:t>
      </w:r>
      <w:r w:rsidR="008367F0">
        <w:rPr>
          <w:rFonts w:ascii="Avenir Book" w:hAnsi="Avenir Book"/>
        </w:rPr>
        <w:t>revenue</w:t>
      </w:r>
      <w:r w:rsidR="001E376A">
        <w:rPr>
          <w:rFonts w:ascii="Avenir Book" w:hAnsi="Avenir Book"/>
        </w:rPr>
        <w:t>.</w:t>
      </w:r>
      <w:r w:rsidR="00D345FF">
        <w:rPr>
          <w:rFonts w:ascii="Avenir Book" w:hAnsi="Avenir Book"/>
        </w:rPr>
        <w:t xml:space="preserve"> </w:t>
      </w:r>
    </w:p>
    <w:p w14:paraId="2360D75F" w14:textId="6BEF5F33" w:rsidR="00D345FF" w:rsidRPr="00D345FF" w:rsidRDefault="00D345FF" w:rsidP="00FD1F47">
      <w:pPr>
        <w:pStyle w:val="ListParagraph"/>
        <w:numPr>
          <w:ilvl w:val="1"/>
          <w:numId w:val="47"/>
        </w:numPr>
        <w:tabs>
          <w:tab w:val="left" w:pos="2661"/>
        </w:tabs>
        <w:spacing w:after="0" w:line="240" w:lineRule="auto"/>
        <w:jc w:val="both"/>
        <w:rPr>
          <w:rFonts w:ascii="Avenir Book" w:hAnsi="Avenir Book"/>
        </w:rPr>
      </w:pPr>
      <w:r w:rsidRPr="00D345FF">
        <w:rPr>
          <w:rFonts w:ascii="Avenir Book" w:hAnsi="Avenir Book"/>
        </w:rPr>
        <w:t xml:space="preserve">Ivy Hill Prep received the initial 20% outlay for the ESSER II grant. </w:t>
      </w:r>
      <w:r w:rsidR="0075692E">
        <w:rPr>
          <w:rFonts w:ascii="Avenir Book" w:hAnsi="Avenir Book"/>
        </w:rPr>
        <w:t>Expenditure tagging for grants should be reflected in November 2021 financial reporting.</w:t>
      </w:r>
    </w:p>
    <w:p w14:paraId="037EDB0B" w14:textId="2B497DDF" w:rsidR="00241180" w:rsidRPr="00FD1F47" w:rsidRDefault="00241180" w:rsidP="00FD1F47">
      <w:pPr>
        <w:pStyle w:val="ListParagraph"/>
        <w:numPr>
          <w:ilvl w:val="1"/>
          <w:numId w:val="47"/>
        </w:numPr>
        <w:tabs>
          <w:tab w:val="left" w:pos="2661"/>
        </w:tabs>
        <w:spacing w:after="0" w:line="240" w:lineRule="auto"/>
        <w:jc w:val="both"/>
        <w:rPr>
          <w:rFonts w:ascii="Avenir Book" w:hAnsi="Avenir Book"/>
        </w:rPr>
      </w:pPr>
      <w:r w:rsidRPr="00FD1F47">
        <w:rPr>
          <w:rFonts w:ascii="Avenir Book" w:hAnsi="Avenir Book"/>
          <w:i/>
          <w:iCs/>
        </w:rPr>
        <w:t>AP aging review:</w:t>
      </w:r>
      <w:r w:rsidRPr="00FD1F47">
        <w:rPr>
          <w:rFonts w:ascii="Avenir Book" w:hAnsi="Avenir Book"/>
        </w:rPr>
        <w:t xml:space="preserve"> no </w:t>
      </w:r>
      <w:r w:rsidR="001E376A">
        <w:rPr>
          <w:rFonts w:ascii="Avenir Book" w:hAnsi="Avenir Book"/>
        </w:rPr>
        <w:t xml:space="preserve">reported </w:t>
      </w:r>
      <w:r w:rsidRPr="00FD1F47">
        <w:rPr>
          <w:rFonts w:ascii="Avenir Book" w:hAnsi="Avenir Book"/>
        </w:rPr>
        <w:t>outstanding invoices greater than 30 days</w:t>
      </w:r>
      <w:r w:rsidR="001E376A">
        <w:rPr>
          <w:rFonts w:ascii="Avenir Book" w:hAnsi="Avenir Book"/>
        </w:rPr>
        <w:t>. However, we’ve recently uncovered some overdue bills for curriculum</w:t>
      </w:r>
      <w:r w:rsidR="00537F2D">
        <w:rPr>
          <w:rFonts w:ascii="Avenir Book" w:hAnsi="Avenir Book"/>
        </w:rPr>
        <w:t xml:space="preserve"> and office equipment</w:t>
      </w:r>
      <w:r w:rsidR="001E376A">
        <w:rPr>
          <w:rFonts w:ascii="Avenir Book" w:hAnsi="Avenir Book"/>
        </w:rPr>
        <w:t xml:space="preserve"> purchases</w:t>
      </w:r>
      <w:r w:rsidR="00537F2D">
        <w:rPr>
          <w:rFonts w:ascii="Avenir Book" w:hAnsi="Avenir Book"/>
        </w:rPr>
        <w:t xml:space="preserve">. These are being actioned as a matter of priority and speak to the gap in admin personnel as well as forwarding all invoices to bill.com directly. </w:t>
      </w:r>
      <w:r w:rsidR="001E376A">
        <w:rPr>
          <w:rFonts w:ascii="Avenir Book" w:hAnsi="Avenir Book"/>
        </w:rPr>
        <w:t xml:space="preserve"> </w:t>
      </w:r>
    </w:p>
    <w:p w14:paraId="1D51F804" w14:textId="6F40BBBE" w:rsidR="00241180" w:rsidRPr="00FD1F47" w:rsidRDefault="00241180" w:rsidP="00FD1F47">
      <w:pPr>
        <w:pStyle w:val="ListParagraph"/>
        <w:numPr>
          <w:ilvl w:val="1"/>
          <w:numId w:val="47"/>
        </w:numPr>
        <w:tabs>
          <w:tab w:val="left" w:pos="2661"/>
        </w:tabs>
        <w:spacing w:after="0" w:line="240" w:lineRule="auto"/>
        <w:jc w:val="both"/>
        <w:rPr>
          <w:rFonts w:ascii="Avenir Book" w:hAnsi="Avenir Book"/>
        </w:rPr>
      </w:pPr>
      <w:r w:rsidRPr="00FD1F47">
        <w:rPr>
          <w:rFonts w:ascii="Avenir Book" w:hAnsi="Avenir Book"/>
          <w:i/>
          <w:iCs/>
        </w:rPr>
        <w:t>Profit and loss review:</w:t>
      </w:r>
      <w:r w:rsidRPr="00FD1F47">
        <w:rPr>
          <w:rFonts w:ascii="Avenir Book" w:hAnsi="Avenir Book"/>
        </w:rPr>
        <w:t xml:space="preserve"> </w:t>
      </w:r>
      <w:r w:rsidR="00537F2D">
        <w:rPr>
          <w:rFonts w:ascii="Avenir Book" w:hAnsi="Avenir Book"/>
        </w:rPr>
        <w:t>margin as of October 31 of $512,000 is greater than budgeted margin of $24,000. This is due to higher than budgeted enrollment and savings against budgeted personnel costs.</w:t>
      </w:r>
    </w:p>
    <w:p w14:paraId="248ADB0C" w14:textId="7457F347" w:rsidR="00241180" w:rsidRDefault="00C3469C" w:rsidP="00FD1F47">
      <w:pPr>
        <w:pStyle w:val="ListParagraph"/>
        <w:numPr>
          <w:ilvl w:val="1"/>
          <w:numId w:val="47"/>
        </w:numPr>
        <w:tabs>
          <w:tab w:val="left" w:pos="2661"/>
        </w:tabs>
        <w:spacing w:after="0" w:line="240" w:lineRule="auto"/>
        <w:jc w:val="both"/>
        <w:rPr>
          <w:rFonts w:ascii="Avenir Book" w:hAnsi="Avenir Book"/>
        </w:rPr>
      </w:pPr>
      <w:r>
        <w:rPr>
          <w:rFonts w:ascii="Avenir Book" w:hAnsi="Avenir Book"/>
          <w:i/>
          <w:iCs/>
        </w:rPr>
        <w:t xml:space="preserve">Brian to provide personnel analysis. </w:t>
      </w:r>
      <w:r w:rsidRPr="00C3469C">
        <w:rPr>
          <w:rFonts w:ascii="Avenir Book" w:hAnsi="Avenir Book"/>
        </w:rPr>
        <w:t xml:space="preserve">The goal being to forecast year-end costs including </w:t>
      </w:r>
      <w:r>
        <w:rPr>
          <w:rFonts w:ascii="Avenir Book" w:hAnsi="Avenir Book"/>
        </w:rPr>
        <w:t xml:space="preserve">salaries, </w:t>
      </w:r>
      <w:r w:rsidRPr="00C3469C">
        <w:rPr>
          <w:rFonts w:ascii="Avenir Book" w:hAnsi="Avenir Book"/>
        </w:rPr>
        <w:t xml:space="preserve">payroll taxes and </w:t>
      </w:r>
      <w:r>
        <w:rPr>
          <w:rFonts w:ascii="Avenir Book" w:hAnsi="Avenir Book"/>
        </w:rPr>
        <w:t>benefits</w:t>
      </w:r>
      <w:r w:rsidRPr="00C3469C">
        <w:rPr>
          <w:rFonts w:ascii="Avenir Book" w:hAnsi="Avenir Book"/>
        </w:rPr>
        <w:t xml:space="preserve">. </w:t>
      </w:r>
    </w:p>
    <w:p w14:paraId="6D1CD138" w14:textId="0F7D749E" w:rsidR="00C3469C" w:rsidRDefault="00C3469C" w:rsidP="00FD1F47">
      <w:pPr>
        <w:pStyle w:val="ListParagraph"/>
        <w:numPr>
          <w:ilvl w:val="1"/>
          <w:numId w:val="47"/>
        </w:numPr>
        <w:tabs>
          <w:tab w:val="left" w:pos="2661"/>
        </w:tabs>
        <w:spacing w:after="0" w:line="240" w:lineRule="auto"/>
        <w:jc w:val="both"/>
        <w:rPr>
          <w:rFonts w:ascii="Avenir Book" w:hAnsi="Avenir Book"/>
        </w:rPr>
      </w:pPr>
      <w:r>
        <w:rPr>
          <w:rFonts w:ascii="Avenir Book" w:hAnsi="Avenir Book"/>
        </w:rPr>
        <w:t>YTD titlement services expenditure exceed annual budget of $4,500 by 26%. Billing comprises hourly support by Charter School Business Management (CSBM) for title, ESSER I and II grants.</w:t>
      </w:r>
    </w:p>
    <w:p w14:paraId="5AEF82ED" w14:textId="0B985BBA" w:rsidR="00D345FF" w:rsidRDefault="00D345FF" w:rsidP="00FD1F47">
      <w:pPr>
        <w:pStyle w:val="ListParagraph"/>
        <w:numPr>
          <w:ilvl w:val="1"/>
          <w:numId w:val="47"/>
        </w:numPr>
        <w:tabs>
          <w:tab w:val="left" w:pos="2661"/>
        </w:tabs>
        <w:spacing w:after="0" w:line="240" w:lineRule="auto"/>
        <w:jc w:val="both"/>
        <w:rPr>
          <w:rFonts w:ascii="Avenir Book" w:hAnsi="Avenir Book"/>
        </w:rPr>
      </w:pPr>
      <w:r>
        <w:rPr>
          <w:rFonts w:ascii="Avenir Book" w:hAnsi="Avenir Book"/>
        </w:rPr>
        <w:t xml:space="preserve">YTD COVID related spend is 11% above annual budget of $10,000. Most </w:t>
      </w:r>
      <w:proofErr w:type="gramStart"/>
      <w:r>
        <w:rPr>
          <w:rFonts w:ascii="Avenir Book" w:hAnsi="Avenir Book"/>
        </w:rPr>
        <w:t>all of</w:t>
      </w:r>
      <w:proofErr w:type="gramEnd"/>
      <w:r>
        <w:rPr>
          <w:rFonts w:ascii="Avenir Book" w:hAnsi="Avenir Book"/>
        </w:rPr>
        <w:t xml:space="preserve"> this expenditure will be offset by CARES Act grant reimbursement revenue. </w:t>
      </w:r>
      <w:r w:rsidR="0075692E">
        <w:rPr>
          <w:rFonts w:ascii="Avenir Book" w:hAnsi="Avenir Book"/>
        </w:rPr>
        <w:t>A detailed spend report was included in this month’s financial reporting package and was cursorily reviewed during the meeting.</w:t>
      </w:r>
    </w:p>
    <w:p w14:paraId="6F039707" w14:textId="216F57D2" w:rsidR="00165A0A" w:rsidRDefault="00165A0A" w:rsidP="00FD1F47">
      <w:pPr>
        <w:pStyle w:val="ListParagraph"/>
        <w:numPr>
          <w:ilvl w:val="1"/>
          <w:numId w:val="47"/>
        </w:numPr>
        <w:tabs>
          <w:tab w:val="left" w:pos="2661"/>
        </w:tabs>
        <w:spacing w:after="0" w:line="240" w:lineRule="auto"/>
        <w:jc w:val="both"/>
        <w:rPr>
          <w:rFonts w:ascii="Avenir Book" w:hAnsi="Avenir Book"/>
        </w:rPr>
      </w:pPr>
      <w:r>
        <w:rPr>
          <w:rFonts w:ascii="Avenir Book" w:hAnsi="Avenir Book"/>
        </w:rPr>
        <w:t>Other unfavorable YTD variances, including repairs and maintenance (151% of annual budget) speak to a larger concern of budgeting more accurately, incorporating a greater set of known variables each year.</w:t>
      </w:r>
    </w:p>
    <w:p w14:paraId="4788C710" w14:textId="29D4B201" w:rsidR="004964D4" w:rsidRDefault="004964D4" w:rsidP="004964D4">
      <w:pPr>
        <w:tabs>
          <w:tab w:val="left" w:pos="2661"/>
        </w:tabs>
        <w:spacing w:after="0" w:line="240" w:lineRule="auto"/>
        <w:jc w:val="both"/>
        <w:rPr>
          <w:rFonts w:ascii="Avenir Book" w:hAnsi="Avenir Book"/>
        </w:rPr>
      </w:pPr>
    </w:p>
    <w:p w14:paraId="5FBDAB2D" w14:textId="77777777" w:rsidR="004964D4" w:rsidRPr="004964D4" w:rsidRDefault="004964D4" w:rsidP="004964D4">
      <w:pPr>
        <w:tabs>
          <w:tab w:val="left" w:pos="2661"/>
        </w:tabs>
        <w:spacing w:after="0" w:line="240" w:lineRule="auto"/>
        <w:jc w:val="both"/>
        <w:rPr>
          <w:rFonts w:ascii="Avenir Book" w:hAnsi="Avenir Book"/>
        </w:rPr>
      </w:pPr>
    </w:p>
    <w:p w14:paraId="24145104" w14:textId="77777777" w:rsidR="00CD00B9" w:rsidRPr="00FD1F47" w:rsidRDefault="00CD00B9" w:rsidP="00FD1F47">
      <w:pPr>
        <w:pStyle w:val="ListParagraph"/>
        <w:spacing w:after="0" w:line="240" w:lineRule="auto"/>
        <w:ind w:left="1080"/>
        <w:jc w:val="both"/>
        <w:rPr>
          <w:rFonts w:ascii="Avenir Book" w:hAnsi="Avenir Book"/>
          <w:b/>
        </w:rPr>
      </w:pPr>
    </w:p>
    <w:p w14:paraId="59CF608A" w14:textId="2C1F1525" w:rsidR="009C22FF" w:rsidRDefault="007C5137" w:rsidP="00FD1F47">
      <w:pPr>
        <w:pStyle w:val="ListParagraph"/>
        <w:numPr>
          <w:ilvl w:val="0"/>
          <w:numId w:val="47"/>
        </w:numPr>
        <w:spacing w:after="0" w:line="240" w:lineRule="auto"/>
        <w:jc w:val="both"/>
        <w:rPr>
          <w:rFonts w:ascii="Avenir Book" w:hAnsi="Avenir Book"/>
          <w:b/>
        </w:rPr>
      </w:pPr>
      <w:r>
        <w:rPr>
          <w:rFonts w:ascii="Avenir Book" w:hAnsi="Avenir Book"/>
          <w:b/>
        </w:rPr>
        <w:lastRenderedPageBreak/>
        <w:t>Accounting Solutions transition update</w:t>
      </w:r>
    </w:p>
    <w:p w14:paraId="0D8B681B" w14:textId="276F78A9" w:rsidR="007C5137" w:rsidRPr="007C5137" w:rsidRDefault="007C5137" w:rsidP="007C5137">
      <w:pPr>
        <w:pStyle w:val="ListParagraph"/>
        <w:numPr>
          <w:ilvl w:val="1"/>
          <w:numId w:val="47"/>
        </w:numPr>
        <w:spacing w:after="0" w:line="240" w:lineRule="auto"/>
        <w:jc w:val="both"/>
        <w:rPr>
          <w:rFonts w:ascii="Avenir Book" w:hAnsi="Avenir Book"/>
          <w:bCs/>
        </w:rPr>
      </w:pPr>
      <w:r w:rsidRPr="007C5137">
        <w:rPr>
          <w:rFonts w:ascii="Avenir Book" w:hAnsi="Avenir Book"/>
          <w:bCs/>
        </w:rPr>
        <w:t xml:space="preserve">Brian briefly discussed the idea of a soft transition involving ASN, splitting </w:t>
      </w:r>
      <w:r w:rsidR="004964D4">
        <w:rPr>
          <w:rFonts w:ascii="Avenir Book" w:hAnsi="Avenir Book"/>
          <w:bCs/>
        </w:rPr>
        <w:t xml:space="preserve">billing, budgeting, </w:t>
      </w:r>
      <w:r w:rsidRPr="007C5137">
        <w:rPr>
          <w:rFonts w:ascii="Avenir Book" w:hAnsi="Avenir Book"/>
          <w:bCs/>
        </w:rPr>
        <w:t xml:space="preserve">admin and analysis work from accounting items (such as oversight of prepaids, unearned revenue, </w:t>
      </w:r>
      <w:r>
        <w:rPr>
          <w:rFonts w:ascii="Avenir Book" w:hAnsi="Avenir Book"/>
          <w:bCs/>
        </w:rPr>
        <w:t>and other revenue and expense accruals). The primary idea being to mitigate risk involved from combining these functions. To this end, he’s reached out to ascertain revised pricing, tailored service packages and existing best practices at ASN to accommodate this split. The matter has been escalated to ASN management for further discussion.</w:t>
      </w:r>
    </w:p>
    <w:p w14:paraId="4ED30D45" w14:textId="77777777" w:rsidR="00FD1F47" w:rsidRPr="00FD1F47" w:rsidRDefault="00FD1F47" w:rsidP="00FD1F47">
      <w:pPr>
        <w:pStyle w:val="ListParagraph"/>
        <w:spacing w:after="0" w:line="240" w:lineRule="auto"/>
        <w:ind w:left="1800"/>
        <w:jc w:val="both"/>
        <w:rPr>
          <w:rFonts w:ascii="Avenir Book" w:hAnsi="Avenir Book"/>
        </w:rPr>
      </w:pPr>
    </w:p>
    <w:p w14:paraId="39733569" w14:textId="1E449BD0" w:rsidR="00C703F2" w:rsidRPr="00FD1F47" w:rsidRDefault="00144202" w:rsidP="00FD1F47">
      <w:pPr>
        <w:pStyle w:val="ListParagraph"/>
        <w:numPr>
          <w:ilvl w:val="0"/>
          <w:numId w:val="47"/>
        </w:numPr>
        <w:tabs>
          <w:tab w:val="left" w:pos="2661"/>
        </w:tabs>
        <w:spacing w:after="0" w:line="240" w:lineRule="auto"/>
        <w:jc w:val="both"/>
        <w:rPr>
          <w:rFonts w:ascii="Avenir Book" w:hAnsi="Avenir Book"/>
        </w:rPr>
      </w:pPr>
      <w:r>
        <w:rPr>
          <w:rFonts w:ascii="Avenir Book" w:hAnsi="Avenir Book"/>
          <w:b/>
        </w:rPr>
        <w:t>Miscellaneous items</w:t>
      </w:r>
    </w:p>
    <w:p w14:paraId="10A3761D" w14:textId="676F1203" w:rsidR="00BE4A0A" w:rsidRDefault="00144202" w:rsidP="00144202">
      <w:pPr>
        <w:pStyle w:val="ListParagraph"/>
        <w:numPr>
          <w:ilvl w:val="1"/>
          <w:numId w:val="47"/>
        </w:numPr>
        <w:spacing w:after="0" w:line="240" w:lineRule="auto"/>
        <w:jc w:val="both"/>
        <w:rPr>
          <w:rFonts w:ascii="Avenir Book" w:hAnsi="Avenir Book"/>
          <w:color w:val="000000" w:themeColor="text1"/>
        </w:rPr>
      </w:pPr>
      <w:r>
        <w:rPr>
          <w:rFonts w:ascii="Avenir Book" w:hAnsi="Avenir Book"/>
          <w:color w:val="000000" w:themeColor="text1"/>
        </w:rPr>
        <w:t xml:space="preserve">Ambrosia and Brian have introduced the need for 5-year forecasting, </w:t>
      </w:r>
      <w:proofErr w:type="gramStart"/>
      <w:r>
        <w:rPr>
          <w:rFonts w:ascii="Avenir Book" w:hAnsi="Avenir Book"/>
          <w:color w:val="000000" w:themeColor="text1"/>
        </w:rPr>
        <w:t>taking into account</w:t>
      </w:r>
      <w:proofErr w:type="gramEnd"/>
      <w:r>
        <w:rPr>
          <w:rFonts w:ascii="Avenir Book" w:hAnsi="Avenir Book"/>
          <w:color w:val="000000" w:themeColor="text1"/>
        </w:rPr>
        <w:t xml:space="preserve"> expected revenue and expenditure, giving us an accurate look at Ivy Hill’s fiscal plans for the next five years and benchmarking budgeting efforts against it.</w:t>
      </w:r>
    </w:p>
    <w:p w14:paraId="2B12FDD1" w14:textId="2951D660" w:rsidR="00144202" w:rsidRDefault="00144202" w:rsidP="00144202">
      <w:pPr>
        <w:pStyle w:val="ListParagraph"/>
        <w:numPr>
          <w:ilvl w:val="1"/>
          <w:numId w:val="47"/>
        </w:numPr>
        <w:spacing w:after="0" w:line="240" w:lineRule="auto"/>
        <w:jc w:val="both"/>
        <w:rPr>
          <w:rFonts w:ascii="Avenir Book" w:hAnsi="Avenir Book"/>
          <w:color w:val="000000" w:themeColor="text1"/>
        </w:rPr>
      </w:pPr>
      <w:r>
        <w:rPr>
          <w:rFonts w:ascii="Avenir Book" w:hAnsi="Avenir Book"/>
          <w:color w:val="000000" w:themeColor="text1"/>
        </w:rPr>
        <w:t xml:space="preserve">Compensation analysis has begun, with the goal being to establish a compensation model that is equitable, allows for staff retention and </w:t>
      </w:r>
      <w:r w:rsidR="004964D4">
        <w:rPr>
          <w:rFonts w:ascii="Avenir Book" w:hAnsi="Avenir Book"/>
          <w:color w:val="000000" w:themeColor="text1"/>
        </w:rPr>
        <w:t xml:space="preserve">is </w:t>
      </w:r>
      <w:r>
        <w:rPr>
          <w:rFonts w:ascii="Avenir Book" w:hAnsi="Avenir Book"/>
          <w:color w:val="000000" w:themeColor="text1"/>
        </w:rPr>
        <w:t xml:space="preserve">fiscally reasonable. Ideas currently being modeled </w:t>
      </w:r>
      <w:proofErr w:type="gramStart"/>
      <w:r>
        <w:rPr>
          <w:rFonts w:ascii="Avenir Book" w:hAnsi="Avenir Book"/>
          <w:color w:val="000000" w:themeColor="text1"/>
        </w:rPr>
        <w:t>include, but</w:t>
      </w:r>
      <w:proofErr w:type="gramEnd"/>
      <w:r>
        <w:rPr>
          <w:rFonts w:ascii="Avenir Book" w:hAnsi="Avenir Book"/>
          <w:color w:val="000000" w:themeColor="text1"/>
        </w:rPr>
        <w:t xml:space="preserve"> are not limited to: 1) aligning with DOE scaling, 2) performance based compensation and 3) variable percentage increases. </w:t>
      </w:r>
    </w:p>
    <w:p w14:paraId="669915EF" w14:textId="0ABF918D" w:rsidR="00144202" w:rsidRDefault="004964D4" w:rsidP="00144202">
      <w:pPr>
        <w:pStyle w:val="ListParagraph"/>
        <w:numPr>
          <w:ilvl w:val="1"/>
          <w:numId w:val="47"/>
        </w:numPr>
        <w:spacing w:after="0" w:line="240" w:lineRule="auto"/>
        <w:jc w:val="both"/>
        <w:rPr>
          <w:rFonts w:ascii="Avenir Book" w:hAnsi="Avenir Book"/>
          <w:color w:val="000000" w:themeColor="text1"/>
        </w:rPr>
      </w:pPr>
      <w:r>
        <w:rPr>
          <w:rFonts w:ascii="Avenir Book" w:hAnsi="Avenir Book"/>
          <w:color w:val="000000" w:themeColor="text1"/>
        </w:rPr>
        <w:t xml:space="preserve">Another retention strategy being examined is tuition reimbursement. Brian to provide analysis based on preliminary ideas from Ambrosia in order to establish a reimbursement model for Ivy Hill staff. </w:t>
      </w:r>
    </w:p>
    <w:p w14:paraId="1E7119FD" w14:textId="47D8E5C4" w:rsidR="004964D4" w:rsidRDefault="004964D4" w:rsidP="00144202">
      <w:pPr>
        <w:pStyle w:val="ListParagraph"/>
        <w:numPr>
          <w:ilvl w:val="1"/>
          <w:numId w:val="47"/>
        </w:numPr>
        <w:spacing w:after="0" w:line="240" w:lineRule="auto"/>
        <w:jc w:val="both"/>
        <w:rPr>
          <w:rFonts w:ascii="Avenir Book" w:hAnsi="Avenir Book"/>
          <w:color w:val="000000" w:themeColor="text1"/>
        </w:rPr>
      </w:pPr>
      <w:r>
        <w:rPr>
          <w:rFonts w:ascii="Avenir Book" w:hAnsi="Avenir Book"/>
          <w:color w:val="000000" w:themeColor="text1"/>
        </w:rPr>
        <w:t>An amended PTO policy has been drafted and will be shared with the Finance Committee this month.</w:t>
      </w:r>
    </w:p>
    <w:p w14:paraId="66F37D72" w14:textId="7CCCDDD4" w:rsidR="004964D4" w:rsidRDefault="004964D4" w:rsidP="00144202">
      <w:pPr>
        <w:pStyle w:val="ListParagraph"/>
        <w:numPr>
          <w:ilvl w:val="1"/>
          <w:numId w:val="47"/>
        </w:numPr>
        <w:spacing w:after="0" w:line="240" w:lineRule="auto"/>
        <w:jc w:val="both"/>
        <w:rPr>
          <w:rFonts w:ascii="Avenir Book" w:hAnsi="Avenir Book"/>
          <w:color w:val="000000" w:themeColor="text1"/>
        </w:rPr>
      </w:pPr>
      <w:r>
        <w:rPr>
          <w:rFonts w:ascii="Avenir Book" w:hAnsi="Avenir Book"/>
          <w:color w:val="000000" w:themeColor="text1"/>
        </w:rPr>
        <w:t xml:space="preserve">There was some confusion re: the issuance of a new debit card to Brian, as it prompted the cancelation of the older card issued to Ambrosia. Some recurring purchases linked to the older card will need to be updated once the newly issued card is received. </w:t>
      </w:r>
    </w:p>
    <w:p w14:paraId="1A236F86" w14:textId="5A66FA5C" w:rsidR="004964D4" w:rsidRPr="004964D4" w:rsidRDefault="004964D4" w:rsidP="004964D4">
      <w:pPr>
        <w:spacing w:after="0" w:line="240" w:lineRule="auto"/>
        <w:jc w:val="both"/>
        <w:rPr>
          <w:rFonts w:ascii="Avenir Book" w:hAnsi="Avenir Book"/>
          <w:color w:val="000000" w:themeColor="text1"/>
        </w:rPr>
      </w:pPr>
    </w:p>
    <w:sectPr w:rsidR="004964D4" w:rsidRPr="004964D4" w:rsidSect="008568E8">
      <w:headerReference w:type="default" r:id="rId8"/>
      <w:footerReference w:type="default" r:id="rId9"/>
      <w:pgSz w:w="12240" w:h="15840"/>
      <w:pgMar w:top="1440" w:right="1440" w:bottom="1440" w:left="1440" w:header="720" w:footer="720" w:gutter="0"/>
      <w:pgBorders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B9649" w14:textId="77777777" w:rsidR="00B62013" w:rsidRDefault="00B62013" w:rsidP="00C23CB0">
      <w:pPr>
        <w:spacing w:after="0" w:line="240" w:lineRule="auto"/>
      </w:pPr>
      <w:r>
        <w:separator/>
      </w:r>
    </w:p>
  </w:endnote>
  <w:endnote w:type="continuationSeparator" w:id="0">
    <w:p w14:paraId="296C9670" w14:textId="77777777" w:rsidR="00B62013" w:rsidRDefault="00B62013" w:rsidP="00C23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B0C2" w14:textId="77777777" w:rsidR="00A03DC4" w:rsidRPr="00361D6F" w:rsidRDefault="00A03DC4" w:rsidP="003B3772">
    <w:pPr>
      <w:pBdr>
        <w:top w:val="single" w:sz="4" w:space="1" w:color="538135" w:themeColor="accent6" w:themeShade="BF"/>
      </w:pBdr>
      <w:spacing w:before="76" w:line="260" w:lineRule="auto"/>
      <w:ind w:right="116"/>
      <w:jc w:val="center"/>
      <w:rPr>
        <w:rFonts w:eastAsia="Times New Roman" w:cs="Times New Roman"/>
        <w:i/>
      </w:rPr>
    </w:pPr>
    <w:r w:rsidRPr="00361D6F">
      <w:rPr>
        <w:i/>
        <w:spacing w:val="-1"/>
      </w:rPr>
      <w:t xml:space="preserve">Through high-quality curriculum and instruction, intentional leadership development, and a commitment to excellence in all that we do, </w:t>
    </w:r>
    <w:r w:rsidRPr="008568E8">
      <w:rPr>
        <w:i/>
        <w:color w:val="538135" w:themeColor="accent6" w:themeShade="BF"/>
        <w:spacing w:val="-1"/>
      </w:rPr>
      <w:t xml:space="preserve">Ivy Hill Preparatory Charter School </w:t>
    </w:r>
    <w:r w:rsidRPr="00361D6F">
      <w:rPr>
        <w:i/>
        <w:spacing w:val="-1"/>
      </w:rPr>
      <w:t>educates kindergarten through fifth grade scholars to thrive in middle and high school, graduate from the college of their choice, and access lives of purpose and opportunity.</w:t>
    </w:r>
  </w:p>
  <w:p w14:paraId="2AE4939F" w14:textId="3668C5BD" w:rsidR="000E0FA3" w:rsidRPr="00A03DC4" w:rsidRDefault="000E0FA3" w:rsidP="00A0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1CA18" w14:textId="77777777" w:rsidR="00B62013" w:rsidRDefault="00B62013" w:rsidP="00C23CB0">
      <w:pPr>
        <w:spacing w:after="0" w:line="240" w:lineRule="auto"/>
      </w:pPr>
      <w:r>
        <w:separator/>
      </w:r>
    </w:p>
  </w:footnote>
  <w:footnote w:type="continuationSeparator" w:id="0">
    <w:p w14:paraId="278E84DC" w14:textId="77777777" w:rsidR="00B62013" w:rsidRDefault="00B62013" w:rsidP="00C23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4242" w14:textId="3BD0E4A0" w:rsidR="000E0FA3" w:rsidRDefault="005F182F" w:rsidP="00944D3E">
    <w:pPr>
      <w:pStyle w:val="Header"/>
      <w:jc w:val="center"/>
    </w:pPr>
    <w:r>
      <w:rPr>
        <w:noProof/>
      </w:rPr>
      <w:drawing>
        <wp:inline distT="0" distB="0" distL="0" distR="0" wp14:anchorId="24A80F41" wp14:editId="10AE2E12">
          <wp:extent cx="869950" cy="8699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_ Icon.jpg"/>
                  <pic:cNvPicPr/>
                </pic:nvPicPr>
                <pic:blipFill>
                  <a:blip r:embed="rId1">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inline>
      </w:drawing>
    </w:r>
  </w:p>
  <w:p w14:paraId="3109A43D" w14:textId="21FC47E4" w:rsidR="0029112D" w:rsidRDefault="00505ABB" w:rsidP="0029112D">
    <w:pPr>
      <w:pStyle w:val="ListParagraph"/>
      <w:jc w:val="center"/>
      <w:rPr>
        <w:b/>
        <w:sz w:val="28"/>
        <w:szCs w:val="28"/>
      </w:rPr>
    </w:pPr>
    <w:r>
      <w:rPr>
        <w:b/>
        <w:sz w:val="28"/>
        <w:szCs w:val="28"/>
      </w:rPr>
      <w:t>FINANCE</w:t>
    </w:r>
    <w:r w:rsidR="00DB6FFC">
      <w:rPr>
        <w:b/>
        <w:sz w:val="28"/>
        <w:szCs w:val="28"/>
      </w:rPr>
      <w:t xml:space="preserve"> </w:t>
    </w:r>
    <w:r w:rsidR="00944D3E">
      <w:rPr>
        <w:b/>
        <w:sz w:val="28"/>
        <w:szCs w:val="28"/>
      </w:rPr>
      <w:t>COMMITTEE MEETING</w:t>
    </w:r>
    <w:r w:rsidR="007751A3">
      <w:rPr>
        <w:b/>
        <w:sz w:val="28"/>
        <w:szCs w:val="28"/>
      </w:rPr>
      <w:t xml:space="preserve"> REPORT</w:t>
    </w:r>
  </w:p>
  <w:p w14:paraId="0F6DDB57" w14:textId="7236FA2A" w:rsidR="0029112D" w:rsidRDefault="0029112D" w:rsidP="0029112D">
    <w:pPr>
      <w:pStyle w:val="ListParagraph"/>
      <w:jc w:val="center"/>
      <w:rPr>
        <w:b/>
        <w:color w:val="538135" w:themeColor="accent6" w:themeShade="BF"/>
      </w:rPr>
    </w:pPr>
    <w:r>
      <w:rPr>
        <w:b/>
        <w:color w:val="538135" w:themeColor="accent6" w:themeShade="BF"/>
      </w:rPr>
      <w:t>STANDING</w:t>
    </w:r>
    <w:r w:rsidR="00944D3E">
      <w:rPr>
        <w:b/>
        <w:color w:val="538135" w:themeColor="accent6" w:themeShade="BF"/>
      </w:rPr>
      <w:t xml:space="preserve"> MEETING DATE </w:t>
    </w:r>
    <w:r w:rsidR="00505ABB">
      <w:rPr>
        <w:b/>
        <w:color w:val="538135" w:themeColor="accent6" w:themeShade="BF"/>
      </w:rPr>
      <w:t xml:space="preserve">THIRD MONDAY </w:t>
    </w:r>
    <w:r w:rsidR="00944D3E">
      <w:rPr>
        <w:b/>
        <w:color w:val="538135" w:themeColor="accent6" w:themeShade="BF"/>
      </w:rPr>
      <w:t>OF THE MONTH</w:t>
    </w:r>
  </w:p>
  <w:p w14:paraId="180A9422" w14:textId="219C745C" w:rsidR="00944D3E" w:rsidRDefault="00FD1F47" w:rsidP="0029112D">
    <w:pPr>
      <w:pStyle w:val="ListParagraph"/>
      <w:pBdr>
        <w:bottom w:val="single" w:sz="6" w:space="1" w:color="538135" w:themeColor="accent6" w:themeShade="BF"/>
      </w:pBdr>
      <w:jc w:val="center"/>
      <w:rPr>
        <w:b/>
        <w:color w:val="538135" w:themeColor="accent6" w:themeShade="BF"/>
      </w:rPr>
    </w:pPr>
    <w:r>
      <w:rPr>
        <w:b/>
        <w:color w:val="538135" w:themeColor="accent6" w:themeShade="BF"/>
      </w:rPr>
      <w:t>1</w:t>
    </w:r>
    <w:r w:rsidR="004964D4">
      <w:rPr>
        <w:b/>
        <w:color w:val="538135" w:themeColor="accent6" w:themeShade="BF"/>
      </w:rPr>
      <w:t>1</w:t>
    </w:r>
    <w:r w:rsidR="007B62DB">
      <w:rPr>
        <w:b/>
        <w:color w:val="538135" w:themeColor="accent6" w:themeShade="BF"/>
      </w:rPr>
      <w:t>/1</w:t>
    </w:r>
    <w:r w:rsidR="004964D4">
      <w:rPr>
        <w:b/>
        <w:color w:val="538135" w:themeColor="accent6" w:themeShade="BF"/>
      </w:rPr>
      <w:t>5</w:t>
    </w:r>
    <w:r w:rsidR="00830B6F">
      <w:rPr>
        <w:b/>
        <w:color w:val="538135" w:themeColor="accent6" w:themeShade="BF"/>
      </w:rPr>
      <w:t>/2</w:t>
    </w:r>
    <w:r w:rsidR="007B62DB">
      <w:rPr>
        <w:b/>
        <w:color w:val="538135" w:themeColor="accent6" w:themeShade="BF"/>
      </w:rPr>
      <w:t>1</w:t>
    </w:r>
    <w:r w:rsidR="00055C32">
      <w:rPr>
        <w:b/>
        <w:color w:val="538135" w:themeColor="accent6" w:themeShade="BF"/>
      </w:rPr>
      <w:t xml:space="preserve"> </w:t>
    </w:r>
    <w:r w:rsidR="0029112D" w:rsidRPr="008568E8">
      <w:rPr>
        <w:b/>
        <w:color w:val="538135" w:themeColor="accent6" w:themeShade="BF"/>
      </w:rPr>
      <w:t>|</w:t>
    </w:r>
    <w:r w:rsidR="007B62DB">
      <w:rPr>
        <w:b/>
        <w:color w:val="538135" w:themeColor="accent6" w:themeShade="BF"/>
      </w:rPr>
      <w:t xml:space="preserve"> </w:t>
    </w:r>
    <w:r w:rsidR="004964D4">
      <w:rPr>
        <w:b/>
        <w:color w:val="538135" w:themeColor="accent6" w:themeShade="BF"/>
      </w:rPr>
      <w:t>6</w:t>
    </w:r>
    <w:r w:rsidR="00830B6F">
      <w:rPr>
        <w:b/>
        <w:color w:val="538135" w:themeColor="accent6" w:themeShade="BF"/>
      </w:rPr>
      <w:t>:30pm</w:t>
    </w:r>
    <w:r w:rsidR="00055C32">
      <w:rPr>
        <w:b/>
        <w:color w:val="538135" w:themeColor="accent6" w:themeShade="BF"/>
      </w:rPr>
      <w:t xml:space="preserve"> </w:t>
    </w:r>
    <w:r w:rsidR="00DB6FFC">
      <w:rPr>
        <w:b/>
        <w:color w:val="538135" w:themeColor="accent6" w:themeShade="BF"/>
      </w:rPr>
      <w:t xml:space="preserve"> </w:t>
    </w:r>
  </w:p>
  <w:p w14:paraId="5A207D9F" w14:textId="77777777" w:rsidR="007751A3" w:rsidRPr="00DB6FFC" w:rsidRDefault="007751A3" w:rsidP="00DB6FFC">
    <w:pPr>
      <w:pStyle w:val="ListParagraph"/>
      <w:pBdr>
        <w:bottom w:val="single" w:sz="6" w:space="1" w:color="538135" w:themeColor="accent6" w:themeShade="BF"/>
      </w:pBd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22E"/>
    <w:multiLevelType w:val="hybridMultilevel"/>
    <w:tmpl w:val="03B0F45E"/>
    <w:lvl w:ilvl="0" w:tplc="8B9EA8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C50F3"/>
    <w:multiLevelType w:val="hybridMultilevel"/>
    <w:tmpl w:val="9AE23E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671303"/>
    <w:multiLevelType w:val="hybridMultilevel"/>
    <w:tmpl w:val="5AEA5D86"/>
    <w:lvl w:ilvl="0" w:tplc="FAAAD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97844"/>
    <w:multiLevelType w:val="hybridMultilevel"/>
    <w:tmpl w:val="0E58B120"/>
    <w:lvl w:ilvl="0" w:tplc="7E8E6B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8D317B"/>
    <w:multiLevelType w:val="hybridMultilevel"/>
    <w:tmpl w:val="E42897FE"/>
    <w:lvl w:ilvl="0" w:tplc="81AAEF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5923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2E500B"/>
    <w:multiLevelType w:val="hybridMultilevel"/>
    <w:tmpl w:val="FB16041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1B571B"/>
    <w:multiLevelType w:val="hybridMultilevel"/>
    <w:tmpl w:val="D1FA22C2"/>
    <w:lvl w:ilvl="0" w:tplc="B0CE5D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381770"/>
    <w:multiLevelType w:val="hybridMultilevel"/>
    <w:tmpl w:val="C3004D64"/>
    <w:lvl w:ilvl="0" w:tplc="FAAAD4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B0ABF"/>
    <w:multiLevelType w:val="hybridMultilevel"/>
    <w:tmpl w:val="47D04CA8"/>
    <w:lvl w:ilvl="0" w:tplc="AA7CE2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8430AD3"/>
    <w:multiLevelType w:val="hybridMultilevel"/>
    <w:tmpl w:val="0672C2CA"/>
    <w:lvl w:ilvl="0" w:tplc="BAACCC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043EF9"/>
    <w:multiLevelType w:val="hybridMultilevel"/>
    <w:tmpl w:val="38DEF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B2767D7"/>
    <w:multiLevelType w:val="hybridMultilevel"/>
    <w:tmpl w:val="95263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2A2C1F"/>
    <w:multiLevelType w:val="hybridMultilevel"/>
    <w:tmpl w:val="E8C098B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58187A"/>
    <w:multiLevelType w:val="hybridMultilevel"/>
    <w:tmpl w:val="0EE0E4D0"/>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25CC2F9E"/>
    <w:multiLevelType w:val="hybridMultilevel"/>
    <w:tmpl w:val="30D013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339EF"/>
    <w:multiLevelType w:val="hybridMultilevel"/>
    <w:tmpl w:val="8994781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2F97790A"/>
    <w:multiLevelType w:val="hybridMultilevel"/>
    <w:tmpl w:val="9EB2AB9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0C64686"/>
    <w:multiLevelType w:val="hybridMultilevel"/>
    <w:tmpl w:val="66868F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2A64874"/>
    <w:multiLevelType w:val="hybridMultilevel"/>
    <w:tmpl w:val="7D5EE6F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5B46E32"/>
    <w:multiLevelType w:val="hybridMultilevel"/>
    <w:tmpl w:val="A598533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5EA03B1"/>
    <w:multiLevelType w:val="hybridMultilevel"/>
    <w:tmpl w:val="C31C88B2"/>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36B800C8"/>
    <w:multiLevelType w:val="hybridMultilevel"/>
    <w:tmpl w:val="452E44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77D0591"/>
    <w:multiLevelType w:val="hybridMultilevel"/>
    <w:tmpl w:val="65DC26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4B04619"/>
    <w:multiLevelType w:val="hybridMultilevel"/>
    <w:tmpl w:val="EE9ED6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47D80056"/>
    <w:multiLevelType w:val="hybridMultilevel"/>
    <w:tmpl w:val="E95AA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47648"/>
    <w:multiLevelType w:val="hybridMultilevel"/>
    <w:tmpl w:val="46B60A14"/>
    <w:lvl w:ilvl="0" w:tplc="CE3C4C2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C407A6C"/>
    <w:multiLevelType w:val="hybridMultilevel"/>
    <w:tmpl w:val="9DB482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F426F58"/>
    <w:multiLevelType w:val="hybridMultilevel"/>
    <w:tmpl w:val="B3DC9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4F5D7BF8"/>
    <w:multiLevelType w:val="hybridMultilevel"/>
    <w:tmpl w:val="39DC0DB4"/>
    <w:lvl w:ilvl="0" w:tplc="B00078D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16930"/>
    <w:multiLevelType w:val="hybridMultilevel"/>
    <w:tmpl w:val="A73A0A6E"/>
    <w:lvl w:ilvl="0" w:tplc="E61443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581E85"/>
    <w:multiLevelType w:val="hybridMultilevel"/>
    <w:tmpl w:val="22AC93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852900"/>
    <w:multiLevelType w:val="hybridMultilevel"/>
    <w:tmpl w:val="B76AE526"/>
    <w:lvl w:ilvl="0" w:tplc="FE54A7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122D0B"/>
    <w:multiLevelType w:val="hybridMultilevel"/>
    <w:tmpl w:val="9B545E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56153BD0"/>
    <w:multiLevelType w:val="hybridMultilevel"/>
    <w:tmpl w:val="AD44B6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75D4475"/>
    <w:multiLevelType w:val="hybridMultilevel"/>
    <w:tmpl w:val="229E61DC"/>
    <w:lvl w:ilvl="0" w:tplc="B712A6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BB61AD2"/>
    <w:multiLevelType w:val="hybridMultilevel"/>
    <w:tmpl w:val="42EA93F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5FF341EE"/>
    <w:multiLevelType w:val="hybridMultilevel"/>
    <w:tmpl w:val="3342D92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8240053"/>
    <w:multiLevelType w:val="hybridMultilevel"/>
    <w:tmpl w:val="40E0606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15:restartNumberingAfterBreak="0">
    <w:nsid w:val="6D4F433E"/>
    <w:multiLevelType w:val="hybridMultilevel"/>
    <w:tmpl w:val="C9649A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DED6BD3"/>
    <w:multiLevelType w:val="hybridMultilevel"/>
    <w:tmpl w:val="6996239E"/>
    <w:lvl w:ilvl="0" w:tplc="7D5A49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3D6A22"/>
    <w:multiLevelType w:val="hybridMultilevel"/>
    <w:tmpl w:val="F5B4BE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6BF56B5"/>
    <w:multiLevelType w:val="hybridMultilevel"/>
    <w:tmpl w:val="4420D59A"/>
    <w:lvl w:ilvl="0" w:tplc="04090001">
      <w:start w:val="1"/>
      <w:numFmt w:val="bullet"/>
      <w:lvlText w:val=""/>
      <w:lvlJc w:val="left"/>
      <w:pPr>
        <w:ind w:left="2933" w:hanging="360"/>
      </w:pPr>
      <w:rPr>
        <w:rFonts w:ascii="Symbol" w:hAnsi="Symbol" w:hint="default"/>
      </w:rPr>
    </w:lvl>
    <w:lvl w:ilvl="1" w:tplc="04090003" w:tentative="1">
      <w:start w:val="1"/>
      <w:numFmt w:val="bullet"/>
      <w:lvlText w:val="o"/>
      <w:lvlJc w:val="left"/>
      <w:pPr>
        <w:ind w:left="3653" w:hanging="360"/>
      </w:pPr>
      <w:rPr>
        <w:rFonts w:ascii="Courier New" w:hAnsi="Courier New" w:cs="Courier New" w:hint="default"/>
      </w:rPr>
    </w:lvl>
    <w:lvl w:ilvl="2" w:tplc="04090005" w:tentative="1">
      <w:start w:val="1"/>
      <w:numFmt w:val="bullet"/>
      <w:lvlText w:val=""/>
      <w:lvlJc w:val="left"/>
      <w:pPr>
        <w:ind w:left="4373" w:hanging="360"/>
      </w:pPr>
      <w:rPr>
        <w:rFonts w:ascii="Wingdings" w:hAnsi="Wingdings" w:hint="default"/>
      </w:rPr>
    </w:lvl>
    <w:lvl w:ilvl="3" w:tplc="04090001" w:tentative="1">
      <w:start w:val="1"/>
      <w:numFmt w:val="bullet"/>
      <w:lvlText w:val=""/>
      <w:lvlJc w:val="left"/>
      <w:pPr>
        <w:ind w:left="5093" w:hanging="360"/>
      </w:pPr>
      <w:rPr>
        <w:rFonts w:ascii="Symbol" w:hAnsi="Symbol" w:hint="default"/>
      </w:rPr>
    </w:lvl>
    <w:lvl w:ilvl="4" w:tplc="04090003" w:tentative="1">
      <w:start w:val="1"/>
      <w:numFmt w:val="bullet"/>
      <w:lvlText w:val="o"/>
      <w:lvlJc w:val="left"/>
      <w:pPr>
        <w:ind w:left="5813" w:hanging="360"/>
      </w:pPr>
      <w:rPr>
        <w:rFonts w:ascii="Courier New" w:hAnsi="Courier New" w:cs="Courier New" w:hint="default"/>
      </w:rPr>
    </w:lvl>
    <w:lvl w:ilvl="5" w:tplc="04090005" w:tentative="1">
      <w:start w:val="1"/>
      <w:numFmt w:val="bullet"/>
      <w:lvlText w:val=""/>
      <w:lvlJc w:val="left"/>
      <w:pPr>
        <w:ind w:left="6533" w:hanging="360"/>
      </w:pPr>
      <w:rPr>
        <w:rFonts w:ascii="Wingdings" w:hAnsi="Wingdings" w:hint="default"/>
      </w:rPr>
    </w:lvl>
    <w:lvl w:ilvl="6" w:tplc="04090001" w:tentative="1">
      <w:start w:val="1"/>
      <w:numFmt w:val="bullet"/>
      <w:lvlText w:val=""/>
      <w:lvlJc w:val="left"/>
      <w:pPr>
        <w:ind w:left="7253" w:hanging="360"/>
      </w:pPr>
      <w:rPr>
        <w:rFonts w:ascii="Symbol" w:hAnsi="Symbol" w:hint="default"/>
      </w:rPr>
    </w:lvl>
    <w:lvl w:ilvl="7" w:tplc="04090003" w:tentative="1">
      <w:start w:val="1"/>
      <w:numFmt w:val="bullet"/>
      <w:lvlText w:val="o"/>
      <w:lvlJc w:val="left"/>
      <w:pPr>
        <w:ind w:left="7973" w:hanging="360"/>
      </w:pPr>
      <w:rPr>
        <w:rFonts w:ascii="Courier New" w:hAnsi="Courier New" w:cs="Courier New" w:hint="default"/>
      </w:rPr>
    </w:lvl>
    <w:lvl w:ilvl="8" w:tplc="04090005" w:tentative="1">
      <w:start w:val="1"/>
      <w:numFmt w:val="bullet"/>
      <w:lvlText w:val=""/>
      <w:lvlJc w:val="left"/>
      <w:pPr>
        <w:ind w:left="8693" w:hanging="360"/>
      </w:pPr>
      <w:rPr>
        <w:rFonts w:ascii="Wingdings" w:hAnsi="Wingdings" w:hint="default"/>
      </w:rPr>
    </w:lvl>
  </w:abstractNum>
  <w:abstractNum w:abstractNumId="43" w15:restartNumberingAfterBreak="0">
    <w:nsid w:val="78B6362D"/>
    <w:multiLevelType w:val="hybridMultilevel"/>
    <w:tmpl w:val="53B00DAE"/>
    <w:lvl w:ilvl="0" w:tplc="31A03B0A">
      <w:start w:val="1"/>
      <w:numFmt w:val="upperRoman"/>
      <w:lvlText w:val="%1."/>
      <w:lvlJc w:val="right"/>
      <w:pPr>
        <w:ind w:left="360" w:hanging="360"/>
      </w:pPr>
      <w:rPr>
        <w:b/>
      </w:rPr>
    </w:lvl>
    <w:lvl w:ilvl="1" w:tplc="04090019">
      <w:start w:val="1"/>
      <w:numFmt w:val="lowerLetter"/>
      <w:lvlText w:val="%2."/>
      <w:lvlJc w:val="left"/>
      <w:pPr>
        <w:ind w:left="1080" w:hanging="360"/>
      </w:pPr>
    </w:lvl>
    <w:lvl w:ilvl="2" w:tplc="50B465E8">
      <w:start w:val="2"/>
      <w:numFmt w:val="bullet"/>
      <w:lvlText w:val=""/>
      <w:lvlJc w:val="left"/>
      <w:pPr>
        <w:ind w:left="1980" w:hanging="360"/>
      </w:pPr>
      <w:rPr>
        <w:rFonts w:ascii="Symbol" w:eastAsiaTheme="minorHAnsi" w:hAnsi="Symbol"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BE006C9"/>
    <w:multiLevelType w:val="hybridMultilevel"/>
    <w:tmpl w:val="AAE0E8D4"/>
    <w:lvl w:ilvl="0" w:tplc="A7F27F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227762"/>
    <w:multiLevelType w:val="hybridMultilevel"/>
    <w:tmpl w:val="D04A35A8"/>
    <w:lvl w:ilvl="0" w:tplc="4FE6A0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7C6593"/>
    <w:multiLevelType w:val="hybridMultilevel"/>
    <w:tmpl w:val="618A5652"/>
    <w:lvl w:ilvl="0" w:tplc="157A3C86">
      <w:start w:val="1"/>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2"/>
  </w:num>
  <w:num w:numId="3">
    <w:abstractNumId w:val="8"/>
  </w:num>
  <w:num w:numId="4">
    <w:abstractNumId w:val="29"/>
  </w:num>
  <w:num w:numId="5">
    <w:abstractNumId w:val="11"/>
  </w:num>
  <w:num w:numId="6">
    <w:abstractNumId w:val="15"/>
  </w:num>
  <w:num w:numId="7">
    <w:abstractNumId w:val="25"/>
  </w:num>
  <w:num w:numId="8">
    <w:abstractNumId w:val="35"/>
  </w:num>
  <w:num w:numId="9">
    <w:abstractNumId w:val="4"/>
  </w:num>
  <w:num w:numId="10">
    <w:abstractNumId w:val="32"/>
  </w:num>
  <w:num w:numId="11">
    <w:abstractNumId w:val="3"/>
  </w:num>
  <w:num w:numId="12">
    <w:abstractNumId w:val="40"/>
  </w:num>
  <w:num w:numId="13">
    <w:abstractNumId w:val="30"/>
  </w:num>
  <w:num w:numId="14">
    <w:abstractNumId w:val="7"/>
  </w:num>
  <w:num w:numId="15">
    <w:abstractNumId w:val="44"/>
  </w:num>
  <w:num w:numId="16">
    <w:abstractNumId w:val="10"/>
  </w:num>
  <w:num w:numId="17">
    <w:abstractNumId w:val="39"/>
  </w:num>
  <w:num w:numId="18">
    <w:abstractNumId w:val="37"/>
  </w:num>
  <w:num w:numId="19">
    <w:abstractNumId w:val="22"/>
  </w:num>
  <w:num w:numId="20">
    <w:abstractNumId w:val="36"/>
  </w:num>
  <w:num w:numId="21">
    <w:abstractNumId w:val="33"/>
  </w:num>
  <w:num w:numId="22">
    <w:abstractNumId w:val="5"/>
  </w:num>
  <w:num w:numId="23">
    <w:abstractNumId w:val="0"/>
  </w:num>
  <w:num w:numId="24">
    <w:abstractNumId w:val="17"/>
  </w:num>
  <w:num w:numId="25">
    <w:abstractNumId w:val="9"/>
  </w:num>
  <w:num w:numId="26">
    <w:abstractNumId w:val="18"/>
  </w:num>
  <w:num w:numId="27">
    <w:abstractNumId w:val="28"/>
  </w:num>
  <w:num w:numId="28">
    <w:abstractNumId w:val="12"/>
  </w:num>
  <w:num w:numId="29">
    <w:abstractNumId w:val="21"/>
  </w:num>
  <w:num w:numId="30">
    <w:abstractNumId w:val="24"/>
  </w:num>
  <w:num w:numId="31">
    <w:abstractNumId w:val="6"/>
  </w:num>
  <w:num w:numId="32">
    <w:abstractNumId w:val="34"/>
  </w:num>
  <w:num w:numId="33">
    <w:abstractNumId w:val="13"/>
  </w:num>
  <w:num w:numId="34">
    <w:abstractNumId w:val="42"/>
  </w:num>
  <w:num w:numId="35">
    <w:abstractNumId w:val="23"/>
  </w:num>
  <w:num w:numId="36">
    <w:abstractNumId w:val="41"/>
  </w:num>
  <w:num w:numId="37">
    <w:abstractNumId w:val="1"/>
  </w:num>
  <w:num w:numId="38">
    <w:abstractNumId w:val="20"/>
  </w:num>
  <w:num w:numId="39">
    <w:abstractNumId w:val="26"/>
  </w:num>
  <w:num w:numId="40">
    <w:abstractNumId w:val="45"/>
  </w:num>
  <w:num w:numId="41">
    <w:abstractNumId w:val="31"/>
  </w:num>
  <w:num w:numId="42">
    <w:abstractNumId w:val="27"/>
  </w:num>
  <w:num w:numId="43">
    <w:abstractNumId w:val="19"/>
  </w:num>
  <w:num w:numId="44">
    <w:abstractNumId w:val="38"/>
  </w:num>
  <w:num w:numId="45">
    <w:abstractNumId w:val="14"/>
  </w:num>
  <w:num w:numId="46">
    <w:abstractNumId w:val="16"/>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CB0"/>
    <w:rsid w:val="00004017"/>
    <w:rsid w:val="00027795"/>
    <w:rsid w:val="00055C32"/>
    <w:rsid w:val="000741C0"/>
    <w:rsid w:val="000B3D5F"/>
    <w:rsid w:val="000E0FA3"/>
    <w:rsid w:val="000E27C9"/>
    <w:rsid w:val="000F429C"/>
    <w:rsid w:val="00121B82"/>
    <w:rsid w:val="00144202"/>
    <w:rsid w:val="00151216"/>
    <w:rsid w:val="00154A7F"/>
    <w:rsid w:val="00165A0A"/>
    <w:rsid w:val="001926CE"/>
    <w:rsid w:val="001B4E35"/>
    <w:rsid w:val="001C594A"/>
    <w:rsid w:val="001E376A"/>
    <w:rsid w:val="00214DB0"/>
    <w:rsid w:val="00225906"/>
    <w:rsid w:val="0023062D"/>
    <w:rsid w:val="00241180"/>
    <w:rsid w:val="00241FD9"/>
    <w:rsid w:val="002772B8"/>
    <w:rsid w:val="0029112D"/>
    <w:rsid w:val="00296575"/>
    <w:rsid w:val="002A6CBE"/>
    <w:rsid w:val="002C07E5"/>
    <w:rsid w:val="002F2355"/>
    <w:rsid w:val="002F4355"/>
    <w:rsid w:val="00304D26"/>
    <w:rsid w:val="00317CD9"/>
    <w:rsid w:val="003267DE"/>
    <w:rsid w:val="003519E3"/>
    <w:rsid w:val="003564E5"/>
    <w:rsid w:val="00372247"/>
    <w:rsid w:val="00375072"/>
    <w:rsid w:val="0038732C"/>
    <w:rsid w:val="003B3772"/>
    <w:rsid w:val="003F269C"/>
    <w:rsid w:val="004964D4"/>
    <w:rsid w:val="004D1417"/>
    <w:rsid w:val="00505ABB"/>
    <w:rsid w:val="00537F2D"/>
    <w:rsid w:val="0054312B"/>
    <w:rsid w:val="00544341"/>
    <w:rsid w:val="00547E23"/>
    <w:rsid w:val="0055441E"/>
    <w:rsid w:val="00583F12"/>
    <w:rsid w:val="00594B95"/>
    <w:rsid w:val="005F182F"/>
    <w:rsid w:val="00612A33"/>
    <w:rsid w:val="0061304F"/>
    <w:rsid w:val="00636E0F"/>
    <w:rsid w:val="00692A4E"/>
    <w:rsid w:val="006D3114"/>
    <w:rsid w:val="00700EA4"/>
    <w:rsid w:val="007269D0"/>
    <w:rsid w:val="0075692E"/>
    <w:rsid w:val="00764BA2"/>
    <w:rsid w:val="007751A3"/>
    <w:rsid w:val="00780DEE"/>
    <w:rsid w:val="00782577"/>
    <w:rsid w:val="007B2374"/>
    <w:rsid w:val="007B62DB"/>
    <w:rsid w:val="007C5137"/>
    <w:rsid w:val="007D6279"/>
    <w:rsid w:val="007F3584"/>
    <w:rsid w:val="00804C6F"/>
    <w:rsid w:val="00820F70"/>
    <w:rsid w:val="008222C2"/>
    <w:rsid w:val="00827EF5"/>
    <w:rsid w:val="00830B6F"/>
    <w:rsid w:val="008367F0"/>
    <w:rsid w:val="008568E8"/>
    <w:rsid w:val="00856E90"/>
    <w:rsid w:val="008574FF"/>
    <w:rsid w:val="00877416"/>
    <w:rsid w:val="00880D75"/>
    <w:rsid w:val="008A04D6"/>
    <w:rsid w:val="008A751B"/>
    <w:rsid w:val="008C6229"/>
    <w:rsid w:val="008C735B"/>
    <w:rsid w:val="008D5616"/>
    <w:rsid w:val="008E39D1"/>
    <w:rsid w:val="00902FDC"/>
    <w:rsid w:val="0091019D"/>
    <w:rsid w:val="00944D3E"/>
    <w:rsid w:val="00957CBD"/>
    <w:rsid w:val="00962403"/>
    <w:rsid w:val="00985818"/>
    <w:rsid w:val="00993AC6"/>
    <w:rsid w:val="009B6ECC"/>
    <w:rsid w:val="009C22FF"/>
    <w:rsid w:val="009E705F"/>
    <w:rsid w:val="00A03DC4"/>
    <w:rsid w:val="00A11D79"/>
    <w:rsid w:val="00A25953"/>
    <w:rsid w:val="00A376C0"/>
    <w:rsid w:val="00A41D8B"/>
    <w:rsid w:val="00A57432"/>
    <w:rsid w:val="00A660FD"/>
    <w:rsid w:val="00AB01B3"/>
    <w:rsid w:val="00AB1DCA"/>
    <w:rsid w:val="00AD5ACF"/>
    <w:rsid w:val="00B327C4"/>
    <w:rsid w:val="00B56695"/>
    <w:rsid w:val="00B62013"/>
    <w:rsid w:val="00B66292"/>
    <w:rsid w:val="00B7576C"/>
    <w:rsid w:val="00B9476E"/>
    <w:rsid w:val="00BE4A0A"/>
    <w:rsid w:val="00C0204A"/>
    <w:rsid w:val="00C06A16"/>
    <w:rsid w:val="00C15339"/>
    <w:rsid w:val="00C23CB0"/>
    <w:rsid w:val="00C3469C"/>
    <w:rsid w:val="00C429BD"/>
    <w:rsid w:val="00C47073"/>
    <w:rsid w:val="00C66123"/>
    <w:rsid w:val="00C703F2"/>
    <w:rsid w:val="00CD00B9"/>
    <w:rsid w:val="00D03347"/>
    <w:rsid w:val="00D27803"/>
    <w:rsid w:val="00D328DA"/>
    <w:rsid w:val="00D345FF"/>
    <w:rsid w:val="00D53625"/>
    <w:rsid w:val="00D77BB7"/>
    <w:rsid w:val="00D86A07"/>
    <w:rsid w:val="00DA498E"/>
    <w:rsid w:val="00DB6FFC"/>
    <w:rsid w:val="00DC12B8"/>
    <w:rsid w:val="00DC4EF7"/>
    <w:rsid w:val="00E05EA3"/>
    <w:rsid w:val="00E12BF4"/>
    <w:rsid w:val="00E42DB3"/>
    <w:rsid w:val="00E43E95"/>
    <w:rsid w:val="00E649E8"/>
    <w:rsid w:val="00E768A0"/>
    <w:rsid w:val="00E85CF4"/>
    <w:rsid w:val="00E86DA1"/>
    <w:rsid w:val="00E921C0"/>
    <w:rsid w:val="00EA2AB3"/>
    <w:rsid w:val="00ED3052"/>
    <w:rsid w:val="00EE3DD4"/>
    <w:rsid w:val="00F13096"/>
    <w:rsid w:val="00F256AE"/>
    <w:rsid w:val="00F37F21"/>
    <w:rsid w:val="00F46792"/>
    <w:rsid w:val="00F54F2A"/>
    <w:rsid w:val="00F6794F"/>
    <w:rsid w:val="00F91423"/>
    <w:rsid w:val="00FD1F47"/>
    <w:rsid w:val="00FD2629"/>
    <w:rsid w:val="00FE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3E902"/>
  <w15:docId w15:val="{2DC40F3C-4816-FE47-8DEC-C9AB44AC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CB0"/>
  </w:style>
  <w:style w:type="paragraph" w:styleId="Footer">
    <w:name w:val="footer"/>
    <w:basedOn w:val="Normal"/>
    <w:link w:val="FooterChar"/>
    <w:uiPriority w:val="99"/>
    <w:unhideWhenUsed/>
    <w:rsid w:val="00C23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CB0"/>
  </w:style>
  <w:style w:type="paragraph" w:styleId="NoSpacing">
    <w:name w:val="No Spacing"/>
    <w:uiPriority w:val="1"/>
    <w:qFormat/>
    <w:rsid w:val="00C23CB0"/>
    <w:pPr>
      <w:spacing w:after="0" w:line="240" w:lineRule="auto"/>
    </w:pPr>
  </w:style>
  <w:style w:type="table" w:styleId="TableGrid">
    <w:name w:val="Table Grid"/>
    <w:basedOn w:val="TableNormal"/>
    <w:uiPriority w:val="39"/>
    <w:rsid w:val="00C2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56AE"/>
    <w:pPr>
      <w:ind w:left="720"/>
      <w:contextualSpacing/>
    </w:pPr>
  </w:style>
  <w:style w:type="paragraph" w:styleId="BalloonText">
    <w:name w:val="Balloon Text"/>
    <w:basedOn w:val="Normal"/>
    <w:link w:val="BalloonTextChar"/>
    <w:uiPriority w:val="99"/>
    <w:semiHidden/>
    <w:unhideWhenUsed/>
    <w:rsid w:val="003B3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72"/>
    <w:rPr>
      <w:rFonts w:ascii="Segoe UI" w:hAnsi="Segoe UI" w:cs="Segoe UI"/>
      <w:sz w:val="18"/>
      <w:szCs w:val="18"/>
    </w:rPr>
  </w:style>
  <w:style w:type="character" w:styleId="Hyperlink">
    <w:name w:val="Hyperlink"/>
    <w:basedOn w:val="DefaultParagraphFont"/>
    <w:uiPriority w:val="99"/>
    <w:unhideWhenUsed/>
    <w:rsid w:val="00DB6FFC"/>
    <w:rPr>
      <w:color w:val="0563C1" w:themeColor="hyperlink"/>
      <w:u w:val="single"/>
    </w:rPr>
  </w:style>
  <w:style w:type="character" w:customStyle="1" w:styleId="UnresolvedMention1">
    <w:name w:val="Unresolved Mention1"/>
    <w:basedOn w:val="DefaultParagraphFont"/>
    <w:uiPriority w:val="99"/>
    <w:semiHidden/>
    <w:unhideWhenUsed/>
    <w:rsid w:val="00DB6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D6DE9-E4F4-408C-A486-84BD00E04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Guardian News and Media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Rivera</dc:creator>
  <cp:lastModifiedBy>bandre@ivyhillprep.org</cp:lastModifiedBy>
  <cp:revision>11</cp:revision>
  <cp:lastPrinted>2019-10-15T20:58:00Z</cp:lastPrinted>
  <dcterms:created xsi:type="dcterms:W3CDTF">2021-11-16T15:50:00Z</dcterms:created>
  <dcterms:modified xsi:type="dcterms:W3CDTF">2021-11-16T19:25:00Z</dcterms:modified>
</cp:coreProperties>
</file>