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12A7" w14:textId="4BDB4592" w:rsidR="00B15D16" w:rsidRDefault="00BA7251" w:rsidP="00B15D16">
      <w:pPr>
        <w:tabs>
          <w:tab w:val="center" w:pos="3600"/>
        </w:tabs>
        <w:jc w:val="both"/>
        <w:rPr>
          <w:sz w:val="22"/>
          <w:szCs w:val="22"/>
        </w:rPr>
      </w:pPr>
      <w:r>
        <w:rPr>
          <w:sz w:val="22"/>
          <w:szCs w:val="22"/>
        </w:rPr>
        <w:t>December 20</w:t>
      </w:r>
      <w:r w:rsidR="000F7D61">
        <w:rPr>
          <w:sz w:val="22"/>
          <w:szCs w:val="22"/>
        </w:rPr>
        <w:t>, 2023</w:t>
      </w:r>
    </w:p>
    <w:p w14:paraId="69CD1D5B" w14:textId="77777777" w:rsidR="003B25AB" w:rsidRDefault="003B25AB" w:rsidP="000E0D1F">
      <w:pPr>
        <w:rPr>
          <w:sz w:val="22"/>
        </w:rPr>
      </w:pPr>
    </w:p>
    <w:p w14:paraId="0BF7F79A" w14:textId="77777777" w:rsidR="00BA7251" w:rsidRDefault="00BA7251" w:rsidP="000E0D1F">
      <w:pPr>
        <w:rPr>
          <w:sz w:val="22"/>
        </w:rPr>
      </w:pPr>
    </w:p>
    <w:p w14:paraId="0D833616" w14:textId="77777777" w:rsidR="00576304" w:rsidRDefault="00576304" w:rsidP="000E0D1F">
      <w:pPr>
        <w:rPr>
          <w:sz w:val="22"/>
        </w:rPr>
      </w:pPr>
      <w:r>
        <w:rPr>
          <w:sz w:val="22"/>
        </w:rPr>
        <w:t>Marr and Company, P.C.</w:t>
      </w:r>
    </w:p>
    <w:p w14:paraId="7DBE94B3" w14:textId="645AF76D" w:rsidR="00576304" w:rsidRDefault="00576304" w:rsidP="000E0D1F">
      <w:pPr>
        <w:tabs>
          <w:tab w:val="center" w:pos="3960"/>
        </w:tabs>
        <w:rPr>
          <w:sz w:val="22"/>
        </w:rPr>
      </w:pPr>
      <w:r>
        <w:rPr>
          <w:sz w:val="22"/>
        </w:rPr>
        <w:t>1401 E. 104</w:t>
      </w:r>
      <w:r>
        <w:rPr>
          <w:sz w:val="22"/>
          <w:vertAlign w:val="superscript"/>
        </w:rPr>
        <w:t>th</w:t>
      </w:r>
      <w:r>
        <w:rPr>
          <w:sz w:val="22"/>
        </w:rPr>
        <w:t xml:space="preserve"> Street, Suite 100</w:t>
      </w:r>
    </w:p>
    <w:p w14:paraId="135B8566" w14:textId="77777777" w:rsidR="00576304" w:rsidRDefault="00576304" w:rsidP="000E0D1F">
      <w:pPr>
        <w:rPr>
          <w:sz w:val="22"/>
        </w:rPr>
      </w:pPr>
      <w:r>
        <w:rPr>
          <w:sz w:val="22"/>
        </w:rPr>
        <w:t>Kansas City, MO 64131</w:t>
      </w:r>
    </w:p>
    <w:p w14:paraId="0C122163" w14:textId="77777777" w:rsidR="00576304" w:rsidRDefault="00576304" w:rsidP="000E0D1F">
      <w:pPr>
        <w:jc w:val="both"/>
        <w:rPr>
          <w:sz w:val="22"/>
        </w:rPr>
      </w:pPr>
    </w:p>
    <w:p w14:paraId="06D4B95C" w14:textId="77777777" w:rsidR="00BA7251" w:rsidRDefault="00BA7251" w:rsidP="000E0D1F">
      <w:pPr>
        <w:jc w:val="both"/>
        <w:rPr>
          <w:sz w:val="22"/>
        </w:rPr>
      </w:pPr>
    </w:p>
    <w:p w14:paraId="2E979940" w14:textId="2C821742" w:rsidR="00576304" w:rsidRDefault="00576304" w:rsidP="000E0D1F">
      <w:pPr>
        <w:tabs>
          <w:tab w:val="left" w:pos="0"/>
          <w:tab w:val="left" w:pos="720"/>
          <w:tab w:val="left" w:pos="1440"/>
          <w:tab w:val="left" w:pos="2160"/>
        </w:tabs>
        <w:jc w:val="both"/>
        <w:rPr>
          <w:sz w:val="22"/>
        </w:rPr>
      </w:pPr>
      <w:r>
        <w:rPr>
          <w:sz w:val="22"/>
        </w:rPr>
        <w:t xml:space="preserve">This representation letter is provided in connection with your audit of the financial statements of </w:t>
      </w:r>
      <w:r w:rsidR="00BA7251">
        <w:rPr>
          <w:sz w:val="22"/>
        </w:rPr>
        <w:t>The</w:t>
      </w:r>
      <w:r>
        <w:rPr>
          <w:sz w:val="22"/>
        </w:rPr>
        <w:t xml:space="preserve"> Leadership </w:t>
      </w:r>
      <w:r w:rsidR="00BA7251">
        <w:rPr>
          <w:sz w:val="22"/>
        </w:rPr>
        <w:t>School</w:t>
      </w:r>
      <w:r>
        <w:rPr>
          <w:sz w:val="22"/>
        </w:rPr>
        <w:t xml:space="preserve"> (the “</w:t>
      </w:r>
      <w:r w:rsidR="00BA7251">
        <w:rPr>
          <w:sz w:val="22"/>
        </w:rPr>
        <w:t>School</w:t>
      </w:r>
      <w:r>
        <w:rPr>
          <w:sz w:val="22"/>
        </w:rPr>
        <w:t xml:space="preserve">”), which comprise the statement of assets and net assets-cash basis as of June </w:t>
      </w:r>
      <w:r w:rsidR="00E535D0">
        <w:rPr>
          <w:sz w:val="22"/>
        </w:rPr>
        <w:t xml:space="preserve">30, </w:t>
      </w:r>
      <w:r w:rsidR="000F7D61">
        <w:rPr>
          <w:sz w:val="22"/>
        </w:rPr>
        <w:t>2023</w:t>
      </w:r>
      <w:r>
        <w:rPr>
          <w:sz w:val="22"/>
        </w:rPr>
        <w:t>, and the related statement</w:t>
      </w:r>
      <w:r w:rsidR="00181752">
        <w:rPr>
          <w:sz w:val="22"/>
        </w:rPr>
        <w:t>s</w:t>
      </w:r>
      <w:r>
        <w:rPr>
          <w:sz w:val="22"/>
        </w:rPr>
        <w:t xml:space="preserve"> of support, receipts and disbursements-cash basis </w:t>
      </w:r>
      <w:r w:rsidR="00181752">
        <w:rPr>
          <w:sz w:val="22"/>
        </w:rPr>
        <w:t xml:space="preserve">and functional expenses-cash basis </w:t>
      </w:r>
      <w:r>
        <w:rPr>
          <w:sz w:val="22"/>
        </w:rPr>
        <w:t xml:space="preserve">for the year </w:t>
      </w:r>
      <w:r w:rsidR="001262C6" w:rsidRPr="001262C6">
        <w:rPr>
          <w:sz w:val="22"/>
        </w:rPr>
        <w:t xml:space="preserve">then ended, and the disclosures (collectively, the “financial statements”), for </w:t>
      </w:r>
      <w:r>
        <w:rPr>
          <w:sz w:val="22"/>
        </w:rPr>
        <w:t>the purpose of expressing an opinion as to whether the financial statements are presented fairly, in all material respects, in accordance with the cash basis of accounting.</w:t>
      </w:r>
    </w:p>
    <w:p w14:paraId="08DEEE44" w14:textId="77777777" w:rsidR="00576304" w:rsidRDefault="00576304" w:rsidP="000E0D1F">
      <w:pPr>
        <w:tabs>
          <w:tab w:val="left" w:pos="0"/>
          <w:tab w:val="left" w:pos="720"/>
          <w:tab w:val="left" w:pos="1440"/>
          <w:tab w:val="left" w:pos="2160"/>
        </w:tabs>
        <w:jc w:val="both"/>
        <w:rPr>
          <w:sz w:val="22"/>
        </w:rPr>
      </w:pPr>
    </w:p>
    <w:p w14:paraId="6B675B27" w14:textId="77777777" w:rsidR="00576304" w:rsidRDefault="00576304" w:rsidP="000E0D1F">
      <w:pPr>
        <w:tabs>
          <w:tab w:val="left" w:pos="0"/>
          <w:tab w:val="left" w:pos="720"/>
          <w:tab w:val="left" w:pos="1440"/>
          <w:tab w:val="left" w:pos="2160"/>
        </w:tabs>
        <w:jc w:val="both"/>
        <w:rPr>
          <w:sz w:val="22"/>
        </w:rPr>
      </w:pPr>
      <w:r>
        <w:rPr>
          <w:sz w:val="22"/>
        </w:rPr>
        <w:t>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p>
    <w:p w14:paraId="7720C6B3" w14:textId="77777777" w:rsidR="00576304" w:rsidRDefault="00576304" w:rsidP="000E0D1F">
      <w:pPr>
        <w:tabs>
          <w:tab w:val="left" w:pos="0"/>
          <w:tab w:val="left" w:pos="720"/>
          <w:tab w:val="left" w:pos="1440"/>
          <w:tab w:val="left" w:pos="2160"/>
        </w:tabs>
        <w:jc w:val="both"/>
        <w:rPr>
          <w:sz w:val="22"/>
        </w:rPr>
      </w:pPr>
    </w:p>
    <w:p w14:paraId="3F73B1A5" w14:textId="3C36D3FC" w:rsidR="00576304" w:rsidRPr="00B15D16" w:rsidRDefault="00576304" w:rsidP="00B15D16">
      <w:pPr>
        <w:tabs>
          <w:tab w:val="center" w:pos="3600"/>
        </w:tabs>
        <w:jc w:val="both"/>
        <w:rPr>
          <w:sz w:val="22"/>
          <w:szCs w:val="22"/>
        </w:rPr>
      </w:pPr>
      <w:r>
        <w:rPr>
          <w:sz w:val="22"/>
        </w:rPr>
        <w:t xml:space="preserve">We confirm, to the best of our knowledge and belief, as of </w:t>
      </w:r>
      <w:r w:rsidR="00BA7251">
        <w:rPr>
          <w:sz w:val="22"/>
          <w:szCs w:val="22"/>
        </w:rPr>
        <w:t>December 20</w:t>
      </w:r>
      <w:r w:rsidR="00E535D0">
        <w:rPr>
          <w:sz w:val="22"/>
          <w:szCs w:val="22"/>
        </w:rPr>
        <w:t xml:space="preserve">, </w:t>
      </w:r>
      <w:r w:rsidR="000F7D61">
        <w:rPr>
          <w:sz w:val="22"/>
          <w:szCs w:val="22"/>
        </w:rPr>
        <w:t>2023</w:t>
      </w:r>
      <w:r>
        <w:rPr>
          <w:sz w:val="22"/>
        </w:rPr>
        <w:t>, the following representations made to you during your audit.</w:t>
      </w:r>
    </w:p>
    <w:p w14:paraId="5472E114" w14:textId="77777777" w:rsidR="00576304" w:rsidRDefault="00576304" w:rsidP="000E0D1F">
      <w:pPr>
        <w:tabs>
          <w:tab w:val="left" w:pos="0"/>
          <w:tab w:val="left" w:pos="720"/>
          <w:tab w:val="left" w:pos="1440"/>
          <w:tab w:val="left" w:pos="2160"/>
        </w:tabs>
        <w:jc w:val="both"/>
        <w:rPr>
          <w:sz w:val="22"/>
        </w:rPr>
      </w:pPr>
    </w:p>
    <w:p w14:paraId="5631A9CF" w14:textId="77777777" w:rsidR="00576304" w:rsidRDefault="00576304" w:rsidP="000E0D1F">
      <w:pPr>
        <w:tabs>
          <w:tab w:val="left" w:pos="0"/>
          <w:tab w:val="left" w:pos="720"/>
          <w:tab w:val="left" w:pos="1440"/>
          <w:tab w:val="left" w:pos="2160"/>
        </w:tabs>
        <w:jc w:val="both"/>
        <w:rPr>
          <w:sz w:val="22"/>
        </w:rPr>
      </w:pPr>
      <w:r>
        <w:rPr>
          <w:b/>
          <w:sz w:val="22"/>
        </w:rPr>
        <w:t>Financial Statements</w:t>
      </w:r>
    </w:p>
    <w:p w14:paraId="4A4C5978" w14:textId="77777777" w:rsidR="00576304" w:rsidRDefault="00576304" w:rsidP="000E0D1F">
      <w:pPr>
        <w:tabs>
          <w:tab w:val="left" w:pos="0"/>
          <w:tab w:val="left" w:pos="720"/>
          <w:tab w:val="left" w:pos="1440"/>
          <w:tab w:val="left" w:pos="2160"/>
        </w:tabs>
        <w:jc w:val="both"/>
        <w:rPr>
          <w:sz w:val="22"/>
        </w:rPr>
      </w:pPr>
    </w:p>
    <w:p w14:paraId="6E112051" w14:textId="194EDBB6"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We have fulfilled our responsibilities, as set out in the terms of the audit engagement letter dated </w:t>
      </w:r>
      <w:r w:rsidR="00BA7251">
        <w:rPr>
          <w:sz w:val="22"/>
        </w:rPr>
        <w:t>May 9</w:t>
      </w:r>
      <w:r w:rsidR="00CC45E6">
        <w:rPr>
          <w:sz w:val="22"/>
        </w:rPr>
        <w:t xml:space="preserve">, </w:t>
      </w:r>
      <w:r w:rsidR="000F7D61">
        <w:rPr>
          <w:sz w:val="22"/>
        </w:rPr>
        <w:t>2023</w:t>
      </w:r>
      <w:r>
        <w:rPr>
          <w:sz w:val="22"/>
        </w:rPr>
        <w:t>, including our responsibility for the preparation and fair presentation of the financial statements</w:t>
      </w:r>
      <w:r w:rsidR="00BD7F57">
        <w:rPr>
          <w:sz w:val="22"/>
        </w:rPr>
        <w:t xml:space="preserve"> in accordance with the cash basis of accounting</w:t>
      </w:r>
      <w:r>
        <w:rPr>
          <w:sz w:val="22"/>
        </w:rPr>
        <w:t>.</w:t>
      </w:r>
    </w:p>
    <w:p w14:paraId="2211A775"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1A51F9DD"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The financial statements referred to above are fairly presented in conformity with the cash basis of accounting.</w:t>
      </w:r>
    </w:p>
    <w:p w14:paraId="55EB5C44"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413F7365"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We acknowledge our responsibility for the design, implementation, and maintenance of internal control relevant to the preparation and fair presentation of financial statements that are free from material misstatement, whether due to fraud or error.</w:t>
      </w:r>
    </w:p>
    <w:p w14:paraId="3A3AC99A"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7C54DF99" w14:textId="19412EB0" w:rsidR="009544FF" w:rsidRDefault="00576304" w:rsidP="009544F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544FF">
        <w:rPr>
          <w:sz w:val="22"/>
        </w:rPr>
        <w:t>We acknowledge our responsibility for the design, implementation, and maintenance of internal control to prevent and detect fraud</w:t>
      </w:r>
      <w:r w:rsidR="00B207CC">
        <w:rPr>
          <w:sz w:val="22"/>
        </w:rPr>
        <w:t>.</w:t>
      </w:r>
    </w:p>
    <w:p w14:paraId="5239CE59" w14:textId="5242EE38" w:rsidR="00B207CC" w:rsidRPr="00B207CC" w:rsidRDefault="00B207CC" w:rsidP="00413D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p>
    <w:p w14:paraId="5F12FBCC" w14:textId="59799CAA" w:rsidR="009544FF" w:rsidRDefault="009544FF" w:rsidP="009544FF">
      <w:pPr>
        <w:pStyle w:val="Level1"/>
        <w:widowControl/>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sectPr w:rsidR="009544FF" w:rsidSect="00BA7251">
          <w:headerReference w:type="even" r:id="rId7"/>
          <w:headerReference w:type="default" r:id="rId8"/>
          <w:footerReference w:type="even" r:id="rId9"/>
          <w:footerReference w:type="default" r:id="rId10"/>
          <w:endnotePr>
            <w:numFmt w:val="decimal"/>
          </w:endnotePr>
          <w:pgSz w:w="12240" w:h="15840"/>
          <w:pgMar w:top="3312" w:right="1440" w:bottom="1296" w:left="1440" w:header="1080" w:footer="720" w:gutter="0"/>
          <w:cols w:space="720"/>
        </w:sectPr>
      </w:pPr>
    </w:p>
    <w:p w14:paraId="17B2B592" w14:textId="77777777" w:rsidR="00413D1C" w:rsidRDefault="00413D1C" w:rsidP="00413D1C">
      <w:pPr>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46759">
        <w:rPr>
          <w:sz w:val="22"/>
        </w:rPr>
        <w:lastRenderedPageBreak/>
        <w:t>The methods, significant assumptions, and data used in making accounting estimates and their related disclosures are appropriate to achieve recognition, measurement, or disclosure that is reasonable in accordance with</w:t>
      </w:r>
      <w:r>
        <w:rPr>
          <w:sz w:val="22"/>
        </w:rPr>
        <w:t xml:space="preserve"> the cash basis of accounting.</w:t>
      </w:r>
    </w:p>
    <w:p w14:paraId="3DEC6AF2" w14:textId="77777777" w:rsidR="00413D1C" w:rsidRDefault="00413D1C" w:rsidP="00413D1C">
      <w:pPr>
        <w:pStyle w:val="ListParagraph"/>
        <w:rPr>
          <w:sz w:val="22"/>
        </w:rPr>
      </w:pPr>
    </w:p>
    <w:p w14:paraId="2BFD1857" w14:textId="31CF95A4" w:rsidR="00413D1C" w:rsidRDefault="00413D1C" w:rsidP="00413D1C">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Related-party relationships and transactions have been appropriately accounted for and disclosed in accordance with the cash basis of accounting.</w:t>
      </w:r>
    </w:p>
    <w:p w14:paraId="7EDED6FE" w14:textId="77777777" w:rsidR="00413D1C" w:rsidRDefault="00413D1C" w:rsidP="00413D1C">
      <w:pPr>
        <w:pStyle w:val="ListParagraph"/>
        <w:rPr>
          <w:sz w:val="22"/>
        </w:rPr>
      </w:pPr>
    </w:p>
    <w:p w14:paraId="610C58CC" w14:textId="6CB9B90D"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All events </w:t>
      </w:r>
      <w:proofErr w:type="gramStart"/>
      <w:r>
        <w:rPr>
          <w:sz w:val="22"/>
        </w:rPr>
        <w:t>subsequent to</w:t>
      </w:r>
      <w:proofErr w:type="gramEnd"/>
      <w:r>
        <w:rPr>
          <w:sz w:val="22"/>
        </w:rPr>
        <w:t xml:space="preserve"> the date of the financial statements and for which cash basis of accounting requires adjustment or disclosure have been adjusted or disclosed</w:t>
      </w:r>
      <w:r w:rsidR="00A2073E">
        <w:rPr>
          <w:sz w:val="22"/>
        </w:rPr>
        <w:t>.</w:t>
      </w:r>
    </w:p>
    <w:p w14:paraId="31B76FA3"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65429EC6" w14:textId="7AC2194E" w:rsidR="00576304" w:rsidRDefault="00181752"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181752">
        <w:rPr>
          <w:sz w:val="22"/>
        </w:rPr>
        <w:t xml:space="preserve">The effects of all known actual or possible litigation, claims, and assessments have been accounted for and disclosed in accordance with </w:t>
      </w:r>
      <w:r w:rsidR="00576304">
        <w:rPr>
          <w:sz w:val="22"/>
        </w:rPr>
        <w:t>cash basis of accounting.</w:t>
      </w:r>
    </w:p>
    <w:p w14:paraId="47D1F49C"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5CA1E6FA"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Material concentrations have been appropriately disclosed in accordance with cash basis of accounting.</w:t>
      </w:r>
    </w:p>
    <w:p w14:paraId="4A26EAA6"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5204B660" w14:textId="2C70AFEC"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Guarantees, whether written or oral, under which the </w:t>
      </w:r>
      <w:r w:rsidR="00BA7251">
        <w:rPr>
          <w:sz w:val="22"/>
        </w:rPr>
        <w:t>School</w:t>
      </w:r>
      <w:r>
        <w:rPr>
          <w:sz w:val="22"/>
        </w:rPr>
        <w:t xml:space="preserve"> is contingently liable, have been properly recorded or disclosed in accordance with cash basis of accounting.</w:t>
      </w:r>
    </w:p>
    <w:p w14:paraId="19D55313"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27E0BD58" w14:textId="39F8A1E9"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Expenditures of federal awards were below the $</w:t>
      </w:r>
      <w:r w:rsidR="003530CE">
        <w:rPr>
          <w:sz w:val="22"/>
        </w:rPr>
        <w:t>75</w:t>
      </w:r>
      <w:r>
        <w:rPr>
          <w:sz w:val="22"/>
        </w:rPr>
        <w:t xml:space="preserve">0,000 threshold in the years ended June </w:t>
      </w:r>
      <w:r w:rsidR="00E535D0">
        <w:rPr>
          <w:sz w:val="22"/>
        </w:rPr>
        <w:t xml:space="preserve">30, </w:t>
      </w:r>
      <w:r w:rsidR="000F7D61">
        <w:rPr>
          <w:sz w:val="22"/>
        </w:rPr>
        <w:t>2023</w:t>
      </w:r>
      <w:r>
        <w:rPr>
          <w:sz w:val="22"/>
        </w:rPr>
        <w:t xml:space="preserve"> and </w:t>
      </w:r>
      <w:r w:rsidR="00B207CC">
        <w:rPr>
          <w:sz w:val="22"/>
        </w:rPr>
        <w:t>20</w:t>
      </w:r>
      <w:r w:rsidR="00E535D0">
        <w:rPr>
          <w:sz w:val="22"/>
        </w:rPr>
        <w:t>2</w:t>
      </w:r>
      <w:r w:rsidR="000F7D61">
        <w:rPr>
          <w:sz w:val="22"/>
        </w:rPr>
        <w:t>2</w:t>
      </w:r>
      <w:r>
        <w:rPr>
          <w:sz w:val="22"/>
        </w:rPr>
        <w:t xml:space="preserve">, and we were not required to have an audit in accordance with </w:t>
      </w:r>
      <w:r w:rsidR="003530CE">
        <w:rPr>
          <w:sz w:val="22"/>
        </w:rPr>
        <w:t>the Uniform Guidance</w:t>
      </w:r>
      <w:r>
        <w:rPr>
          <w:sz w:val="22"/>
        </w:rPr>
        <w:t>.</w:t>
      </w:r>
    </w:p>
    <w:p w14:paraId="73CCB0B5" w14:textId="77777777" w:rsidR="00BD7F57" w:rsidRDefault="00BD7F57" w:rsidP="00BD7F57">
      <w:pPr>
        <w:pStyle w:val="ListParagraph"/>
        <w:rPr>
          <w:sz w:val="22"/>
        </w:rPr>
      </w:pPr>
    </w:p>
    <w:p w14:paraId="0EA4047F" w14:textId="2EF5A7A7" w:rsidR="00BD7F57" w:rsidRDefault="00BD7F57"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BD7F57">
        <w:rPr>
          <w:sz w:val="22"/>
        </w:rPr>
        <w:t xml:space="preserve">As part of your audit, you assisted with </w:t>
      </w:r>
      <w:proofErr w:type="gramStart"/>
      <w:r w:rsidRPr="00BD7F57">
        <w:rPr>
          <w:sz w:val="22"/>
        </w:rPr>
        <w:t>preparation</w:t>
      </w:r>
      <w:proofErr w:type="gramEnd"/>
      <w:r w:rsidRPr="00BD7F57">
        <w:rPr>
          <w:sz w:val="22"/>
        </w:rPr>
        <w:t xml:space="preserve"> of the financial </w:t>
      </w:r>
      <w:r>
        <w:rPr>
          <w:sz w:val="22"/>
        </w:rPr>
        <w:t xml:space="preserve">statements and </w:t>
      </w:r>
      <w:r w:rsidR="00181752">
        <w:rPr>
          <w:sz w:val="22"/>
        </w:rPr>
        <w:t>disclosures</w:t>
      </w:r>
      <w:r w:rsidRPr="00BD7F57">
        <w:rPr>
          <w:sz w:val="22"/>
        </w:rPr>
        <w:t>.</w:t>
      </w:r>
      <w:r>
        <w:rPr>
          <w:sz w:val="22"/>
        </w:rPr>
        <w:t xml:space="preserve"> </w:t>
      </w:r>
      <w:r w:rsidRPr="00BD7F57">
        <w:rPr>
          <w:sz w:val="22"/>
        </w:rPr>
        <w:t xml:space="preserve"> We acknowledge our responsibility as it relates to those </w:t>
      </w:r>
      <w:proofErr w:type="spellStart"/>
      <w:r w:rsidRPr="00BD7F57">
        <w:rPr>
          <w:sz w:val="22"/>
        </w:rPr>
        <w:t>nonaudit</w:t>
      </w:r>
      <w:proofErr w:type="spellEnd"/>
      <w:r w:rsidRPr="00BD7F57">
        <w:rPr>
          <w:sz w:val="22"/>
        </w:rPr>
        <w:t xml:space="preserve"> services, including that we assume all management responsibilities; oversee the services by designating an individual, preferably within senior management, who possesses suitable skill, knowledge, or experience; evaluate the adequacy and results of the services performed; and accept responsibility for the results of the services. We have reviewed, approved, and accepted responsibility for those financi</w:t>
      </w:r>
      <w:r>
        <w:rPr>
          <w:sz w:val="22"/>
        </w:rPr>
        <w:t>al statements and related notes.</w:t>
      </w:r>
    </w:p>
    <w:p w14:paraId="454D2F9D"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3D286BB5"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sz w:val="22"/>
        </w:rPr>
      </w:pPr>
      <w:r>
        <w:rPr>
          <w:b/>
          <w:sz w:val="22"/>
        </w:rPr>
        <w:t>Information Provided</w:t>
      </w:r>
    </w:p>
    <w:p w14:paraId="52B8D824"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1848D1AB"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We have provided you with:</w:t>
      </w:r>
    </w:p>
    <w:p w14:paraId="3CA058E0"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6E7E555A" w14:textId="44B92264" w:rsidR="00576304" w:rsidRDefault="00576304"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Access to all information, of which we are aware, </w:t>
      </w:r>
      <w:r w:rsidR="001262C6" w:rsidRPr="001262C6">
        <w:rPr>
          <w:sz w:val="22"/>
        </w:rPr>
        <w:t>that is relevant to the preparation and fair presentation of the financial statements, such as records (including information obtained from outside of the general and subsidiary ledgers), documentation, and other matters</w:t>
      </w:r>
      <w:r>
        <w:rPr>
          <w:sz w:val="22"/>
        </w:rPr>
        <w:t>.</w:t>
      </w:r>
    </w:p>
    <w:p w14:paraId="7F9D3E93" w14:textId="77777777" w:rsidR="00D20A83" w:rsidRDefault="00D20A83" w:rsidP="000E0D1F">
      <w:pPr>
        <w:pStyle w:val="Level1"/>
        <w:widowControl/>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4E76885C" w14:textId="77777777" w:rsidR="00576304" w:rsidRDefault="00576304"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Additional information that you have requested from us for the purpose of the audit.</w:t>
      </w:r>
    </w:p>
    <w:p w14:paraId="345A0E1C"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7DDC1618" w14:textId="47DF7935" w:rsidR="00576304" w:rsidRDefault="00576304"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Unrestricted access to persons within the </w:t>
      </w:r>
      <w:r w:rsidR="00BA7251">
        <w:rPr>
          <w:sz w:val="22"/>
        </w:rPr>
        <w:t>School</w:t>
      </w:r>
      <w:r>
        <w:rPr>
          <w:sz w:val="22"/>
        </w:rPr>
        <w:t xml:space="preserve"> from whom you determined it necessary to obtain audit evidence.</w:t>
      </w:r>
    </w:p>
    <w:p w14:paraId="7F489352" w14:textId="77777777" w:rsidR="000E0D1F" w:rsidRDefault="000E0D1F" w:rsidP="000E0D1F">
      <w:pPr>
        <w:pStyle w:val="ListParagraph"/>
        <w:rPr>
          <w:sz w:val="22"/>
        </w:rPr>
      </w:pPr>
    </w:p>
    <w:p w14:paraId="1E48B3B1" w14:textId="77777777" w:rsidR="000E0D1F" w:rsidRDefault="000E0D1F"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E0D1F">
        <w:rPr>
          <w:sz w:val="22"/>
        </w:rPr>
        <w:t>Minutes of the meetings of the governing board or summaries of actions of recent meetings for which minutes have not yet been prepared</w:t>
      </w:r>
      <w:r>
        <w:rPr>
          <w:sz w:val="22"/>
        </w:rPr>
        <w:t>.</w:t>
      </w:r>
    </w:p>
    <w:p w14:paraId="66224D5D"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4CFECE3D"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All material transactions have been recorded in the accounting records and are reflected in the financial statements.</w:t>
      </w:r>
    </w:p>
    <w:p w14:paraId="663AD1C0"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798D998C"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We have disclosed to you the results of our assessment of the risk that the financial statements may be materially misstated as a result of fraud.</w:t>
      </w:r>
    </w:p>
    <w:p w14:paraId="48489827" w14:textId="15655E1E" w:rsidR="00413D1C" w:rsidRDefault="00413D1C"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r>
        <w:rPr>
          <w:sz w:val="22"/>
        </w:rPr>
        <w:br w:type="page"/>
      </w:r>
    </w:p>
    <w:p w14:paraId="2401F998" w14:textId="39A7E919"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 xml:space="preserve">We have no knowledge of any fraud or suspected fraud that affects the </w:t>
      </w:r>
      <w:r w:rsidR="00BA7251">
        <w:rPr>
          <w:sz w:val="22"/>
        </w:rPr>
        <w:t>School</w:t>
      </w:r>
      <w:r>
        <w:rPr>
          <w:sz w:val="22"/>
        </w:rPr>
        <w:t xml:space="preserve"> and involves:</w:t>
      </w:r>
    </w:p>
    <w:p w14:paraId="7AD1057F"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3FCCCBB4" w14:textId="77777777" w:rsidR="00576304" w:rsidRDefault="00576304"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Management,</w:t>
      </w:r>
    </w:p>
    <w:p w14:paraId="2EAF87E4"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1EFD04F4" w14:textId="77777777" w:rsidR="00576304" w:rsidRDefault="00576304"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Employees who have significant roles in internal control, or</w:t>
      </w:r>
    </w:p>
    <w:p w14:paraId="6BB3D749" w14:textId="77777777" w:rsidR="00D20A83" w:rsidRDefault="00D20A83" w:rsidP="000E0D1F">
      <w:pPr>
        <w:pStyle w:val="Level1"/>
        <w:widowControl/>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6D56F2C5" w14:textId="021F1C8B" w:rsidR="00576304" w:rsidRDefault="00576304" w:rsidP="000E0D1F">
      <w:pPr>
        <w:pStyle w:val="Level1"/>
        <w:widowControl/>
        <w:numPr>
          <w:ilvl w:val="1"/>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Others where the fraud could have a material effect on the financial statements.</w:t>
      </w:r>
    </w:p>
    <w:p w14:paraId="7E96B7DD" w14:textId="77777777" w:rsidR="00A2073E" w:rsidRDefault="00A2073E" w:rsidP="00A2073E">
      <w:pPr>
        <w:pStyle w:val="Level1"/>
        <w:widowControl/>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D49585A" w14:textId="7923DE18"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We have no knowledge of any allegations of fraud or suspected fraud affecting the </w:t>
      </w:r>
      <w:r w:rsidR="00BA7251">
        <w:rPr>
          <w:sz w:val="22"/>
        </w:rPr>
        <w:t>School</w:t>
      </w:r>
      <w:r w:rsidR="001262C6">
        <w:rPr>
          <w:sz w:val="22"/>
        </w:rPr>
        <w:t>’s</w:t>
      </w:r>
      <w:r>
        <w:rPr>
          <w:sz w:val="22"/>
        </w:rPr>
        <w:t xml:space="preserve"> financial statements communicated by employees, former employees, grantors, regulators, or others.</w:t>
      </w:r>
    </w:p>
    <w:p w14:paraId="61CF5E58"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6B633427" w14:textId="2EA7EE2B" w:rsidR="00576304" w:rsidRDefault="003D29C1"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3D29C1">
        <w:rPr>
          <w:sz w:val="22"/>
        </w:rPr>
        <w:t>We have no knowledge of any instances of noncompliance or suspected noncompliance with provisions of laws, regulations, contracts, or grant agreements, or waste or abuse whose effects should be considered when preparing financial statements</w:t>
      </w:r>
      <w:r w:rsidR="00576304" w:rsidRPr="00283E15">
        <w:rPr>
          <w:sz w:val="22"/>
        </w:rPr>
        <w:t>.</w:t>
      </w:r>
    </w:p>
    <w:p w14:paraId="5B5F7D2D" w14:textId="77777777" w:rsidR="00B80289" w:rsidRPr="00B80289" w:rsidRDefault="00B80289" w:rsidP="00B80289">
      <w:pPr>
        <w:rPr>
          <w:sz w:val="22"/>
        </w:rPr>
      </w:pPr>
    </w:p>
    <w:p w14:paraId="7B68BAA3" w14:textId="08C2AF54" w:rsidR="003D29C1" w:rsidRDefault="003D29C1"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3D29C1">
        <w:rPr>
          <w:sz w:val="22"/>
        </w:rPr>
        <w:t>We have identified and disclosed to you all instances, of identified and suspected fraud and noncompliance with provisions of laws, regulations, contracts, and grant agreements that we believe have a material effect on the financial statements</w:t>
      </w:r>
      <w:r>
        <w:rPr>
          <w:sz w:val="22"/>
        </w:rPr>
        <w:t>.</w:t>
      </w:r>
    </w:p>
    <w:p w14:paraId="57D4A25E" w14:textId="77777777" w:rsidR="00283E15" w:rsidRDefault="00283E15" w:rsidP="000E0D1F">
      <w:pPr>
        <w:pStyle w:val="ListParagraph"/>
        <w:tabs>
          <w:tab w:val="left" w:pos="360"/>
        </w:tabs>
        <w:ind w:left="360" w:hanging="360"/>
        <w:rPr>
          <w:sz w:val="22"/>
        </w:rPr>
      </w:pPr>
    </w:p>
    <w:p w14:paraId="1365E710"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We have disclosed to you all known actual or possible litigation, claims, and assessment whose effects should be considered when preparing the financial statements.</w:t>
      </w:r>
    </w:p>
    <w:p w14:paraId="475E0E67"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7E5B6B18" w14:textId="1F38C81B"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We have disclosed to you the identity of the </w:t>
      </w:r>
      <w:r w:rsidR="00BA7251">
        <w:rPr>
          <w:sz w:val="22"/>
        </w:rPr>
        <w:t>School</w:t>
      </w:r>
      <w:r w:rsidR="001262C6">
        <w:rPr>
          <w:sz w:val="22"/>
        </w:rPr>
        <w:t xml:space="preserve">’s </w:t>
      </w:r>
      <w:r>
        <w:rPr>
          <w:sz w:val="22"/>
        </w:rPr>
        <w:t xml:space="preserve">related parties and all </w:t>
      </w:r>
      <w:r w:rsidR="001262C6" w:rsidRPr="001262C6">
        <w:rPr>
          <w:sz w:val="22"/>
        </w:rPr>
        <w:t>the related-party relationships and transactions, including any side agreements</w:t>
      </w:r>
      <w:r>
        <w:rPr>
          <w:sz w:val="22"/>
        </w:rPr>
        <w:t>.</w:t>
      </w:r>
    </w:p>
    <w:p w14:paraId="14286438"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6C996C6B" w14:textId="177302C6"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The </w:t>
      </w:r>
      <w:r w:rsidR="00BA7251">
        <w:rPr>
          <w:sz w:val="22"/>
        </w:rPr>
        <w:t>School</w:t>
      </w:r>
      <w:r>
        <w:rPr>
          <w:sz w:val="22"/>
        </w:rPr>
        <w:t xml:space="preserve"> has satisfactory title to all owned assets, and there are no liens or encumbrances on such assets nor has any asset been pledged as collateral.</w:t>
      </w:r>
    </w:p>
    <w:p w14:paraId="54E127ED"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5CC58E08" w14:textId="603C533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We are responsible for compliance with the laws, regulations, and provisions of contracts and grant agreements applicable to </w:t>
      </w:r>
      <w:r w:rsidR="00BD7F57">
        <w:rPr>
          <w:sz w:val="22"/>
        </w:rPr>
        <w:t>us.</w:t>
      </w:r>
    </w:p>
    <w:p w14:paraId="1DC077F7" w14:textId="77777777" w:rsidR="003D29C1" w:rsidRDefault="003D29C1" w:rsidP="003D29C1">
      <w:pPr>
        <w:pStyle w:val="ListParagraph"/>
        <w:rPr>
          <w:sz w:val="22"/>
        </w:rPr>
      </w:pPr>
    </w:p>
    <w:p w14:paraId="05515F44" w14:textId="51CA08C6" w:rsidR="003D29C1" w:rsidRDefault="003D29C1"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3D29C1">
        <w:rPr>
          <w:sz w:val="22"/>
        </w:rPr>
        <w:t>We have a process to track the status of audit findings and recommendations</w:t>
      </w:r>
      <w:r>
        <w:rPr>
          <w:sz w:val="22"/>
        </w:rPr>
        <w:t>.</w:t>
      </w:r>
    </w:p>
    <w:p w14:paraId="21E6A811"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28CA61E1" w14:textId="1F05E8E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The </w:t>
      </w:r>
      <w:r w:rsidR="00BA7251">
        <w:rPr>
          <w:sz w:val="22"/>
        </w:rPr>
        <w:t>School</w:t>
      </w:r>
      <w:r>
        <w:rPr>
          <w:sz w:val="22"/>
        </w:rPr>
        <w:t xml:space="preserve"> is an exempt organization under Section 501(c)(3) of the Internal Revenue Code</w:t>
      </w:r>
      <w:proofErr w:type="gramStart"/>
      <w:r>
        <w:rPr>
          <w:sz w:val="22"/>
        </w:rPr>
        <w:t xml:space="preserve">. </w:t>
      </w:r>
      <w:proofErr w:type="gramEnd"/>
      <w:r>
        <w:rPr>
          <w:sz w:val="22"/>
        </w:rPr>
        <w:t xml:space="preserve">Any activities of which we are </w:t>
      </w:r>
      <w:proofErr w:type="gramStart"/>
      <w:r>
        <w:rPr>
          <w:sz w:val="22"/>
        </w:rPr>
        <w:t>aware that</w:t>
      </w:r>
      <w:proofErr w:type="gramEnd"/>
      <w:r>
        <w:rPr>
          <w:sz w:val="22"/>
        </w:rPr>
        <w:t xml:space="preserve"> would jeopardize the </w:t>
      </w:r>
      <w:r w:rsidR="00BA7251">
        <w:rPr>
          <w:sz w:val="22"/>
        </w:rPr>
        <w:t>School</w:t>
      </w:r>
      <w:r w:rsidR="001262C6">
        <w:rPr>
          <w:sz w:val="22"/>
        </w:rPr>
        <w:t xml:space="preserve">’s </w:t>
      </w:r>
      <w:r>
        <w:rPr>
          <w:sz w:val="22"/>
        </w:rPr>
        <w:t xml:space="preserve">tax-exempt status, and all activities subject to tax on unrelated business income or excise or other tax, have been disclosed to you. </w:t>
      </w:r>
      <w:r w:rsidR="00B207CC">
        <w:rPr>
          <w:sz w:val="22"/>
        </w:rPr>
        <w:t xml:space="preserve"> </w:t>
      </w:r>
      <w:r>
        <w:rPr>
          <w:sz w:val="22"/>
        </w:rPr>
        <w:t>All required filings with tax authorities are up-to-date.</w:t>
      </w:r>
    </w:p>
    <w:p w14:paraId="7719B613" w14:textId="77777777" w:rsidR="00576304" w:rsidRDefault="00576304" w:rsidP="000E0D1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p>
    <w:p w14:paraId="306ADFBA" w14:textId="77777777" w:rsidR="00576304" w:rsidRDefault="00576304" w:rsidP="000E0D1F">
      <w:pPr>
        <w:pStyle w:val="Level1"/>
        <w:widowControl/>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We acknowledge our responsibility for presenting the supplementary information in accordance with cash basis accounting, and we believe the supplementary information, including its form and content, is fairly presented in accordance with cash basis of accounting. The methods of measurement and presentation of the supplementary information have not changed from those used in the prior period, and we have disclosed to you any significant assumptions or interpretations underlying the measurement and presentation of the supplementary information.</w:t>
      </w:r>
    </w:p>
    <w:p w14:paraId="0F15C0E9" w14:textId="77777777" w:rsidR="00576304" w:rsidRDefault="00576304" w:rsidP="000E0D1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096520E" w14:textId="77777777" w:rsidR="00576304" w:rsidRDefault="00576304" w:rsidP="000E0D1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1D6D1C2" w14:textId="77777777" w:rsidR="00576304" w:rsidRDefault="00576304" w:rsidP="000E0D1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1939BDD2" w14:textId="77777777" w:rsidR="000E0D1F" w:rsidRDefault="000E0D1F" w:rsidP="000E0D1F">
      <w:pPr>
        <w:tabs>
          <w:tab w:val="left" w:pos="-1099"/>
          <w:tab w:val="left" w:pos="-720"/>
          <w:tab w:val="left" w:pos="810"/>
          <w:tab w:val="left" w:pos="5760"/>
        </w:tabs>
        <w:jc w:val="both"/>
        <w:rPr>
          <w:sz w:val="22"/>
          <w:u w:val="single"/>
        </w:rPr>
      </w:pPr>
      <w:r>
        <w:rPr>
          <w:sz w:val="22"/>
        </w:rPr>
        <w:t>Signed:</w:t>
      </w:r>
      <w:r>
        <w:rPr>
          <w:sz w:val="22"/>
        </w:rPr>
        <w:tab/>
      </w:r>
      <w:r>
        <w:rPr>
          <w:sz w:val="22"/>
          <w:u w:val="single"/>
        </w:rPr>
        <w:tab/>
      </w:r>
    </w:p>
    <w:p w14:paraId="5733D98F" w14:textId="07831D2B" w:rsidR="000E0D1F" w:rsidRDefault="000E0D1F" w:rsidP="000E0D1F">
      <w:pPr>
        <w:tabs>
          <w:tab w:val="left" w:pos="-1099"/>
          <w:tab w:val="left" w:pos="-720"/>
          <w:tab w:val="left" w:pos="810"/>
          <w:tab w:val="left" w:pos="5760"/>
        </w:tabs>
        <w:jc w:val="both"/>
        <w:rPr>
          <w:sz w:val="22"/>
        </w:rPr>
      </w:pPr>
    </w:p>
    <w:p w14:paraId="4C02ACE6" w14:textId="77777777" w:rsidR="00B207CC" w:rsidRDefault="00B207CC" w:rsidP="000E0D1F">
      <w:pPr>
        <w:tabs>
          <w:tab w:val="left" w:pos="-1099"/>
          <w:tab w:val="left" w:pos="-720"/>
          <w:tab w:val="left" w:pos="810"/>
          <w:tab w:val="left" w:pos="5760"/>
        </w:tabs>
        <w:jc w:val="both"/>
        <w:rPr>
          <w:sz w:val="22"/>
        </w:rPr>
      </w:pPr>
    </w:p>
    <w:p w14:paraId="7B2E2C98" w14:textId="77777777" w:rsidR="000E0D1F" w:rsidRDefault="000E0D1F" w:rsidP="000E0D1F">
      <w:pPr>
        <w:tabs>
          <w:tab w:val="left" w:pos="-1099"/>
          <w:tab w:val="left" w:pos="-720"/>
          <w:tab w:val="left" w:pos="810"/>
          <w:tab w:val="left" w:pos="5760"/>
        </w:tabs>
        <w:jc w:val="both"/>
        <w:rPr>
          <w:sz w:val="22"/>
        </w:rPr>
      </w:pPr>
    </w:p>
    <w:p w14:paraId="6909907A" w14:textId="45EDC814" w:rsidR="00576304" w:rsidRDefault="00576304" w:rsidP="00413D1C">
      <w:pPr>
        <w:tabs>
          <w:tab w:val="left" w:pos="-1099"/>
          <w:tab w:val="left" w:pos="-720"/>
          <w:tab w:val="left" w:pos="810"/>
          <w:tab w:val="left" w:pos="5760"/>
        </w:tabs>
        <w:jc w:val="both"/>
      </w:pPr>
      <w:r>
        <w:rPr>
          <w:sz w:val="22"/>
        </w:rPr>
        <w:t>Title:</w:t>
      </w:r>
      <w:r w:rsidR="000E0D1F">
        <w:rPr>
          <w:sz w:val="22"/>
        </w:rPr>
        <w:tab/>
      </w:r>
      <w:r w:rsidR="000E0D1F">
        <w:rPr>
          <w:sz w:val="22"/>
          <w:u w:val="single"/>
        </w:rPr>
        <w:tab/>
        <w:t xml:space="preserve"> </w:t>
      </w:r>
    </w:p>
    <w:sectPr w:rsidR="00576304" w:rsidSect="00404C8F">
      <w:headerReference w:type="default" r:id="rId11"/>
      <w:footerReference w:type="default" r:id="rId12"/>
      <w:endnotePr>
        <w:numFmt w:val="decimal"/>
      </w:endnotePr>
      <w:pgSz w:w="12240" w:h="15840"/>
      <w:pgMar w:top="1440" w:right="1440" w:bottom="1195"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A9A9" w14:textId="77777777" w:rsidR="0095693C" w:rsidRDefault="0095693C">
      <w:r>
        <w:separator/>
      </w:r>
    </w:p>
  </w:endnote>
  <w:endnote w:type="continuationSeparator" w:id="0">
    <w:p w14:paraId="5C21888B" w14:textId="77777777" w:rsidR="0095693C" w:rsidRDefault="0095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051" w14:textId="77777777" w:rsidR="00576304" w:rsidRDefault="00576304">
    <w:pPr>
      <w:framePr w:w="7920" w:h="280" w:hRule="exact" w:wrap="notBeside" w:vAnchor="page" w:hAnchor="text" w:y="14832"/>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t>-</w:t>
    </w:r>
    <w:r>
      <w:rPr>
        <w:color w:val="000000"/>
      </w:rPr>
      <w:pgNum/>
    </w:r>
    <w:r>
      <w:rPr>
        <w:color w:val="000000"/>
      </w:rPr>
      <w:t>-</w:t>
    </w:r>
  </w:p>
  <w:p w14:paraId="4FE39DC0" w14:textId="77777777" w:rsidR="00576304" w:rsidRDefault="00576304">
    <w:pPr>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78C5" w14:textId="0A08CE10" w:rsidR="00576304" w:rsidRPr="00413D1C" w:rsidRDefault="000E0D1F" w:rsidP="00413D1C">
    <w:pPr>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Pr>
        <w:color w:val="000000"/>
      </w:rPr>
      <w:t>-</w:t>
    </w:r>
    <w:r>
      <w:rPr>
        <w:color w:val="000000"/>
      </w:rPr>
      <w:pgNum/>
    </w: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1BD9" w14:textId="77777777" w:rsidR="009544FF" w:rsidRPr="000E0D1F" w:rsidRDefault="009544FF" w:rsidP="009544FF">
    <w:pPr>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color w:val="000000"/>
      </w:rPr>
      <w:t>-</w:t>
    </w:r>
    <w:r>
      <w:rPr>
        <w:color w:val="000000"/>
      </w:rPr>
      <w:pgNum/>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9634" w14:textId="77777777" w:rsidR="0095693C" w:rsidRDefault="0095693C">
      <w:r>
        <w:separator/>
      </w:r>
    </w:p>
  </w:footnote>
  <w:footnote w:type="continuationSeparator" w:id="0">
    <w:p w14:paraId="4F126979" w14:textId="77777777" w:rsidR="0095693C" w:rsidRDefault="0095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ECF8" w14:textId="77777777" w:rsidR="00576304" w:rsidRDefault="00576304">
    <w:pPr>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449C" w14:textId="77777777" w:rsidR="00576304" w:rsidRDefault="00576304">
    <w:pPr>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E474" w14:textId="77777777" w:rsidR="009544FF" w:rsidRDefault="009544FF">
    <w:pPr>
      <w:tabs>
        <w:tab w:val="left" w:pos="-1099"/>
        <w:tab w:val="left" w:pos="-720"/>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none"/>
      <w:suff w:val="nothing"/>
      <w:lvlText w:val="G"/>
      <w:lvlJc w:val="left"/>
      <w:rPr>
        <w:rFonts w:ascii="WP TypographicSymbols" w:hAnsi="WP TypographicSymbols"/>
      </w:rPr>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1F0A70F8"/>
    <w:multiLevelType w:val="multilevel"/>
    <w:tmpl w:val="6CCC4296"/>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15:restartNumberingAfterBreak="0">
    <w:nsid w:val="447A361E"/>
    <w:multiLevelType w:val="multilevel"/>
    <w:tmpl w:val="CB528B62"/>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15:restartNumberingAfterBreak="0">
    <w:nsid w:val="4AA013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D554F"/>
    <w:multiLevelType w:val="hybridMultilevel"/>
    <w:tmpl w:val="D932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702D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8610361">
    <w:abstractNumId w:val="0"/>
  </w:num>
  <w:num w:numId="2" w16cid:durableId="71854646">
    <w:abstractNumId w:val="1"/>
  </w:num>
  <w:num w:numId="3" w16cid:durableId="1057439913">
    <w:abstractNumId w:val="2"/>
  </w:num>
  <w:num w:numId="4" w16cid:durableId="369955448">
    <w:abstractNumId w:val="3"/>
  </w:num>
  <w:num w:numId="5" w16cid:durableId="191922137">
    <w:abstractNumId w:val="4"/>
  </w:num>
  <w:num w:numId="6" w16cid:durableId="868300231">
    <w:abstractNumId w:val="5"/>
  </w:num>
  <w:num w:numId="7" w16cid:durableId="891308054">
    <w:abstractNumId w:val="8"/>
  </w:num>
  <w:num w:numId="8" w16cid:durableId="1800804296">
    <w:abstractNumId w:val="5"/>
    <w:lvlOverride w:ilvl="0">
      <w:lvl w:ilvl="0">
        <w:start w:val="1"/>
        <w:numFmt w:val="bullet"/>
        <w:lvlText w:val=""/>
        <w:lvlJc w:val="left"/>
        <w:pPr>
          <w:ind w:left="72" w:hanging="72"/>
        </w:pPr>
        <w:rPr>
          <w:rFonts w:ascii="Symbol" w:hAnsi="Symbol" w:hint="default"/>
        </w:rPr>
      </w:lvl>
    </w:lvlOverride>
    <w:lvlOverride w:ilvl="1">
      <w:lvl w:ilvl="1">
        <w:start w:val="1"/>
        <w:numFmt w:val="none"/>
        <w:suff w:val="nothing"/>
        <w:lvlText w:val="$"/>
        <w:lvlJc w:val="left"/>
        <w:pPr>
          <w:ind w:left="0" w:firstLine="0"/>
        </w:pPr>
        <w:rPr>
          <w:rFonts w:ascii="WP TypographicSymbols" w:hAnsi="WP TypographicSymbols" w:hint="default"/>
        </w:rPr>
      </w:lvl>
    </w:lvlOverride>
    <w:lvlOverride w:ilvl="2">
      <w:lvl w:ilvl="2">
        <w:start w:val="1"/>
        <w:numFmt w:val="none"/>
        <w:suff w:val="nothing"/>
        <w:lvlText w:val="$"/>
        <w:lvlJc w:val="left"/>
        <w:pPr>
          <w:ind w:left="0" w:firstLine="0"/>
        </w:pPr>
        <w:rPr>
          <w:rFonts w:ascii="WP TypographicSymbols" w:hAnsi="WP TypographicSymbols" w:hint="default"/>
        </w:rPr>
      </w:lvl>
    </w:lvlOverride>
    <w:lvlOverride w:ilvl="3">
      <w:lvl w:ilvl="3">
        <w:start w:val="1"/>
        <w:numFmt w:val="none"/>
        <w:suff w:val="nothing"/>
        <w:lvlText w:val="$"/>
        <w:lvlJc w:val="left"/>
        <w:pPr>
          <w:ind w:left="0" w:firstLine="0"/>
        </w:pPr>
        <w:rPr>
          <w:rFonts w:ascii="WP TypographicSymbols" w:hAnsi="WP TypographicSymbols" w:hint="default"/>
        </w:rPr>
      </w:lvl>
    </w:lvlOverride>
    <w:lvlOverride w:ilvl="4">
      <w:lvl w:ilvl="4">
        <w:start w:val="1"/>
        <w:numFmt w:val="none"/>
        <w:suff w:val="nothing"/>
        <w:lvlText w:val="$"/>
        <w:lvlJc w:val="left"/>
        <w:pPr>
          <w:ind w:left="0" w:firstLine="0"/>
        </w:pPr>
        <w:rPr>
          <w:rFonts w:ascii="WP TypographicSymbols" w:hAnsi="WP TypographicSymbols" w:hint="default"/>
        </w:rPr>
      </w:lvl>
    </w:lvlOverride>
    <w:lvlOverride w:ilvl="5">
      <w:lvl w:ilvl="5">
        <w:start w:val="1"/>
        <w:numFmt w:val="none"/>
        <w:suff w:val="nothing"/>
        <w:lvlText w:val="$"/>
        <w:lvlJc w:val="left"/>
        <w:pPr>
          <w:ind w:left="0" w:firstLine="0"/>
        </w:pPr>
        <w:rPr>
          <w:rFonts w:ascii="WP TypographicSymbols" w:hAnsi="WP TypographicSymbols" w:hint="default"/>
        </w:rPr>
      </w:lvl>
    </w:lvlOverride>
    <w:lvlOverride w:ilvl="6">
      <w:lvl w:ilvl="6">
        <w:start w:val="1"/>
        <w:numFmt w:val="none"/>
        <w:suff w:val="nothing"/>
        <w:lvlText w:val="$"/>
        <w:lvlJc w:val="left"/>
        <w:pPr>
          <w:ind w:left="0" w:firstLine="0"/>
        </w:pPr>
        <w:rPr>
          <w:rFonts w:ascii="WP TypographicSymbols" w:hAnsi="WP TypographicSymbols" w:hint="default"/>
        </w:rPr>
      </w:lvl>
    </w:lvlOverride>
    <w:lvlOverride w:ilvl="7">
      <w:lvl w:ilvl="7">
        <w:start w:val="1"/>
        <w:numFmt w:val="none"/>
        <w:suff w:val="nothing"/>
        <w:lvlText w:val="$"/>
        <w:lvlJc w:val="left"/>
        <w:pPr>
          <w:ind w:left="0" w:firstLine="0"/>
        </w:pPr>
        <w:rPr>
          <w:rFonts w:ascii="WP TypographicSymbols" w:hAnsi="WP TypographicSymbols" w:hint="default"/>
        </w:rPr>
      </w:lvl>
    </w:lvlOverride>
    <w:lvlOverride w:ilvl="8">
      <w:lvl w:ilvl="8">
        <w:start w:val="1"/>
        <w:numFmt w:val="none"/>
        <w:suff w:val="nothing"/>
        <w:lvlText w:val="$"/>
        <w:lvlJc w:val="left"/>
        <w:pPr>
          <w:ind w:left="0" w:firstLine="0"/>
        </w:pPr>
        <w:rPr>
          <w:rFonts w:ascii="WP TypographicSymbols" w:hAnsi="WP TypographicSymbols" w:hint="default"/>
        </w:rPr>
      </w:lvl>
    </w:lvlOverride>
  </w:num>
  <w:num w:numId="9" w16cid:durableId="1340162823">
    <w:abstractNumId w:val="5"/>
    <w:lvlOverride w:ilvl="0">
      <w:lvl w:ilvl="0">
        <w:start w:val="1"/>
        <w:numFmt w:val="bullet"/>
        <w:lvlText w:val=""/>
        <w:lvlJc w:val="left"/>
        <w:pPr>
          <w:ind w:left="72" w:hanging="72"/>
        </w:pPr>
        <w:rPr>
          <w:rFonts w:ascii="Symbol" w:hAnsi="Symbol" w:hint="default"/>
        </w:rPr>
      </w:lvl>
    </w:lvlOverride>
    <w:lvlOverride w:ilvl="1">
      <w:lvl w:ilvl="1">
        <w:start w:val="1"/>
        <w:numFmt w:val="none"/>
        <w:suff w:val="nothing"/>
        <w:lvlText w:val="$"/>
        <w:lvlJc w:val="left"/>
        <w:pPr>
          <w:ind w:left="144" w:hanging="72"/>
        </w:pPr>
        <w:rPr>
          <w:rFonts w:ascii="WP TypographicSymbols" w:hAnsi="WP TypographicSymbols" w:hint="default"/>
        </w:rPr>
      </w:lvl>
    </w:lvlOverride>
    <w:lvlOverride w:ilvl="2">
      <w:lvl w:ilvl="2">
        <w:start w:val="1"/>
        <w:numFmt w:val="none"/>
        <w:suff w:val="nothing"/>
        <w:lvlText w:val="$"/>
        <w:lvlJc w:val="left"/>
        <w:pPr>
          <w:ind w:left="216" w:hanging="72"/>
        </w:pPr>
        <w:rPr>
          <w:rFonts w:ascii="WP TypographicSymbols" w:hAnsi="WP TypographicSymbols" w:hint="default"/>
        </w:rPr>
      </w:lvl>
    </w:lvlOverride>
    <w:lvlOverride w:ilvl="3">
      <w:lvl w:ilvl="3">
        <w:start w:val="1"/>
        <w:numFmt w:val="none"/>
        <w:suff w:val="nothing"/>
        <w:lvlText w:val="$"/>
        <w:lvlJc w:val="left"/>
        <w:pPr>
          <w:ind w:left="288" w:hanging="72"/>
        </w:pPr>
        <w:rPr>
          <w:rFonts w:ascii="WP TypographicSymbols" w:hAnsi="WP TypographicSymbols" w:hint="default"/>
        </w:rPr>
      </w:lvl>
    </w:lvlOverride>
    <w:lvlOverride w:ilvl="4">
      <w:lvl w:ilvl="4">
        <w:start w:val="1"/>
        <w:numFmt w:val="none"/>
        <w:suff w:val="nothing"/>
        <w:lvlText w:val="$"/>
        <w:lvlJc w:val="left"/>
        <w:pPr>
          <w:ind w:left="360" w:hanging="72"/>
        </w:pPr>
        <w:rPr>
          <w:rFonts w:ascii="WP TypographicSymbols" w:hAnsi="WP TypographicSymbols" w:hint="default"/>
        </w:rPr>
      </w:lvl>
    </w:lvlOverride>
    <w:lvlOverride w:ilvl="5">
      <w:lvl w:ilvl="5">
        <w:start w:val="1"/>
        <w:numFmt w:val="none"/>
        <w:suff w:val="nothing"/>
        <w:lvlText w:val="$"/>
        <w:lvlJc w:val="left"/>
        <w:pPr>
          <w:ind w:left="432" w:hanging="72"/>
        </w:pPr>
        <w:rPr>
          <w:rFonts w:ascii="WP TypographicSymbols" w:hAnsi="WP TypographicSymbols" w:hint="default"/>
        </w:rPr>
      </w:lvl>
    </w:lvlOverride>
    <w:lvlOverride w:ilvl="6">
      <w:lvl w:ilvl="6">
        <w:start w:val="1"/>
        <w:numFmt w:val="none"/>
        <w:suff w:val="nothing"/>
        <w:lvlText w:val="$"/>
        <w:lvlJc w:val="left"/>
        <w:pPr>
          <w:ind w:left="504" w:hanging="72"/>
        </w:pPr>
        <w:rPr>
          <w:rFonts w:ascii="WP TypographicSymbols" w:hAnsi="WP TypographicSymbols" w:hint="default"/>
        </w:rPr>
      </w:lvl>
    </w:lvlOverride>
    <w:lvlOverride w:ilvl="7">
      <w:lvl w:ilvl="7">
        <w:start w:val="1"/>
        <w:numFmt w:val="none"/>
        <w:suff w:val="nothing"/>
        <w:lvlText w:val="$"/>
        <w:lvlJc w:val="left"/>
        <w:pPr>
          <w:ind w:left="576" w:hanging="72"/>
        </w:pPr>
        <w:rPr>
          <w:rFonts w:ascii="WP TypographicSymbols" w:hAnsi="WP TypographicSymbols" w:hint="default"/>
        </w:rPr>
      </w:lvl>
    </w:lvlOverride>
    <w:lvlOverride w:ilvl="8">
      <w:lvl w:ilvl="8">
        <w:start w:val="1"/>
        <w:numFmt w:val="none"/>
        <w:suff w:val="nothing"/>
        <w:lvlText w:val="$"/>
        <w:lvlJc w:val="left"/>
        <w:pPr>
          <w:ind w:left="648" w:hanging="72"/>
        </w:pPr>
        <w:rPr>
          <w:rFonts w:ascii="WP TypographicSymbols" w:hAnsi="WP TypographicSymbols" w:hint="default"/>
        </w:rPr>
      </w:lvl>
    </w:lvlOverride>
  </w:num>
  <w:num w:numId="10" w16cid:durableId="1510605053">
    <w:abstractNumId w:val="6"/>
  </w:num>
  <w:num w:numId="11" w16cid:durableId="1153376003">
    <w:abstractNumId w:val="7"/>
  </w:num>
  <w:num w:numId="12" w16cid:durableId="810946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9"/>
    <w:rsid w:val="00006B53"/>
    <w:rsid w:val="000E0D1F"/>
    <w:rsid w:val="000F7D61"/>
    <w:rsid w:val="00116469"/>
    <w:rsid w:val="001262C6"/>
    <w:rsid w:val="00181752"/>
    <w:rsid w:val="00236B12"/>
    <w:rsid w:val="00283E15"/>
    <w:rsid w:val="00293416"/>
    <w:rsid w:val="003530CE"/>
    <w:rsid w:val="003B25AB"/>
    <w:rsid w:val="003D29C1"/>
    <w:rsid w:val="00404C8F"/>
    <w:rsid w:val="00413D1C"/>
    <w:rsid w:val="00446759"/>
    <w:rsid w:val="004603B5"/>
    <w:rsid w:val="00576304"/>
    <w:rsid w:val="005D64A4"/>
    <w:rsid w:val="007449A6"/>
    <w:rsid w:val="009159CB"/>
    <w:rsid w:val="009544FF"/>
    <w:rsid w:val="0095693C"/>
    <w:rsid w:val="00A1021D"/>
    <w:rsid w:val="00A2073E"/>
    <w:rsid w:val="00B15D16"/>
    <w:rsid w:val="00B207CC"/>
    <w:rsid w:val="00B80289"/>
    <w:rsid w:val="00BA7251"/>
    <w:rsid w:val="00BD7F57"/>
    <w:rsid w:val="00CA002D"/>
    <w:rsid w:val="00CC45E6"/>
    <w:rsid w:val="00D20A83"/>
    <w:rsid w:val="00DB4AF2"/>
    <w:rsid w:val="00E535D0"/>
    <w:rsid w:val="00F72870"/>
    <w:rsid w:val="00FB1B0E"/>
    <w:rsid w:val="00FB482A"/>
    <w:rsid w:val="00F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18C2F"/>
  <w15:docId w15:val="{59C667E6-1E9A-4530-B102-24057917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15"/>
    <w:pPr>
      <w:ind w:left="720"/>
    </w:p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19">
    <w:name w:val="Outline001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41">
    <w:name w:val="Outline004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43">
    <w:name w:val="Outline004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44">
    <w:name w:val="Outline004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45">
    <w:name w:val="Outline004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46">
    <w:name w:val="Outline004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47">
    <w:name w:val="Outline004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48">
    <w:name w:val="Outline004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49">
    <w:name w:val="Outline004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51">
    <w:name w:val="Outline005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52">
    <w:name w:val="Outline005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53">
    <w:name w:val="Outline005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54">
    <w:name w:val="Outline005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55">
    <w:name w:val="Outline005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56">
    <w:name w:val="Outline005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57">
    <w:name w:val="Outline005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58">
    <w:name w:val="Outline005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59">
    <w:name w:val="Outline005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31">
    <w:name w:val="Outline003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37">
    <w:name w:val="Outline003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38">
    <w:name w:val="Outline003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39">
    <w:name w:val="Outline003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29">
    <w:name w:val="Outline002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paragraph" w:customStyle="1" w:styleId="Quicki">
    <w:name w:val="Quick i."/>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PAParaText">
    <w:name w:val="PA_ParaText"/>
    <w:basedOn w:val="Normal"/>
    <w:pPr>
      <w:jc w:val="both"/>
    </w:pPr>
    <w:rPr>
      <w:rFonts w:ascii="SimSun" w:hAnsi="SimSun"/>
    </w:rPr>
  </w:style>
  <w:style w:type="character" w:customStyle="1" w:styleId="CLPractical">
    <w:name w:val="CL_Practical"/>
    <w:rPr>
      <w:vanish/>
      <w:u w:val="single"/>
      <w:vertAlign w:val="superscript"/>
    </w:rPr>
  </w:style>
  <w:style w:type="character" w:customStyle="1" w:styleId="endnoterefe">
    <w:name w:val="endnote refe"/>
    <w:rPr>
      <w:vertAlign w:val="superscript"/>
    </w:rPr>
  </w:style>
  <w:style w:type="character" w:customStyle="1" w:styleId="PPCRefAAN5">
    <w:name w:val="PPCRef_AA_N5"/>
    <w:rPr>
      <w:color w:val="0000FF"/>
      <w:u w:val="single"/>
    </w:rPr>
  </w:style>
  <w:style w:type="character" w:customStyle="1" w:styleId="PPCRefAICP7">
    <w:name w:val="PPCRef_AICP7"/>
    <w:rPr>
      <w:color w:val="0000FF"/>
      <w:u w:val="single"/>
    </w:rPr>
  </w:style>
  <w:style w:type="character" w:customStyle="1" w:styleId="PPCRefAAN4">
    <w:name w:val="PPCRef_AA_N4"/>
    <w:rPr>
      <w:color w:val="0000FF"/>
      <w:u w:val="single"/>
    </w:rPr>
  </w:style>
  <w:style w:type="character" w:customStyle="1" w:styleId="PPCRefAICP6">
    <w:name w:val="PPCRef_AICP6"/>
    <w:rPr>
      <w:color w:val="0000FF"/>
      <w:u w:val="single"/>
    </w:rPr>
  </w:style>
  <w:style w:type="character" w:customStyle="1" w:styleId="PPCRefAICP5">
    <w:name w:val="PPCRef_AICP5"/>
    <w:rPr>
      <w:color w:val="0000FF"/>
      <w:u w:val="single"/>
    </w:rPr>
  </w:style>
  <w:style w:type="character" w:customStyle="1" w:styleId="PPCRefAICP4">
    <w:name w:val="PPCRef_AICP4"/>
    <w:rPr>
      <w:color w:val="0000FF"/>
      <w:u w:val="single"/>
    </w:rPr>
  </w:style>
  <w:style w:type="character" w:customStyle="1" w:styleId="PPCRefAICP3">
    <w:name w:val="PPCRef_AICP3"/>
    <w:rPr>
      <w:color w:val="0000FF"/>
      <w:u w:val="single"/>
    </w:rPr>
  </w:style>
  <w:style w:type="character" w:customStyle="1" w:styleId="PPCRefAICP2">
    <w:name w:val="PPCRef_AICP2"/>
    <w:rPr>
      <w:color w:val="0000FF"/>
      <w:u w:val="single"/>
    </w:rPr>
  </w:style>
  <w:style w:type="character" w:customStyle="1" w:styleId="PPCRefAICP1">
    <w:name w:val="PPCRef_AICP1"/>
    <w:rPr>
      <w:color w:val="0000FF"/>
      <w:u w:val="single"/>
    </w:rPr>
  </w:style>
  <w:style w:type="character" w:customStyle="1" w:styleId="PPCRefAAN3">
    <w:name w:val="PPCRef_AA_N3"/>
    <w:rPr>
      <w:color w:val="0000FF"/>
      <w:u w:val="single"/>
    </w:rPr>
  </w:style>
  <w:style w:type="character" w:customStyle="1" w:styleId="PPCRefAAN2">
    <w:name w:val="PPCRef_AA_N2"/>
    <w:rPr>
      <w:color w:val="0000FF"/>
      <w:u w:val="single"/>
    </w:rPr>
  </w:style>
  <w:style w:type="character" w:customStyle="1" w:styleId="PPCRefAAN1">
    <w:name w:val="PPCRef_AA_N1"/>
    <w:rPr>
      <w:color w:val="0000FF"/>
      <w:u w:val="single"/>
    </w:rPr>
  </w:style>
  <w:style w:type="character" w:customStyle="1" w:styleId="PPCRefAANP">
    <w:name w:val="PPCRef_AA_NP"/>
    <w:rPr>
      <w:color w:val="0000FF"/>
      <w:u w:val="single"/>
    </w:rPr>
  </w:style>
  <w:style w:type="character" w:customStyle="1" w:styleId="PPCRefAICPA">
    <w:name w:val="PPCRef_AICPA"/>
    <w:rPr>
      <w:color w:val="0000FF"/>
      <w:u w:val="single"/>
    </w:rPr>
  </w:style>
  <w:style w:type="character" w:styleId="EndnoteReference">
    <w:name w:val="endnote reference"/>
    <w:semiHidden/>
    <w:rPr>
      <w:vertAlign w:val="superscript"/>
    </w:rPr>
  </w:style>
  <w:style w:type="paragraph" w:styleId="EndnoteText">
    <w:name w:val="endnote text"/>
    <w:basedOn w:val="Normal"/>
    <w:semiHidden/>
  </w:style>
  <w:style w:type="paragraph" w:styleId="Header">
    <w:name w:val="header"/>
    <w:basedOn w:val="Normal"/>
    <w:link w:val="HeaderChar"/>
    <w:uiPriority w:val="99"/>
    <w:unhideWhenUsed/>
    <w:rsid w:val="000E0D1F"/>
    <w:pPr>
      <w:tabs>
        <w:tab w:val="center" w:pos="4680"/>
        <w:tab w:val="right" w:pos="9360"/>
      </w:tabs>
    </w:pPr>
  </w:style>
  <w:style w:type="character" w:customStyle="1" w:styleId="HeaderChar">
    <w:name w:val="Header Char"/>
    <w:basedOn w:val="DefaultParagraphFont"/>
    <w:link w:val="Header"/>
    <w:uiPriority w:val="99"/>
    <w:rsid w:val="000E0D1F"/>
    <w:rPr>
      <w:sz w:val="24"/>
    </w:rPr>
  </w:style>
  <w:style w:type="paragraph" w:styleId="Footer">
    <w:name w:val="footer"/>
    <w:basedOn w:val="Normal"/>
    <w:link w:val="FooterChar"/>
    <w:uiPriority w:val="99"/>
    <w:unhideWhenUsed/>
    <w:rsid w:val="000E0D1F"/>
    <w:pPr>
      <w:tabs>
        <w:tab w:val="center" w:pos="4680"/>
        <w:tab w:val="right" w:pos="9360"/>
      </w:tabs>
    </w:pPr>
  </w:style>
  <w:style w:type="character" w:customStyle="1" w:styleId="FooterChar">
    <w:name w:val="Footer Char"/>
    <w:basedOn w:val="DefaultParagraphFont"/>
    <w:link w:val="Footer"/>
    <w:uiPriority w:val="99"/>
    <w:rsid w:val="000E0D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9603">
      <w:bodyDiv w:val="1"/>
      <w:marLeft w:val="0"/>
      <w:marRight w:val="0"/>
      <w:marTop w:val="0"/>
      <w:marBottom w:val="0"/>
      <w:divBdr>
        <w:top w:val="none" w:sz="0" w:space="0" w:color="auto"/>
        <w:left w:val="none" w:sz="0" w:space="0" w:color="auto"/>
        <w:bottom w:val="none" w:sz="0" w:space="0" w:color="auto"/>
        <w:right w:val="none" w:sz="0" w:space="0" w:color="auto"/>
      </w:divBdr>
    </w:div>
    <w:div w:id="17067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1135</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 Hanner</dc:creator>
  <cp:keywords/>
  <cp:lastModifiedBy>Clark W. Hanner</cp:lastModifiedBy>
  <cp:revision>23</cp:revision>
  <cp:lastPrinted>2014-12-16T02:09:00Z</cp:lastPrinted>
  <dcterms:created xsi:type="dcterms:W3CDTF">2014-12-15T20:09:00Z</dcterms:created>
  <dcterms:modified xsi:type="dcterms:W3CDTF">2023-12-21T21:55:00Z</dcterms:modified>
</cp:coreProperties>
</file>