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C2" w:rsidRDefault="00C27FF2">
      <w:pPr>
        <w:pStyle w:val="normal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</w:rPr>
        <w:t>Exploris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School</w:t>
      </w:r>
    </w:p>
    <w:p w:rsidR="001966C2" w:rsidRDefault="00C27FF2">
      <w:pPr>
        <w:pStyle w:val="normal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</w:rPr>
        <w:t>NEPOTISM POLICY</w:t>
      </w: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Purpose </w:t>
      </w: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purpose of this nepotism policy is to protect the interests of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Exploris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School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when it is contemplating entering into an arrangement with an immediate family member of a member of the Board of Directors (the “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”) or an employee of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Exploris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School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This policy is intended to supplement but not replace any applicable state laws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governing nepotism applicable to nonprofit and charitable corporations. </w:t>
      </w:r>
    </w:p>
    <w:p w:rsidR="001966C2" w:rsidRDefault="001966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Policy </w:t>
      </w: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Policy shall be as follows: </w:t>
      </w:r>
    </w:p>
    <w:p w:rsidR="001966C2" w:rsidRDefault="001966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 Before any immediate family, as defined b</w:t>
      </w:r>
      <w:r>
        <w:rPr>
          <w:rFonts w:ascii="Times New Roman" w:eastAsia="Times New Roman" w:hAnsi="Times New Roman" w:cs="Times New Roman"/>
          <w:sz w:val="23"/>
          <w:szCs w:val="23"/>
        </w:rPr>
        <w:t>elow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of any member of the Board or a charter school employee with supervisory authority shall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be employed or engaged as an employee, independent contractor, or otherwise by the Board in any capacity, such proposed employment or engagement shall be: </w:t>
      </w: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disclosed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 the Board and </w:t>
      </w: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(ii)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approved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by the Board in a duly called open-session meeting. </w:t>
      </w:r>
    </w:p>
    <w:p w:rsidR="001966C2" w:rsidRDefault="001966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burden of disclosure of such a conflict of interest shall be on the applicable Board member or employee with supervisory authority. If the requirements of this subsection are complied with,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Exploris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School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may employ the immediate family of any mem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ber of the Board or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Exploris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School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employee with supervisory authority. </w:t>
      </w:r>
    </w:p>
    <w:p w:rsidR="001966C2" w:rsidRDefault="001966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No teacher or staff member that is immediate family of the chief administrator shall be hired without the Board evaluating their credentials, establishing a structure to preve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nt conflicts of interest, and notifying the Department, with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evidence, that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this process has occurred. </w:t>
      </w:r>
    </w:p>
    <w:p w:rsidR="001966C2" w:rsidRDefault="001966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 term “immediate family member” means a spouse, parent, child, dom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estic partner,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brother, sister, grandparent, grandchild, guardian or ward. The ter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 includes the step, half, and in-law relationships. </w:t>
      </w:r>
    </w:p>
    <w:p w:rsidR="001966C2" w:rsidRDefault="001966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966C2" w:rsidRDefault="00C27F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References </w:t>
      </w:r>
    </w:p>
    <w:p w:rsidR="001966C2" w:rsidRDefault="00C27FF2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North Carolina G.S. 115C-12.2, G.S. 115C-218.15; </w:t>
      </w:r>
      <w:r>
        <w:rPr>
          <w:rFonts w:ascii="Times New Roman" w:eastAsia="Times New Roman" w:hAnsi="Times New Roman" w:cs="Times New Roman"/>
        </w:rPr>
        <w:t xml:space="preserve">Section 4.3 Charter Agreement </w:t>
      </w:r>
    </w:p>
    <w:p w:rsidR="001966C2" w:rsidRDefault="00C27FF2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Adopted: ______________, 2018</w:t>
      </w:r>
    </w:p>
    <w:p w:rsidR="001966C2" w:rsidRDefault="001966C2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:rsidR="001966C2" w:rsidRDefault="001966C2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:rsidR="001966C2" w:rsidRDefault="001966C2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:rsidR="001966C2" w:rsidRDefault="001966C2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:rsidR="001966C2" w:rsidRDefault="001966C2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:rsidR="001966C2" w:rsidRDefault="001966C2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sectPr w:rsidR="001966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66C2"/>
    <w:rsid w:val="001966C2"/>
    <w:rsid w:val="00C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Macintosh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Keely Byars-Nichols</cp:lastModifiedBy>
  <cp:revision>2</cp:revision>
  <dcterms:created xsi:type="dcterms:W3CDTF">2018-07-24T14:38:00Z</dcterms:created>
  <dcterms:modified xsi:type="dcterms:W3CDTF">2018-07-24T14:38:00Z</dcterms:modified>
</cp:coreProperties>
</file>