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51FAF" w14:textId="77777777" w:rsidR="00F2694D" w:rsidRDefault="009E16EF" w:rsidP="00883B58">
      <w:pPr>
        <w:pStyle w:val="Title"/>
        <w:ind w:firstLine="360"/>
        <w:jc w:val="center"/>
      </w:pPr>
      <w:r w:rsidRPr="009E16EF">
        <w:rPr>
          <w:noProof/>
        </w:rPr>
        <w:drawing>
          <wp:inline distT="0" distB="0" distL="0" distR="0" wp14:anchorId="0D4660C6" wp14:editId="36592AE3">
            <wp:extent cx="6915150" cy="1381125"/>
            <wp:effectExtent l="0" t="0" r="0" b="9525"/>
            <wp:docPr id="2" name="Picture 2" descr="California Department of Education letterhead with the official seal of the Department. Tom Torlakson,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image.fw.png"/>
                    <pic:cNvPicPr/>
                  </pic:nvPicPr>
                  <pic:blipFill>
                    <a:blip r:embed="rId8">
                      <a:extLst>
                        <a:ext uri="{28A0092B-C50C-407E-A947-70E740481C1C}">
                          <a14:useLocalDpi xmlns:a14="http://schemas.microsoft.com/office/drawing/2010/main" val="0"/>
                        </a:ext>
                      </a:extLst>
                    </a:blip>
                    <a:stretch>
                      <a:fillRect/>
                    </a:stretch>
                  </pic:blipFill>
                  <pic:spPr>
                    <a:xfrm>
                      <a:off x="0" y="0"/>
                      <a:ext cx="6915716" cy="1381238"/>
                    </a:xfrm>
                    <a:prstGeom prst="rect">
                      <a:avLst/>
                    </a:prstGeom>
                  </pic:spPr>
                </pic:pic>
              </a:graphicData>
            </a:graphic>
          </wp:inline>
        </w:drawing>
      </w:r>
    </w:p>
    <w:p w14:paraId="478B2F08" w14:textId="22633488" w:rsidR="00176035" w:rsidRPr="00D2583F" w:rsidRDefault="00D2583F" w:rsidP="00176035">
      <w:pPr>
        <w:shd w:val="clear" w:color="auto" w:fill="FFFFFF"/>
        <w:tabs>
          <w:tab w:val="left" w:pos="4815"/>
          <w:tab w:val="center" w:pos="6120"/>
        </w:tabs>
        <w:spacing w:after="360" w:line="240" w:lineRule="auto"/>
        <w:ind w:left="0" w:right="0"/>
        <w:rPr>
          <w:rFonts w:ascii="Helvetica" w:eastAsia="Times New Roman" w:hAnsi="Helvetica" w:cs="Helvetica"/>
          <w:color w:val="000000"/>
        </w:rPr>
      </w:pPr>
      <w:r>
        <w:rPr>
          <w:rFonts w:ascii="Helvetica" w:eastAsia="Times New Roman" w:hAnsi="Helvetica" w:cs="Helvetica"/>
          <w:color w:val="000000"/>
        </w:rPr>
        <w:tab/>
      </w:r>
      <w:r>
        <w:rPr>
          <w:rFonts w:ascii="Helvetica" w:eastAsia="Times New Roman" w:hAnsi="Helvetica" w:cs="Helvetica"/>
          <w:color w:val="000000"/>
        </w:rPr>
        <w:tab/>
      </w:r>
      <w:r w:rsidR="0055669B">
        <w:rPr>
          <w:rFonts w:ascii="Helvetica" w:eastAsia="Times New Roman" w:hAnsi="Helvetica" w:cs="Helvetica"/>
          <w:color w:val="000000"/>
        </w:rPr>
        <w:t>December 5</w:t>
      </w:r>
      <w:r w:rsidRPr="00D2583F">
        <w:rPr>
          <w:rFonts w:ascii="Helvetica" w:eastAsia="Times New Roman" w:hAnsi="Helvetica" w:cs="Helvetica"/>
          <w:color w:val="000000"/>
        </w:rPr>
        <w:t>, 2018</w:t>
      </w:r>
    </w:p>
    <w:p w14:paraId="1C80E5A7" w14:textId="77777777" w:rsidR="00D2583F" w:rsidRPr="00D2583F" w:rsidRDefault="00D2583F" w:rsidP="00176035">
      <w:pPr>
        <w:spacing w:before="360" w:after="240" w:line="240" w:lineRule="auto"/>
        <w:ind w:right="0" w:hanging="86"/>
        <w:rPr>
          <w:rFonts w:eastAsiaTheme="minorHAnsi" w:cstheme="minorBidi"/>
          <w:szCs w:val="22"/>
        </w:rPr>
      </w:pPr>
      <w:r w:rsidRPr="00D2583F">
        <w:rPr>
          <w:rFonts w:eastAsiaTheme="minorHAnsi" w:cstheme="minorBidi"/>
          <w:szCs w:val="22"/>
        </w:rPr>
        <w:t>Dear County and District Superintendents and Charter School Administrators:</w:t>
      </w:r>
    </w:p>
    <w:p w14:paraId="17F7079F" w14:textId="77777777" w:rsidR="00D2583F" w:rsidRPr="00D2583F" w:rsidRDefault="00D2583F" w:rsidP="00176035">
      <w:pPr>
        <w:keepNext/>
        <w:keepLines/>
        <w:tabs>
          <w:tab w:val="left" w:pos="2700"/>
        </w:tabs>
        <w:spacing w:before="120" w:after="120" w:line="240" w:lineRule="auto"/>
        <w:ind w:left="0" w:right="0" w:firstLine="990"/>
        <w:jc w:val="center"/>
        <w:outlineLvl w:val="0"/>
        <w:rPr>
          <w:rFonts w:eastAsia="Times New Roman" w:cstheme="majorBidi"/>
          <w:b/>
          <w:sz w:val="32"/>
          <w:szCs w:val="32"/>
        </w:rPr>
      </w:pPr>
      <w:r w:rsidRPr="00D2583F">
        <w:rPr>
          <w:rFonts w:eastAsia="Times New Roman" w:cstheme="majorBidi"/>
          <w:b/>
          <w:sz w:val="32"/>
          <w:szCs w:val="32"/>
        </w:rPr>
        <w:t>Low-</w:t>
      </w:r>
      <w:r w:rsidRPr="00D2583F">
        <w:rPr>
          <w:rFonts w:eastAsiaTheme="majorEastAsia" w:cstheme="majorBidi"/>
          <w:b/>
          <w:sz w:val="32"/>
          <w:szCs w:val="32"/>
        </w:rPr>
        <w:t>Performing</w:t>
      </w:r>
      <w:r w:rsidRPr="00D2583F">
        <w:rPr>
          <w:rFonts w:eastAsia="Times New Roman" w:cstheme="majorBidi"/>
          <w:b/>
          <w:sz w:val="32"/>
          <w:szCs w:val="32"/>
        </w:rPr>
        <w:t xml:space="preserve"> Students Block Grant</w:t>
      </w:r>
    </w:p>
    <w:p w14:paraId="7AEC0AF7" w14:textId="77777777" w:rsidR="00D2583F" w:rsidRPr="00D2583F" w:rsidRDefault="00D2583F" w:rsidP="00176035">
      <w:pPr>
        <w:spacing w:before="240" w:after="240" w:line="240" w:lineRule="auto"/>
        <w:ind w:left="1354" w:right="0"/>
        <w:rPr>
          <w:rFonts w:eastAsiaTheme="minorHAnsi" w:cstheme="minorBidi"/>
          <w:szCs w:val="22"/>
        </w:rPr>
      </w:pPr>
      <w:r w:rsidRPr="00D2583F">
        <w:rPr>
          <w:rFonts w:eastAsiaTheme="minorHAnsi" w:cstheme="minorBidi"/>
          <w:szCs w:val="22"/>
        </w:rPr>
        <w:t>Governor Brown signed Assembly Bill 1808 into law on June 27, 2018. AB 1808 authorizes the allocation of a $300 million Low-Performing Students Block Grant (LPSBG) in the 2018–19 fiscal year to provide California’s low-performing students with additional supports to increase their academic achievement as defined in the California </w:t>
      </w:r>
      <w:r w:rsidRPr="00D2583F">
        <w:rPr>
          <w:rFonts w:eastAsiaTheme="minorHAnsi" w:cstheme="minorBidi"/>
          <w:i/>
          <w:szCs w:val="22"/>
        </w:rPr>
        <w:t>Education Code</w:t>
      </w:r>
      <w:r w:rsidRPr="00D2583F">
        <w:rPr>
          <w:rFonts w:eastAsiaTheme="minorHAnsi" w:cstheme="minorBidi"/>
          <w:szCs w:val="22"/>
        </w:rPr>
        <w:t> (</w:t>
      </w:r>
      <w:r w:rsidRPr="00D2583F">
        <w:rPr>
          <w:rFonts w:eastAsiaTheme="minorHAnsi" w:cstheme="minorBidi"/>
          <w:i/>
          <w:szCs w:val="22"/>
        </w:rPr>
        <w:t>EC</w:t>
      </w:r>
      <w:r w:rsidRPr="00D2583F">
        <w:rPr>
          <w:rFonts w:eastAsiaTheme="minorHAnsi" w:cstheme="minorBidi"/>
          <w:szCs w:val="22"/>
        </w:rPr>
        <w:t>), Section 41570(d).</w:t>
      </w:r>
    </w:p>
    <w:p w14:paraId="4C6DAC60" w14:textId="4D57EEF8" w:rsidR="00D2583F" w:rsidRPr="00D2583F" w:rsidRDefault="00D2583F" w:rsidP="00D2583F">
      <w:pPr>
        <w:spacing w:after="240" w:line="240" w:lineRule="auto"/>
        <w:ind w:left="1350" w:right="0"/>
        <w:rPr>
          <w:rFonts w:eastAsiaTheme="minorHAnsi" w:cstheme="minorBidi"/>
          <w:szCs w:val="22"/>
        </w:rPr>
      </w:pPr>
      <w:r w:rsidRPr="00D2583F">
        <w:rPr>
          <w:rFonts w:eastAsiaTheme="minorHAnsi" w:cstheme="minorBidi"/>
          <w:szCs w:val="22"/>
        </w:rPr>
        <w:t xml:space="preserve">The purpose of this letter is to notify eligible local educational agencies (LEAs) of the reporting requirements for this grant pursuant to </w:t>
      </w:r>
      <w:r w:rsidRPr="00D2583F">
        <w:rPr>
          <w:rFonts w:eastAsiaTheme="minorHAnsi" w:cstheme="minorBidi"/>
          <w:i/>
          <w:szCs w:val="22"/>
        </w:rPr>
        <w:t>EC</w:t>
      </w:r>
      <w:r w:rsidRPr="00D2583F">
        <w:rPr>
          <w:rFonts w:eastAsiaTheme="minorHAnsi" w:cstheme="minorBidi"/>
          <w:szCs w:val="22"/>
        </w:rPr>
        <w:t xml:space="preserve"> Section 41570(f)(2). The LEA must submit two reports to the State Superintendent of Public Instruction using the California Department of Education’s </w:t>
      </w:r>
      <w:r w:rsidR="00883B58">
        <w:rPr>
          <w:rFonts w:eastAsiaTheme="minorHAnsi" w:cstheme="minorBidi"/>
          <w:szCs w:val="22"/>
        </w:rPr>
        <w:t xml:space="preserve">(CDE’s) </w:t>
      </w:r>
      <w:r w:rsidRPr="00D2583F">
        <w:rPr>
          <w:rFonts w:eastAsiaTheme="minorHAnsi" w:cstheme="minorBidi"/>
          <w:szCs w:val="22"/>
        </w:rPr>
        <w:t>online reporting tool:</w:t>
      </w:r>
    </w:p>
    <w:p w14:paraId="267AC873" w14:textId="77777777" w:rsidR="00D2583F" w:rsidRPr="00D2583F" w:rsidRDefault="00D2583F" w:rsidP="00C24494">
      <w:pPr>
        <w:numPr>
          <w:ilvl w:val="0"/>
          <w:numId w:val="2"/>
        </w:numPr>
        <w:spacing w:after="240" w:line="240" w:lineRule="auto"/>
        <w:ind w:left="2160" w:right="0" w:hanging="450"/>
        <w:rPr>
          <w:rFonts w:eastAsiaTheme="minorHAnsi" w:cstheme="minorBidi"/>
          <w:szCs w:val="22"/>
        </w:rPr>
      </w:pPr>
      <w:r w:rsidRPr="00D2583F">
        <w:rPr>
          <w:rFonts w:eastAsiaTheme="minorHAnsi" w:cstheme="minorBidi"/>
          <w:b/>
          <w:szCs w:val="22"/>
          <w:u w:val="single"/>
        </w:rPr>
        <w:t>Required Report Number One</w:t>
      </w:r>
      <w:r w:rsidRPr="00D2583F">
        <w:rPr>
          <w:rFonts w:eastAsiaTheme="minorHAnsi" w:cstheme="minorBidi"/>
          <w:b/>
          <w:szCs w:val="22"/>
        </w:rPr>
        <w:t>:</w:t>
      </w:r>
      <w:r w:rsidRPr="00D2583F">
        <w:rPr>
          <w:rFonts w:eastAsiaTheme="minorHAnsi" w:cstheme="minorBidi"/>
          <w:szCs w:val="22"/>
        </w:rPr>
        <w:t xml:space="preserve"> On or before </w:t>
      </w:r>
      <w:r w:rsidRPr="00D2583F">
        <w:rPr>
          <w:rFonts w:eastAsiaTheme="minorHAnsi" w:cstheme="minorBidi"/>
          <w:b/>
          <w:szCs w:val="22"/>
        </w:rPr>
        <w:t>March 1, 2019</w:t>
      </w:r>
      <w:r w:rsidRPr="00D2583F">
        <w:rPr>
          <w:rFonts w:eastAsiaTheme="minorHAnsi" w:cstheme="minorBidi"/>
          <w:szCs w:val="22"/>
        </w:rPr>
        <w:t>, the LEA is required to report to the State Superintendent regarding the adopted plan to use the grant funds to increase the academic performance of pupils identified, pursuant to </w:t>
      </w:r>
      <w:hyperlink r:id="rId9" w:tgtFrame="_blank" w:history="1">
        <w:r w:rsidRPr="00D2583F">
          <w:rPr>
            <w:rFonts w:eastAsiaTheme="minorHAnsi" w:cstheme="minorBidi"/>
            <w:i/>
            <w:szCs w:val="22"/>
          </w:rPr>
          <w:t>EC</w:t>
        </w:r>
        <w:r w:rsidRPr="00D2583F">
          <w:rPr>
            <w:rFonts w:eastAsiaTheme="minorHAnsi" w:cstheme="minorBidi"/>
            <w:szCs w:val="22"/>
          </w:rPr>
          <w:t> Section 41570(d)</w:t>
        </w:r>
      </w:hyperlink>
      <w:r w:rsidRPr="00D2583F">
        <w:rPr>
          <w:rFonts w:eastAsiaTheme="minorHAnsi" w:cstheme="minorBidi"/>
          <w:szCs w:val="22"/>
        </w:rPr>
        <w:t xml:space="preserve">. </w:t>
      </w:r>
    </w:p>
    <w:p w14:paraId="4F68BAFE" w14:textId="38AE7DA6" w:rsidR="00D2583F" w:rsidRPr="00D2583F" w:rsidRDefault="00D2583F" w:rsidP="00C24494">
      <w:pPr>
        <w:spacing w:after="240" w:line="240" w:lineRule="auto"/>
        <w:ind w:left="2160" w:right="0"/>
        <w:rPr>
          <w:rFonts w:eastAsiaTheme="minorHAnsi" w:cstheme="minorBidi"/>
          <w:szCs w:val="22"/>
        </w:rPr>
      </w:pPr>
      <w:r w:rsidRPr="00D2583F">
        <w:rPr>
          <w:rFonts w:eastAsiaTheme="minorHAnsi" w:cstheme="minorBidi"/>
          <w:szCs w:val="22"/>
        </w:rPr>
        <w:t>Note:</w:t>
      </w:r>
      <w:r w:rsidRPr="00D2583F">
        <w:rPr>
          <w:rFonts w:eastAsiaTheme="minorHAnsi" w:cstheme="minorBidi"/>
          <w:i/>
          <w:szCs w:val="22"/>
        </w:rPr>
        <w:t xml:space="preserve"> All eligible LEAs must complete Required Report Number One.</w:t>
      </w:r>
      <w:r w:rsidRPr="00D2583F">
        <w:rPr>
          <w:rFonts w:eastAsiaTheme="minorHAnsi" w:cstheme="minorBidi"/>
          <w:szCs w:val="22"/>
        </w:rPr>
        <w:t xml:space="preserve"> If an eligible LEA chooses not to receive LPSBG funds, it still must complete Required Report Number One to formally document that choice.</w:t>
      </w:r>
    </w:p>
    <w:p w14:paraId="7FDA8C98" w14:textId="77777777" w:rsidR="00D2583F" w:rsidRDefault="00D2583F" w:rsidP="00C24494">
      <w:pPr>
        <w:numPr>
          <w:ilvl w:val="0"/>
          <w:numId w:val="2"/>
        </w:numPr>
        <w:spacing w:after="240" w:line="240" w:lineRule="auto"/>
        <w:ind w:left="2160" w:right="0" w:hanging="450"/>
        <w:contextualSpacing/>
        <w:rPr>
          <w:rFonts w:eastAsiaTheme="minorHAnsi" w:cstheme="minorBidi"/>
          <w:szCs w:val="22"/>
        </w:rPr>
      </w:pPr>
      <w:r w:rsidRPr="00D2583F">
        <w:rPr>
          <w:rFonts w:eastAsiaTheme="minorHAnsi" w:cstheme="minorBidi"/>
          <w:b/>
          <w:szCs w:val="22"/>
          <w:u w:val="single"/>
        </w:rPr>
        <w:t>Required Report Number Two</w:t>
      </w:r>
      <w:r w:rsidRPr="00D2583F">
        <w:rPr>
          <w:rFonts w:eastAsiaTheme="minorHAnsi" w:cstheme="minorBidi"/>
          <w:b/>
          <w:szCs w:val="22"/>
        </w:rPr>
        <w:t>:</w:t>
      </w:r>
      <w:r w:rsidRPr="00D2583F">
        <w:rPr>
          <w:rFonts w:eastAsiaTheme="minorHAnsi" w:cstheme="minorBidi"/>
          <w:szCs w:val="22"/>
        </w:rPr>
        <w:t xml:space="preserve"> On or before </w:t>
      </w:r>
      <w:r w:rsidRPr="00D2583F">
        <w:rPr>
          <w:rFonts w:eastAsiaTheme="minorHAnsi" w:cstheme="minorBidi"/>
          <w:b/>
          <w:szCs w:val="22"/>
        </w:rPr>
        <w:t>November 1, 2021</w:t>
      </w:r>
      <w:r w:rsidRPr="00D2583F">
        <w:rPr>
          <w:rFonts w:eastAsiaTheme="minorHAnsi" w:cstheme="minorBidi"/>
          <w:szCs w:val="22"/>
        </w:rPr>
        <w:t xml:space="preserve">, all eligible LEAs </w:t>
      </w:r>
      <w:r w:rsidRPr="00D2583F">
        <w:rPr>
          <w:rFonts w:eastAsiaTheme="minorHAnsi" w:cstheme="minorBidi"/>
          <w:i/>
          <w:szCs w:val="22"/>
        </w:rPr>
        <w:t>that have accepted LPSBG funds</w:t>
      </w:r>
      <w:r w:rsidRPr="00D2583F">
        <w:rPr>
          <w:rFonts w:eastAsiaTheme="minorHAnsi" w:cstheme="minorBidi"/>
          <w:szCs w:val="22"/>
        </w:rPr>
        <w:t xml:space="preserve"> are required to report to the State Superintendent regarding the implementation of the plan, the strategies used, and whether those strategies increased the academic performance of the pupils identified, pursuant to </w:t>
      </w:r>
      <w:hyperlink r:id="rId10" w:tgtFrame="_blank" w:history="1">
        <w:r w:rsidRPr="00D2583F">
          <w:rPr>
            <w:rFonts w:eastAsiaTheme="minorHAnsi" w:cstheme="minorBidi"/>
            <w:i/>
            <w:szCs w:val="22"/>
          </w:rPr>
          <w:t>EC</w:t>
        </w:r>
        <w:r w:rsidRPr="00D2583F">
          <w:rPr>
            <w:rFonts w:eastAsiaTheme="minorHAnsi" w:cstheme="minorBidi"/>
            <w:szCs w:val="22"/>
          </w:rPr>
          <w:t> Section 41570(d)</w:t>
        </w:r>
      </w:hyperlink>
      <w:r w:rsidRPr="00D2583F">
        <w:rPr>
          <w:rFonts w:eastAsiaTheme="minorHAnsi" w:cstheme="minorBidi"/>
          <w:szCs w:val="22"/>
        </w:rPr>
        <w:t>.</w:t>
      </w:r>
    </w:p>
    <w:p w14:paraId="7E5099C0" w14:textId="77777777" w:rsidR="00D2583F" w:rsidRPr="00D2583F" w:rsidRDefault="00D2583F" w:rsidP="00D2583F">
      <w:pPr>
        <w:spacing w:after="240" w:line="240" w:lineRule="auto"/>
        <w:ind w:left="720" w:right="0"/>
        <w:contextualSpacing/>
        <w:rPr>
          <w:rFonts w:eastAsiaTheme="minorHAnsi" w:cstheme="minorBidi"/>
          <w:szCs w:val="22"/>
        </w:rPr>
      </w:pPr>
    </w:p>
    <w:p w14:paraId="752768BC" w14:textId="4177712B" w:rsidR="00D2583F" w:rsidRPr="00D2583F" w:rsidRDefault="00D2583F" w:rsidP="00D2583F">
      <w:pPr>
        <w:spacing w:after="240" w:line="240" w:lineRule="auto"/>
        <w:ind w:right="0"/>
        <w:rPr>
          <w:rFonts w:eastAsiaTheme="minorHAnsi" w:cstheme="minorBidi"/>
          <w:szCs w:val="22"/>
        </w:rPr>
      </w:pPr>
      <w:r w:rsidRPr="00D2583F">
        <w:rPr>
          <w:rFonts w:eastAsiaTheme="minorHAnsi" w:cstheme="minorBidi"/>
          <w:szCs w:val="22"/>
        </w:rPr>
        <w:t xml:space="preserve">To access the online reporting tool, please follow the directions in the Reporting Requirements section of the </w:t>
      </w:r>
      <w:r w:rsidR="00883B58">
        <w:rPr>
          <w:rFonts w:eastAsiaTheme="minorHAnsi" w:cstheme="minorBidi"/>
          <w:szCs w:val="22"/>
        </w:rPr>
        <w:t xml:space="preserve">CDE </w:t>
      </w:r>
      <w:r w:rsidRPr="00D2583F">
        <w:rPr>
          <w:rFonts w:eastAsiaTheme="minorHAnsi" w:cstheme="minorBidi"/>
          <w:szCs w:val="22"/>
        </w:rPr>
        <w:t xml:space="preserve">LPSBG web page located at </w:t>
      </w:r>
      <w:hyperlink r:id="rId11" w:anchor="reportingreq" w:history="1">
        <w:r w:rsidRPr="00D2583F">
          <w:rPr>
            <w:rFonts w:eastAsiaTheme="minorHAnsi" w:cstheme="minorBidi"/>
            <w:color w:val="0000FF"/>
            <w:szCs w:val="22"/>
            <w:u w:val="single"/>
          </w:rPr>
          <w:t>https://www.cde.ca.gov/fg/aa/ca/lpsbgprginfo.asp#reportingreq</w:t>
        </w:r>
      </w:hyperlink>
      <w:r w:rsidRPr="00D2583F">
        <w:rPr>
          <w:rFonts w:eastAsiaTheme="minorHAnsi" w:cstheme="minorBidi"/>
          <w:szCs w:val="22"/>
        </w:rPr>
        <w:t>.</w:t>
      </w:r>
    </w:p>
    <w:p w14:paraId="03E9FC98" w14:textId="77777777" w:rsidR="00D2583F" w:rsidRPr="00D2583F" w:rsidRDefault="00D2583F" w:rsidP="00D2583F">
      <w:pPr>
        <w:spacing w:after="240" w:line="240" w:lineRule="auto"/>
        <w:ind w:right="0"/>
        <w:rPr>
          <w:rFonts w:eastAsiaTheme="minorHAnsi" w:cstheme="minorBidi"/>
          <w:szCs w:val="22"/>
        </w:rPr>
      </w:pPr>
      <w:r w:rsidRPr="00D2583F">
        <w:rPr>
          <w:rFonts w:eastAsiaTheme="minorHAnsi" w:cstheme="minorBidi"/>
          <w:szCs w:val="22"/>
        </w:rPr>
        <w:t>For questions regarding the reporting requirements or the online reporting tool, please contact the School Improvement and Support Office by phone at 916-319-0833 or by email at </w:t>
      </w:r>
      <w:hyperlink r:id="rId12" w:history="1">
        <w:r w:rsidRPr="00D2583F">
          <w:rPr>
            <w:rFonts w:eastAsiaTheme="minorHAnsi" w:cstheme="minorBidi"/>
            <w:szCs w:val="22"/>
          </w:rPr>
          <w:t>LPSBG@cde.ca.gov</w:t>
        </w:r>
      </w:hyperlink>
      <w:r w:rsidRPr="00D2583F">
        <w:rPr>
          <w:rFonts w:eastAsiaTheme="minorHAnsi" w:cstheme="minorBidi"/>
          <w:szCs w:val="22"/>
        </w:rPr>
        <w:t>.</w:t>
      </w:r>
    </w:p>
    <w:p w14:paraId="428C1648" w14:textId="77777777" w:rsidR="00D2583F" w:rsidRPr="00D2583F" w:rsidRDefault="00D2583F" w:rsidP="00D2583F">
      <w:pPr>
        <w:spacing w:after="240" w:line="240" w:lineRule="auto"/>
        <w:ind w:right="0"/>
        <w:rPr>
          <w:rFonts w:eastAsiaTheme="minorHAnsi" w:cstheme="minorBidi"/>
          <w:szCs w:val="22"/>
        </w:rPr>
      </w:pPr>
      <w:r w:rsidRPr="00D2583F">
        <w:rPr>
          <w:rFonts w:eastAsiaTheme="minorHAnsi" w:cstheme="minorBidi"/>
          <w:szCs w:val="22"/>
        </w:rPr>
        <w:t>Sincerely,</w:t>
      </w:r>
    </w:p>
    <w:p w14:paraId="133F9170" w14:textId="77777777" w:rsidR="00D2583F" w:rsidRPr="00D2583F" w:rsidRDefault="00D2583F" w:rsidP="00D2583F">
      <w:pPr>
        <w:spacing w:after="240" w:line="240" w:lineRule="auto"/>
        <w:ind w:right="0"/>
        <w:contextualSpacing/>
        <w:rPr>
          <w:rFonts w:eastAsiaTheme="minorHAnsi" w:cstheme="minorBidi"/>
          <w:szCs w:val="22"/>
        </w:rPr>
      </w:pPr>
      <w:r w:rsidRPr="00D2583F">
        <w:rPr>
          <w:rFonts w:eastAsiaTheme="minorHAnsi" w:cstheme="minorBidi"/>
          <w:szCs w:val="22"/>
        </w:rPr>
        <w:t>Melanie Greene, Director</w:t>
      </w:r>
    </w:p>
    <w:p w14:paraId="08BB41E5" w14:textId="77777777" w:rsidR="00D2583F" w:rsidRDefault="00D2583F" w:rsidP="00883B58">
      <w:pPr>
        <w:spacing w:after="0" w:line="240" w:lineRule="auto"/>
        <w:ind w:right="0"/>
        <w:rPr>
          <w:rFonts w:eastAsiaTheme="minorHAnsi" w:cstheme="minorBidi"/>
          <w:szCs w:val="22"/>
        </w:rPr>
      </w:pPr>
      <w:r w:rsidRPr="00D2583F">
        <w:rPr>
          <w:rFonts w:eastAsiaTheme="minorHAnsi" w:cstheme="minorBidi"/>
          <w:szCs w:val="22"/>
        </w:rPr>
        <w:t>Improvement and Accountability Division</w:t>
      </w:r>
    </w:p>
    <w:p w14:paraId="07B3E703" w14:textId="1BB21564" w:rsidR="00883B58" w:rsidRDefault="00883B58" w:rsidP="00883B58">
      <w:pPr>
        <w:spacing w:after="0" w:line="240" w:lineRule="auto"/>
        <w:ind w:right="0"/>
        <w:rPr>
          <w:rFonts w:eastAsiaTheme="minorHAnsi" w:cstheme="minorBidi"/>
          <w:szCs w:val="22"/>
        </w:rPr>
      </w:pPr>
      <w:r>
        <w:rPr>
          <w:rFonts w:eastAsiaTheme="minorHAnsi" w:cstheme="minorBidi"/>
          <w:szCs w:val="22"/>
        </w:rPr>
        <w:t>California Department of Education</w:t>
      </w:r>
    </w:p>
    <w:p w14:paraId="1E3D46A1" w14:textId="04E2B3CA" w:rsidR="00883B58" w:rsidRPr="00883B58" w:rsidRDefault="00883B58" w:rsidP="00883B58">
      <w:pPr>
        <w:tabs>
          <w:tab w:val="left" w:pos="2235"/>
        </w:tabs>
        <w:spacing w:after="240" w:line="240" w:lineRule="auto"/>
        <w:ind w:left="0" w:right="0"/>
        <w:rPr>
          <w:rFonts w:eastAsiaTheme="minorHAnsi" w:cstheme="minorBidi"/>
          <w:sz w:val="4"/>
          <w:szCs w:val="4"/>
        </w:rPr>
      </w:pPr>
      <w:r>
        <w:rPr>
          <w:rFonts w:eastAsiaTheme="minorHAnsi" w:cstheme="minorBidi"/>
          <w:szCs w:val="22"/>
        </w:rPr>
        <w:tab/>
      </w:r>
    </w:p>
    <w:p w14:paraId="12DB9741" w14:textId="77777777" w:rsidR="00CF6137" w:rsidRPr="00CF6137" w:rsidRDefault="00D2583F" w:rsidP="00883B58">
      <w:pPr>
        <w:spacing w:after="0" w:line="240" w:lineRule="auto"/>
        <w:ind w:right="0"/>
      </w:pPr>
      <w:r w:rsidRPr="00D2583F">
        <w:rPr>
          <w:rFonts w:eastAsiaTheme="minorHAnsi" w:cstheme="minorBidi"/>
          <w:szCs w:val="22"/>
        </w:rPr>
        <w:t>MG:ls</w:t>
      </w:r>
      <w:r w:rsidRPr="00D2583F">
        <w:rPr>
          <w:rFonts w:eastAsiaTheme="minorHAnsi" w:cstheme="minorBidi"/>
          <w:szCs w:val="22"/>
        </w:rPr>
        <w:br/>
      </w:r>
      <w:bookmarkStart w:id="0" w:name="_GoBack"/>
      <w:r w:rsidRPr="00A83A91">
        <w:rPr>
          <w:rFonts w:eastAsiaTheme="minorHAnsi" w:cstheme="minorBidi"/>
          <w:sz w:val="16"/>
          <w:szCs w:val="16"/>
        </w:rPr>
        <w:t>2018-07451</w:t>
      </w:r>
      <w:bookmarkEnd w:id="0"/>
    </w:p>
    <w:sectPr w:rsidR="00CF6137" w:rsidRPr="00CF6137" w:rsidSect="00883B58">
      <w:headerReference w:type="default" r:id="rId13"/>
      <w:pgSz w:w="12240" w:h="15840" w:code="1"/>
      <w:pgMar w:top="0" w:right="1260" w:bottom="90" w:left="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92B75" w14:textId="77777777" w:rsidR="00C24494" w:rsidRDefault="00C24494" w:rsidP="009E16EF">
      <w:r>
        <w:separator/>
      </w:r>
    </w:p>
  </w:endnote>
  <w:endnote w:type="continuationSeparator" w:id="0">
    <w:p w14:paraId="7BD6E877" w14:textId="77777777" w:rsidR="00C24494" w:rsidRDefault="00C24494"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4D7EB" w14:textId="77777777" w:rsidR="00C24494" w:rsidRDefault="00C24494" w:rsidP="009E16EF">
      <w:r>
        <w:separator/>
      </w:r>
    </w:p>
  </w:footnote>
  <w:footnote w:type="continuationSeparator" w:id="0">
    <w:p w14:paraId="60FAF7E9" w14:textId="77777777" w:rsidR="00C24494" w:rsidRDefault="00C24494" w:rsidP="009E1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70CC" w14:textId="77777777" w:rsidR="00C24494" w:rsidRDefault="00C24494" w:rsidP="009E16EF">
    <w:pPr>
      <w:pStyle w:val="Header"/>
    </w:pPr>
    <w:r>
      <w:t>[Date Here]</w:t>
    </w:r>
  </w:p>
  <w:p w14:paraId="11A4FA62" w14:textId="77777777" w:rsidR="00C24494" w:rsidRDefault="00C24494" w:rsidP="00CF6137">
    <w:pPr>
      <w:pStyle w:val="Header"/>
      <w:spacing w:after="240"/>
    </w:pPr>
    <w:r>
      <w:t xml:space="preserve">Page </w:t>
    </w:r>
    <w:r>
      <w:fldChar w:fldCharType="begin"/>
    </w:r>
    <w:r>
      <w:instrText xml:space="preserve"> PAGE   \* MERGEFORMAT </w:instrText>
    </w:r>
    <w:r>
      <w:fldChar w:fldCharType="separate"/>
    </w:r>
    <w:r w:rsidR="00883B5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70B6C"/>
    <w:multiLevelType w:val="hybridMultilevel"/>
    <w:tmpl w:val="D4A20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AA"/>
    <w:rsid w:val="00093AB8"/>
    <w:rsid w:val="001455D6"/>
    <w:rsid w:val="00176035"/>
    <w:rsid w:val="00186660"/>
    <w:rsid w:val="001C7A53"/>
    <w:rsid w:val="00287671"/>
    <w:rsid w:val="002A6CCA"/>
    <w:rsid w:val="002E6B47"/>
    <w:rsid w:val="003613BA"/>
    <w:rsid w:val="003C34D2"/>
    <w:rsid w:val="003D4578"/>
    <w:rsid w:val="0040786A"/>
    <w:rsid w:val="00433382"/>
    <w:rsid w:val="00470625"/>
    <w:rsid w:val="0054519C"/>
    <w:rsid w:val="0055669B"/>
    <w:rsid w:val="005764C5"/>
    <w:rsid w:val="005766DA"/>
    <w:rsid w:val="005A2F15"/>
    <w:rsid w:val="005C7703"/>
    <w:rsid w:val="005D68AD"/>
    <w:rsid w:val="00604E31"/>
    <w:rsid w:val="00635FFD"/>
    <w:rsid w:val="00655188"/>
    <w:rsid w:val="006C384A"/>
    <w:rsid w:val="006D477D"/>
    <w:rsid w:val="00716471"/>
    <w:rsid w:val="00737D7D"/>
    <w:rsid w:val="00746B5A"/>
    <w:rsid w:val="007B71D4"/>
    <w:rsid w:val="00883B58"/>
    <w:rsid w:val="008A2866"/>
    <w:rsid w:val="00944520"/>
    <w:rsid w:val="009E16EF"/>
    <w:rsid w:val="00A253AA"/>
    <w:rsid w:val="00A83A91"/>
    <w:rsid w:val="00A84392"/>
    <w:rsid w:val="00A90076"/>
    <w:rsid w:val="00AF5658"/>
    <w:rsid w:val="00B1021A"/>
    <w:rsid w:val="00BA4E20"/>
    <w:rsid w:val="00BB5F87"/>
    <w:rsid w:val="00BE5C39"/>
    <w:rsid w:val="00C24494"/>
    <w:rsid w:val="00C3084D"/>
    <w:rsid w:val="00C455A8"/>
    <w:rsid w:val="00C57FBF"/>
    <w:rsid w:val="00CA1ABC"/>
    <w:rsid w:val="00CA43A6"/>
    <w:rsid w:val="00CD068E"/>
    <w:rsid w:val="00CE1713"/>
    <w:rsid w:val="00CF6137"/>
    <w:rsid w:val="00D220EF"/>
    <w:rsid w:val="00D2583F"/>
    <w:rsid w:val="00E0589B"/>
    <w:rsid w:val="00EA3134"/>
    <w:rsid w:val="00EB274B"/>
    <w:rsid w:val="00F1784F"/>
    <w:rsid w:val="00F2694D"/>
    <w:rsid w:val="00F61A65"/>
    <w:rsid w:val="00F86387"/>
    <w:rsid w:val="00F9271F"/>
    <w:rsid w:val="00F9411C"/>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D2E4532"/>
  <w15:chartTrackingRefBased/>
  <w15:docId w15:val="{A627D7EE-237A-4EEE-839E-0543245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EF"/>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40786A"/>
    <w:pPr>
      <w:keepNext/>
      <w:keepLines/>
      <w:spacing w:before="240" w:after="0"/>
      <w:jc w:val="center"/>
      <w:outlineLvl w:val="0"/>
    </w:pPr>
    <w:rPr>
      <w:rFonts w:eastAsiaTheme="majorEastAsia"/>
      <w:b/>
      <w:sz w:val="32"/>
      <w:szCs w:val="36"/>
    </w:rPr>
  </w:style>
  <w:style w:type="paragraph" w:styleId="Heading2">
    <w:name w:val="heading 2"/>
    <w:basedOn w:val="Normal"/>
    <w:next w:val="Normal"/>
    <w:link w:val="Heading2Char"/>
    <w:uiPriority w:val="9"/>
    <w:unhideWhenUsed/>
    <w:qFormat/>
    <w:rsid w:val="00C57FBF"/>
    <w:pPr>
      <w:keepNext/>
      <w:keepLines/>
      <w:spacing w:before="40" w:after="0"/>
      <w:outlineLvl w:val="1"/>
    </w:pPr>
    <w:rPr>
      <w:rFonts w:eastAsiaTheme="majorEastAsia"/>
      <w:b/>
      <w:sz w:val="28"/>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40786A"/>
    <w:rPr>
      <w:rFonts w:ascii="Arial" w:eastAsiaTheme="majorEastAsia" w:hAnsi="Arial" w:cs="Arial"/>
      <w:b/>
      <w:sz w:val="32"/>
      <w:szCs w:val="36"/>
    </w:rPr>
  </w:style>
  <w:style w:type="character" w:customStyle="1" w:styleId="Heading2Char">
    <w:name w:val="Heading 2 Char"/>
    <w:basedOn w:val="DefaultParagraphFont"/>
    <w:link w:val="Heading2"/>
    <w:uiPriority w:val="9"/>
    <w:rsid w:val="00C57FBF"/>
    <w:rPr>
      <w:rFonts w:ascii="Arial" w:eastAsiaTheme="majorEastAsia" w:hAnsi="Arial" w:cs="Arial"/>
      <w:b/>
      <w:sz w:val="28"/>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72"/>
    <w:qFormat/>
    <w:rsid w:val="00B1021A"/>
    <w:pPr>
      <w:numPr>
        <w:numId w:val="1"/>
      </w:numPr>
      <w:spacing w:after="240" w:line="240" w:lineRule="auto"/>
    </w:pPr>
  </w:style>
  <w:style w:type="character" w:styleId="CommentReference">
    <w:name w:val="annotation reference"/>
    <w:basedOn w:val="DefaultParagraphFont"/>
    <w:uiPriority w:val="99"/>
    <w:semiHidden/>
    <w:unhideWhenUsed/>
    <w:rsid w:val="00D2583F"/>
    <w:rPr>
      <w:sz w:val="16"/>
      <w:szCs w:val="16"/>
    </w:rPr>
  </w:style>
  <w:style w:type="paragraph" w:styleId="CommentText">
    <w:name w:val="annotation text"/>
    <w:basedOn w:val="Normal"/>
    <w:link w:val="CommentTextChar"/>
    <w:uiPriority w:val="99"/>
    <w:semiHidden/>
    <w:unhideWhenUsed/>
    <w:rsid w:val="00D2583F"/>
    <w:pPr>
      <w:spacing w:after="240" w:line="240" w:lineRule="auto"/>
      <w:ind w:left="0" w:right="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D2583F"/>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SBG@cd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aa/ca/lpsbgprginfo.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info.legislature.ca.gov/faces/codes_displayText.xhtml?lawCode=EDC&amp;division=3.&amp;title=2.&amp;part=24.&amp;chapter=3.2.&amp;article=7." TargetMode="External"/><Relationship Id="rId4" Type="http://schemas.openxmlformats.org/officeDocument/2006/relationships/settings" Target="settings.xml"/><Relationship Id="rId9" Type="http://schemas.openxmlformats.org/officeDocument/2006/relationships/hyperlink" Target="https://leginfo.legislature.ca.gov/faces/codes_displayText.xhtml?lawCode=EDC&amp;division=3.&amp;title=2.&amp;part=24.&amp;chapter=3.2.&amp;article=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982E-A806-478C-923E-62AD20E1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Carriker</dc:creator>
  <cp:keywords/>
  <dc:description/>
  <cp:lastModifiedBy>Patty Colvin</cp:lastModifiedBy>
  <cp:revision>3</cp:revision>
  <cp:lastPrinted>2017-12-06T17:34:00Z</cp:lastPrinted>
  <dcterms:created xsi:type="dcterms:W3CDTF">2018-12-05T21:00:00Z</dcterms:created>
  <dcterms:modified xsi:type="dcterms:W3CDTF">2018-12-05T21:28:00Z</dcterms:modified>
</cp:coreProperties>
</file>