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35C10" w:rsidRDefault="00C41742">
      <w:pPr>
        <w:spacing w:line="240" w:lineRule="auto"/>
        <w:jc w:val="center"/>
        <w:rPr>
          <w:rFonts w:ascii="Calibri" w:eastAsia="Calibri" w:hAnsi="Calibri" w:cs="Calibri"/>
          <w:b/>
          <w:sz w:val="24"/>
          <w:szCs w:val="24"/>
        </w:rPr>
      </w:pPr>
      <w:r>
        <w:rPr>
          <w:rFonts w:ascii="Calibri" w:eastAsia="Calibri" w:hAnsi="Calibri" w:cs="Calibri"/>
          <w:b/>
          <w:sz w:val="24"/>
          <w:szCs w:val="24"/>
        </w:rPr>
        <w:t>Making Waves Academy</w:t>
      </w:r>
    </w:p>
    <w:p w:rsidR="00D35C10" w:rsidRDefault="00C41742">
      <w:pPr>
        <w:spacing w:line="240" w:lineRule="auto"/>
        <w:jc w:val="center"/>
        <w:rPr>
          <w:rFonts w:ascii="Calibri" w:eastAsia="Calibri" w:hAnsi="Calibri" w:cs="Calibri"/>
          <w:b/>
          <w:sz w:val="24"/>
          <w:szCs w:val="24"/>
        </w:rPr>
      </w:pPr>
      <w:r>
        <w:rPr>
          <w:rFonts w:ascii="Calibri" w:eastAsia="Calibri" w:hAnsi="Calibri" w:cs="Calibri"/>
          <w:b/>
          <w:sz w:val="24"/>
          <w:szCs w:val="24"/>
        </w:rPr>
        <w:t>Educator Effectiveness Block Grant 2021</w:t>
      </w:r>
    </w:p>
    <w:p w:rsidR="00D35C10" w:rsidRDefault="00C41742">
      <w:pPr>
        <w:spacing w:line="240" w:lineRule="auto"/>
        <w:jc w:val="center"/>
        <w:rPr>
          <w:rFonts w:ascii="Calibri" w:eastAsia="Calibri" w:hAnsi="Calibri" w:cs="Calibri"/>
          <w:sz w:val="24"/>
          <w:szCs w:val="24"/>
        </w:rPr>
      </w:pPr>
      <w:r>
        <w:rPr>
          <w:rFonts w:ascii="Calibri" w:eastAsia="Calibri" w:hAnsi="Calibri" w:cs="Calibri"/>
          <w:sz w:val="24"/>
          <w:szCs w:val="24"/>
        </w:rPr>
        <w:t>Spending Plan for AY21-22 through AY25-26</w:t>
      </w:r>
    </w:p>
    <w:p w:rsidR="00D35C10" w:rsidRDefault="00C41742">
      <w:pPr>
        <w:spacing w:line="240" w:lineRule="auto"/>
        <w:jc w:val="center"/>
        <w:rPr>
          <w:rFonts w:ascii="Calibri" w:eastAsia="Calibri" w:hAnsi="Calibri" w:cs="Calibri"/>
          <w:b/>
        </w:rPr>
      </w:pPr>
      <w:r>
        <w:rPr>
          <w:rFonts w:ascii="Calibri" w:eastAsia="Calibri" w:hAnsi="Calibri" w:cs="Calibri"/>
          <w:b/>
        </w:rPr>
        <w:t xml:space="preserve"> </w:t>
      </w:r>
    </w:p>
    <w:p w:rsidR="00D35C10" w:rsidRDefault="00C41742">
      <w:pPr>
        <w:spacing w:line="240" w:lineRule="auto"/>
        <w:jc w:val="both"/>
        <w:rPr>
          <w:rFonts w:ascii="Calibri" w:eastAsia="Calibri" w:hAnsi="Calibri" w:cs="Calibri"/>
          <w:b/>
          <w:u w:val="single"/>
        </w:rPr>
      </w:pPr>
      <w:r>
        <w:rPr>
          <w:rFonts w:ascii="Calibri" w:eastAsia="Calibri" w:hAnsi="Calibri" w:cs="Calibri"/>
          <w:b/>
          <w:u w:val="single"/>
        </w:rPr>
        <w:t>Background</w:t>
      </w:r>
    </w:p>
    <w:p w:rsidR="00D35C10" w:rsidRDefault="00C41742">
      <w:pPr>
        <w:shd w:val="clear" w:color="auto" w:fill="FFFFFF"/>
        <w:spacing w:line="240" w:lineRule="auto"/>
        <w:jc w:val="both"/>
        <w:rPr>
          <w:rFonts w:ascii="Calibri" w:eastAsia="Calibri" w:hAnsi="Calibri" w:cs="Calibri"/>
        </w:rPr>
      </w:pPr>
      <w:r>
        <w:rPr>
          <w:rFonts w:ascii="Calibri" w:eastAsia="Calibri" w:hAnsi="Calibri" w:cs="Calibri"/>
        </w:rPr>
        <w:t xml:space="preserve">The enacted State Budget for 2021-22 appropriated $1.5 billion </w:t>
      </w:r>
      <w:r w:rsidR="00DA3686">
        <w:rPr>
          <w:rFonts w:ascii="Calibri" w:eastAsia="Calibri" w:hAnsi="Calibri" w:cs="Calibri"/>
        </w:rPr>
        <w:t>i</w:t>
      </w:r>
      <w:r>
        <w:rPr>
          <w:rFonts w:ascii="Calibri" w:eastAsia="Calibri" w:hAnsi="Calibri" w:cs="Calibri"/>
        </w:rPr>
        <w:t xml:space="preserve">n one-time funds to be disbursed to local educational agencies for purposes of enhancing the effectiveness of teachers and administrators. Funds are allocated on the basis of an equal amount </w:t>
      </w:r>
      <w:r>
        <w:rPr>
          <w:rFonts w:ascii="Calibri" w:eastAsia="Calibri" w:hAnsi="Calibri" w:cs="Calibri"/>
        </w:rPr>
        <w:t xml:space="preserve">per certificated FTE as reported in CALPADS for the 2021-22 </w:t>
      </w:r>
      <w:r>
        <w:rPr>
          <w:rFonts w:ascii="Calibri" w:eastAsia="Calibri" w:hAnsi="Calibri" w:cs="Calibri"/>
        </w:rPr>
        <w:t>fiscal year. There are a number of activities that we have already undertaken, and continue to undertake, to improve teacher and administrator effectiveness. This new funding is provided specific</w:t>
      </w:r>
      <w:r>
        <w:rPr>
          <w:rFonts w:ascii="Calibri" w:eastAsia="Calibri" w:hAnsi="Calibri" w:cs="Calibri"/>
        </w:rPr>
        <w:t>ally to support these activities:</w:t>
      </w:r>
    </w:p>
    <w:p w:rsidR="00D35C10" w:rsidRDefault="00C41742">
      <w:pPr>
        <w:shd w:val="clear" w:color="auto" w:fill="FFFFFF"/>
        <w:spacing w:line="240" w:lineRule="auto"/>
        <w:jc w:val="both"/>
        <w:rPr>
          <w:rFonts w:ascii="Calibri" w:eastAsia="Calibri" w:hAnsi="Calibri" w:cs="Calibri"/>
          <w:b/>
        </w:rPr>
      </w:pPr>
      <w:r>
        <w:rPr>
          <w:rFonts w:ascii="Calibri" w:eastAsia="Calibri" w:hAnsi="Calibri" w:cs="Calibri"/>
        </w:rPr>
        <w:t xml:space="preserve"> </w:t>
      </w:r>
    </w:p>
    <w:p w:rsidR="00D35C10" w:rsidRDefault="00C41742">
      <w:pPr>
        <w:numPr>
          <w:ilvl w:val="0"/>
          <w:numId w:val="1"/>
        </w:numPr>
        <w:shd w:val="clear" w:color="auto" w:fill="FFFFFF"/>
        <w:spacing w:after="200" w:line="240" w:lineRule="auto"/>
        <w:jc w:val="both"/>
        <w:rPr>
          <w:rFonts w:ascii="Calibri" w:eastAsia="Calibri" w:hAnsi="Calibri" w:cs="Calibri"/>
        </w:rPr>
      </w:pPr>
      <w:r>
        <w:rPr>
          <w:rFonts w:ascii="Calibri" w:eastAsia="Calibri" w:hAnsi="Calibri" w:cs="Calibri"/>
          <w:b/>
          <w:i/>
        </w:rPr>
        <w:t>Beginning teacher and leader support and mentoring</w:t>
      </w:r>
      <w:r>
        <w:rPr>
          <w:rFonts w:ascii="Calibri" w:eastAsia="Calibri" w:hAnsi="Calibri" w:cs="Calibri"/>
        </w:rPr>
        <w:t xml:space="preserve">, including, but not limited to, coaching and mentoring solutions that address a local need for teachers that can serve all pupil populations with a focus on </w:t>
      </w:r>
      <w:r>
        <w:rPr>
          <w:rFonts w:ascii="Calibri" w:eastAsia="Calibri" w:hAnsi="Calibri" w:cs="Calibri"/>
          <w:u w:val="single"/>
        </w:rPr>
        <w:t>teacher rete</w:t>
      </w:r>
      <w:r>
        <w:rPr>
          <w:rFonts w:ascii="Calibri" w:eastAsia="Calibri" w:hAnsi="Calibri" w:cs="Calibri"/>
          <w:u w:val="single"/>
        </w:rPr>
        <w:t>ntion</w:t>
      </w:r>
      <w:r>
        <w:rPr>
          <w:rFonts w:ascii="Calibri" w:eastAsia="Calibri" w:hAnsi="Calibri" w:cs="Calibri"/>
        </w:rPr>
        <w:t xml:space="preserve">. </w:t>
      </w:r>
    </w:p>
    <w:p w:rsidR="00D35C10" w:rsidRDefault="00C41742">
      <w:pPr>
        <w:numPr>
          <w:ilvl w:val="0"/>
          <w:numId w:val="1"/>
        </w:numPr>
        <w:shd w:val="clear" w:color="auto" w:fill="FFFFFF"/>
        <w:spacing w:after="200" w:line="240" w:lineRule="auto"/>
        <w:jc w:val="both"/>
        <w:rPr>
          <w:rFonts w:ascii="Calibri" w:eastAsia="Calibri" w:hAnsi="Calibri" w:cs="Calibri"/>
        </w:rPr>
      </w:pPr>
      <w:r>
        <w:rPr>
          <w:rFonts w:ascii="Calibri" w:eastAsia="Calibri" w:hAnsi="Calibri" w:cs="Calibri"/>
          <w:b/>
          <w:i/>
        </w:rPr>
        <w:t>Professional development</w:t>
      </w:r>
      <w:r>
        <w:rPr>
          <w:rFonts w:ascii="Calibri" w:eastAsia="Calibri" w:hAnsi="Calibri" w:cs="Calibri"/>
        </w:rPr>
        <w:t xml:space="preserve"> for teachers and leaders that is aligned to the </w:t>
      </w:r>
      <w:r>
        <w:rPr>
          <w:rFonts w:ascii="Calibri" w:eastAsia="Calibri" w:hAnsi="Calibri" w:cs="Calibri"/>
          <w:u w:val="single"/>
        </w:rPr>
        <w:t xml:space="preserve">common core state </w:t>
      </w:r>
      <w:r>
        <w:rPr>
          <w:rFonts w:ascii="Calibri" w:eastAsia="Calibri" w:hAnsi="Calibri" w:cs="Calibri"/>
          <w:u w:val="single"/>
        </w:rPr>
        <w:t>standards</w:t>
      </w:r>
      <w:bookmarkStart w:id="0" w:name="_GoBack"/>
      <w:bookmarkEnd w:id="0"/>
    </w:p>
    <w:p w:rsidR="00D35C10" w:rsidRDefault="00C41742">
      <w:pPr>
        <w:numPr>
          <w:ilvl w:val="0"/>
          <w:numId w:val="1"/>
        </w:numPr>
        <w:shd w:val="clear" w:color="auto" w:fill="FFFFFF"/>
        <w:spacing w:after="200" w:line="240" w:lineRule="auto"/>
        <w:jc w:val="both"/>
        <w:rPr>
          <w:rFonts w:ascii="Calibri" w:eastAsia="Calibri" w:hAnsi="Calibri" w:cs="Calibri"/>
        </w:rPr>
      </w:pPr>
      <w:r>
        <w:rPr>
          <w:rFonts w:ascii="Calibri" w:eastAsia="Calibri" w:hAnsi="Calibri" w:cs="Calibri"/>
          <w:b/>
          <w:i/>
        </w:rPr>
        <w:t>Professional development</w:t>
      </w:r>
      <w:r>
        <w:rPr>
          <w:rFonts w:ascii="Calibri" w:eastAsia="Calibri" w:hAnsi="Calibri" w:cs="Calibri"/>
        </w:rPr>
        <w:t xml:space="preserve"> for teachers and leaders to implement s</w:t>
      </w:r>
      <w:r>
        <w:rPr>
          <w:rFonts w:ascii="Calibri" w:eastAsia="Calibri" w:hAnsi="Calibri" w:cs="Calibri"/>
          <w:u w:val="single"/>
        </w:rPr>
        <w:t>ocial-emotional learning, trauma-informed practices</w:t>
      </w:r>
      <w:r>
        <w:rPr>
          <w:rFonts w:ascii="Calibri" w:eastAsia="Calibri" w:hAnsi="Calibri" w:cs="Calibri"/>
        </w:rPr>
        <w:t>, and other approaches that imp</w:t>
      </w:r>
      <w:r>
        <w:rPr>
          <w:rFonts w:ascii="Calibri" w:eastAsia="Calibri" w:hAnsi="Calibri" w:cs="Calibri"/>
        </w:rPr>
        <w:t>rove pupil well-being.</w:t>
      </w:r>
    </w:p>
    <w:p w:rsidR="00D35C10" w:rsidRDefault="00C41742">
      <w:pPr>
        <w:numPr>
          <w:ilvl w:val="0"/>
          <w:numId w:val="1"/>
        </w:numPr>
        <w:shd w:val="clear" w:color="auto" w:fill="FFFFFF"/>
        <w:spacing w:after="200" w:line="240" w:lineRule="auto"/>
        <w:jc w:val="both"/>
        <w:rPr>
          <w:rFonts w:ascii="Calibri" w:eastAsia="Calibri" w:hAnsi="Calibri" w:cs="Calibri"/>
        </w:rPr>
      </w:pPr>
      <w:r>
        <w:rPr>
          <w:rFonts w:ascii="Calibri" w:eastAsia="Calibri" w:hAnsi="Calibri" w:cs="Calibri"/>
        </w:rPr>
        <w:t xml:space="preserve">To </w:t>
      </w:r>
      <w:r>
        <w:rPr>
          <w:rFonts w:ascii="Calibri" w:eastAsia="Calibri" w:hAnsi="Calibri" w:cs="Calibri"/>
          <w:b/>
          <w:i/>
        </w:rPr>
        <w:t>promote educator quality and effectiveness</w:t>
      </w:r>
      <w:r>
        <w:rPr>
          <w:rFonts w:ascii="Calibri" w:eastAsia="Calibri" w:hAnsi="Calibri" w:cs="Calibri"/>
        </w:rPr>
        <w:t xml:space="preserve">, including, but not limited to, </w:t>
      </w:r>
      <w:r>
        <w:rPr>
          <w:rFonts w:ascii="Calibri" w:eastAsia="Calibri" w:hAnsi="Calibri" w:cs="Calibri"/>
          <w:u w:val="single"/>
        </w:rPr>
        <w:t>training on mentoring and coaching</w:t>
      </w:r>
      <w:r>
        <w:rPr>
          <w:rFonts w:ascii="Calibri" w:eastAsia="Calibri" w:hAnsi="Calibri" w:cs="Calibri"/>
        </w:rPr>
        <w:t xml:space="preserve"> certificated staff and training certificated staff to support effective teaching and learning. </w:t>
      </w:r>
    </w:p>
    <w:p w:rsidR="00D35C10" w:rsidRDefault="00C41742">
      <w:pPr>
        <w:shd w:val="clear" w:color="auto" w:fill="FFFFFF"/>
        <w:spacing w:line="240" w:lineRule="auto"/>
        <w:jc w:val="both"/>
        <w:rPr>
          <w:rFonts w:ascii="Calibri" w:eastAsia="Calibri" w:hAnsi="Calibri" w:cs="Calibri"/>
        </w:rPr>
      </w:pPr>
      <w:r>
        <w:rPr>
          <w:rFonts w:ascii="Calibri" w:eastAsia="Calibri" w:hAnsi="Calibri" w:cs="Calibri"/>
        </w:rPr>
        <w:t xml:space="preserve">Conditions for approval </w:t>
      </w:r>
      <w:r>
        <w:rPr>
          <w:rFonts w:ascii="Calibri" w:eastAsia="Calibri" w:hAnsi="Calibri" w:cs="Calibri"/>
        </w:rPr>
        <w:t>of use of the funds:</w:t>
      </w:r>
    </w:p>
    <w:p w:rsidR="00D35C10" w:rsidRDefault="00C41742">
      <w:pPr>
        <w:numPr>
          <w:ilvl w:val="0"/>
          <w:numId w:val="2"/>
        </w:numPr>
        <w:shd w:val="clear" w:color="auto" w:fill="FFFFFF"/>
        <w:spacing w:line="240" w:lineRule="auto"/>
        <w:jc w:val="both"/>
        <w:rPr>
          <w:rFonts w:ascii="Calibri" w:eastAsia="Calibri" w:hAnsi="Calibri" w:cs="Calibri"/>
        </w:rPr>
      </w:pPr>
      <w:r>
        <w:rPr>
          <w:rFonts w:ascii="Calibri" w:eastAsia="Calibri" w:hAnsi="Calibri" w:cs="Calibri"/>
        </w:rPr>
        <w:t xml:space="preserve">The funds must be </w:t>
      </w:r>
      <w:r>
        <w:rPr>
          <w:rFonts w:ascii="Calibri" w:eastAsia="Calibri" w:hAnsi="Calibri" w:cs="Calibri"/>
          <w:b/>
        </w:rPr>
        <w:t>utilized by July 1, 2026</w:t>
      </w:r>
      <w:r>
        <w:rPr>
          <w:rFonts w:ascii="Calibri" w:eastAsia="Calibri" w:hAnsi="Calibri" w:cs="Calibri"/>
        </w:rPr>
        <w:t xml:space="preserve">. </w:t>
      </w:r>
    </w:p>
    <w:p w:rsidR="00D35C10" w:rsidRDefault="00C41742">
      <w:pPr>
        <w:numPr>
          <w:ilvl w:val="0"/>
          <w:numId w:val="2"/>
        </w:numPr>
        <w:shd w:val="clear" w:color="auto" w:fill="FFFFFF"/>
        <w:spacing w:line="240" w:lineRule="auto"/>
        <w:jc w:val="both"/>
        <w:rPr>
          <w:rFonts w:ascii="Calibri" w:eastAsia="Calibri" w:hAnsi="Calibri" w:cs="Calibri"/>
        </w:rPr>
      </w:pPr>
      <w:r>
        <w:rPr>
          <w:rFonts w:ascii="Calibri" w:eastAsia="Calibri" w:hAnsi="Calibri" w:cs="Calibri"/>
        </w:rPr>
        <w:t xml:space="preserve">A spending plan for the funds must be </w:t>
      </w:r>
      <w:r>
        <w:rPr>
          <w:rFonts w:ascii="Calibri" w:eastAsia="Calibri" w:hAnsi="Calibri" w:cs="Calibri"/>
          <w:b/>
        </w:rPr>
        <w:t>presented at a public meeting of the governing board</w:t>
      </w:r>
      <w:r>
        <w:rPr>
          <w:rFonts w:ascii="Calibri" w:eastAsia="Calibri" w:hAnsi="Calibri" w:cs="Calibri"/>
        </w:rPr>
        <w:t xml:space="preserve"> </w:t>
      </w:r>
    </w:p>
    <w:p w:rsidR="00D35C10" w:rsidRDefault="00C41742">
      <w:pPr>
        <w:numPr>
          <w:ilvl w:val="0"/>
          <w:numId w:val="2"/>
        </w:numPr>
        <w:shd w:val="clear" w:color="auto" w:fill="FFFFFF"/>
        <w:spacing w:line="240" w:lineRule="auto"/>
        <w:jc w:val="both"/>
        <w:rPr>
          <w:rFonts w:ascii="Calibri" w:eastAsia="Calibri" w:hAnsi="Calibri" w:cs="Calibri"/>
        </w:rPr>
      </w:pPr>
      <w:r>
        <w:rPr>
          <w:rFonts w:ascii="Calibri" w:eastAsia="Calibri" w:hAnsi="Calibri" w:cs="Calibri"/>
        </w:rPr>
        <w:t xml:space="preserve">And, then </w:t>
      </w:r>
      <w:r>
        <w:rPr>
          <w:rFonts w:ascii="Calibri" w:eastAsia="Calibri" w:hAnsi="Calibri" w:cs="Calibri"/>
          <w:b/>
        </w:rPr>
        <w:t>approved at a subsequent public meeting of the governing board.</w:t>
      </w:r>
      <w:r>
        <w:rPr>
          <w:rFonts w:ascii="Calibri" w:eastAsia="Calibri" w:hAnsi="Calibri" w:cs="Calibri"/>
        </w:rPr>
        <w:t xml:space="preserve"> </w:t>
      </w:r>
    </w:p>
    <w:p w:rsidR="00D35C10" w:rsidRDefault="00D35C10">
      <w:pPr>
        <w:spacing w:line="240" w:lineRule="auto"/>
        <w:jc w:val="both"/>
        <w:rPr>
          <w:rFonts w:ascii="Calibri" w:eastAsia="Calibri" w:hAnsi="Calibri" w:cs="Calibri"/>
          <w:b/>
          <w:u w:val="single"/>
        </w:rPr>
      </w:pPr>
    </w:p>
    <w:p w:rsidR="00D35C10" w:rsidRDefault="00C41742">
      <w:pPr>
        <w:spacing w:line="240" w:lineRule="auto"/>
        <w:jc w:val="both"/>
        <w:rPr>
          <w:rFonts w:ascii="Calibri" w:eastAsia="Calibri" w:hAnsi="Calibri" w:cs="Calibri"/>
          <w:b/>
          <w:u w:val="single"/>
        </w:rPr>
      </w:pPr>
      <w:r>
        <w:rPr>
          <w:rFonts w:ascii="Calibri" w:eastAsia="Calibri" w:hAnsi="Calibri" w:cs="Calibri"/>
          <w:b/>
          <w:u w:val="single"/>
        </w:rPr>
        <w:t>Funding</w:t>
      </w:r>
    </w:p>
    <w:p w:rsidR="00D35C10" w:rsidRDefault="00C41742">
      <w:pPr>
        <w:spacing w:line="240" w:lineRule="auto"/>
        <w:jc w:val="both"/>
        <w:rPr>
          <w:rFonts w:ascii="Calibri" w:eastAsia="Calibri" w:hAnsi="Calibri" w:cs="Calibri"/>
        </w:rPr>
      </w:pPr>
      <w:r>
        <w:rPr>
          <w:rFonts w:ascii="Calibri" w:eastAsia="Calibri" w:hAnsi="Calibri" w:cs="Calibri"/>
        </w:rPr>
        <w:t xml:space="preserve">The estimated amount of </w:t>
      </w:r>
      <w:r>
        <w:rPr>
          <w:rFonts w:ascii="Calibri" w:eastAsia="Calibri" w:hAnsi="Calibri" w:cs="Calibri"/>
          <w:u w:val="single"/>
        </w:rPr>
        <w:t>one-time funds</w:t>
      </w:r>
      <w:r>
        <w:rPr>
          <w:rFonts w:ascii="Calibri" w:eastAsia="Calibri" w:hAnsi="Calibri" w:cs="Calibri"/>
        </w:rPr>
        <w:t xml:space="preserve"> to be received for this purpose is </w:t>
      </w:r>
      <w:r>
        <w:rPr>
          <w:rFonts w:ascii="Calibri" w:eastAsia="Calibri" w:hAnsi="Calibri" w:cs="Calibri"/>
          <w:b/>
        </w:rPr>
        <w:t xml:space="preserve">$241,580 </w:t>
      </w:r>
      <w:r>
        <w:rPr>
          <w:rFonts w:ascii="Calibri" w:eastAsia="Calibri" w:hAnsi="Calibri" w:cs="Calibri"/>
        </w:rPr>
        <w:t xml:space="preserve">to be used </w:t>
      </w:r>
      <w:r>
        <w:rPr>
          <w:rFonts w:ascii="Calibri" w:eastAsia="Calibri" w:hAnsi="Calibri" w:cs="Calibri"/>
          <w:u w:val="single"/>
        </w:rPr>
        <w:t>through AY25-26</w:t>
      </w:r>
      <w:r>
        <w:rPr>
          <w:rFonts w:ascii="Calibri" w:eastAsia="Calibri" w:hAnsi="Calibri" w:cs="Calibri"/>
        </w:rPr>
        <w:t xml:space="preserve">. </w:t>
      </w:r>
    </w:p>
    <w:p w:rsidR="00D35C10" w:rsidRDefault="00C41742">
      <w:pPr>
        <w:spacing w:line="240" w:lineRule="auto"/>
        <w:jc w:val="both"/>
        <w:rPr>
          <w:rFonts w:ascii="Calibri" w:eastAsia="Calibri" w:hAnsi="Calibri" w:cs="Calibri"/>
        </w:rPr>
      </w:pPr>
      <w:r>
        <w:rPr>
          <w:rFonts w:ascii="Calibri" w:eastAsia="Calibri" w:hAnsi="Calibri" w:cs="Calibri"/>
        </w:rPr>
        <w:t xml:space="preserve"> </w:t>
      </w:r>
    </w:p>
    <w:p w:rsidR="00D35C10" w:rsidRDefault="00C41742">
      <w:pPr>
        <w:spacing w:line="240" w:lineRule="auto"/>
        <w:jc w:val="both"/>
        <w:rPr>
          <w:rFonts w:ascii="Calibri" w:eastAsia="Calibri" w:hAnsi="Calibri" w:cs="Calibri"/>
          <w:b/>
          <w:u w:val="single"/>
        </w:rPr>
      </w:pPr>
      <w:r>
        <w:rPr>
          <w:rFonts w:ascii="Calibri" w:eastAsia="Calibri" w:hAnsi="Calibri" w:cs="Calibri"/>
          <w:b/>
          <w:u w:val="single"/>
        </w:rPr>
        <w:t>Uses</w:t>
      </w:r>
    </w:p>
    <w:p w:rsidR="00D35C10" w:rsidRDefault="00C41742">
      <w:pPr>
        <w:spacing w:after="200" w:line="240" w:lineRule="auto"/>
        <w:jc w:val="both"/>
        <w:rPr>
          <w:rFonts w:ascii="Calibri" w:eastAsia="Calibri" w:hAnsi="Calibri" w:cs="Calibri"/>
        </w:rPr>
      </w:pPr>
      <w:r>
        <w:rPr>
          <w:rFonts w:ascii="Calibri" w:eastAsia="Calibri" w:hAnsi="Calibri" w:cs="Calibri"/>
        </w:rPr>
        <w:t xml:space="preserve">We plan to use the funds </w:t>
      </w:r>
      <w:r>
        <w:rPr>
          <w:rFonts w:ascii="Calibri" w:eastAsia="Calibri" w:hAnsi="Calibri" w:cs="Calibri"/>
          <w:b/>
        </w:rPr>
        <w:t>beginning AY22-23</w:t>
      </w:r>
      <w:r>
        <w:rPr>
          <w:rFonts w:ascii="Calibri" w:eastAsia="Calibri" w:hAnsi="Calibri" w:cs="Calibri"/>
        </w:rPr>
        <w:t xml:space="preserve"> </w:t>
      </w:r>
      <w:r>
        <w:rPr>
          <w:rFonts w:ascii="Calibri" w:eastAsia="Calibri" w:hAnsi="Calibri" w:cs="Calibri"/>
          <w:b/>
        </w:rPr>
        <w:t>through AY25-26</w:t>
      </w:r>
      <w:r>
        <w:rPr>
          <w:rFonts w:ascii="Calibri" w:eastAsia="Calibri" w:hAnsi="Calibri" w:cs="Calibri"/>
        </w:rPr>
        <w:t xml:space="preserve"> for:</w:t>
      </w:r>
    </w:p>
    <w:p w:rsidR="00D35C10" w:rsidRDefault="00C41742">
      <w:pPr>
        <w:numPr>
          <w:ilvl w:val="0"/>
          <w:numId w:val="3"/>
        </w:numPr>
        <w:spacing w:after="200" w:line="240" w:lineRule="auto"/>
        <w:jc w:val="both"/>
        <w:rPr>
          <w:rFonts w:ascii="Calibri" w:eastAsia="Calibri" w:hAnsi="Calibri" w:cs="Calibri"/>
        </w:rPr>
      </w:pPr>
      <w:r>
        <w:rPr>
          <w:rFonts w:ascii="Calibri" w:eastAsia="Calibri" w:hAnsi="Calibri" w:cs="Calibri"/>
          <w:b/>
        </w:rPr>
        <w:t>Beginning Teacher Support:</w:t>
      </w:r>
      <w:r>
        <w:rPr>
          <w:rFonts w:ascii="Calibri" w:eastAsia="Calibri" w:hAnsi="Calibri" w:cs="Calibri"/>
        </w:rPr>
        <w:t xml:space="preserve"> Support and mentoring, including but not limited to, programs to meet Resident Teacher and Teacher Induction Program requirements. </w:t>
      </w:r>
    </w:p>
    <w:p w:rsidR="00D35C10" w:rsidRDefault="00C41742">
      <w:pPr>
        <w:numPr>
          <w:ilvl w:val="0"/>
          <w:numId w:val="3"/>
        </w:numPr>
        <w:spacing w:after="200" w:line="240" w:lineRule="auto"/>
        <w:jc w:val="both"/>
        <w:rPr>
          <w:rFonts w:ascii="Calibri" w:eastAsia="Calibri" w:hAnsi="Calibri" w:cs="Calibri"/>
        </w:rPr>
      </w:pPr>
      <w:r>
        <w:rPr>
          <w:rFonts w:ascii="Calibri" w:eastAsia="Calibri" w:hAnsi="Calibri" w:cs="Calibri"/>
          <w:b/>
        </w:rPr>
        <w:t>Content Standards:</w:t>
      </w:r>
      <w:r>
        <w:rPr>
          <w:rFonts w:ascii="Calibri" w:eastAsia="Calibri" w:hAnsi="Calibri" w:cs="Calibri"/>
        </w:rPr>
        <w:t xml:space="preserve"> Professional development, coaching, and support for teachers and administrators that are aligned with th</w:t>
      </w:r>
      <w:r>
        <w:rPr>
          <w:rFonts w:ascii="Calibri" w:eastAsia="Calibri" w:hAnsi="Calibri" w:cs="Calibri"/>
        </w:rPr>
        <w:t xml:space="preserve">e Common Core State Standards.   </w:t>
      </w:r>
    </w:p>
    <w:p w:rsidR="00D35C10" w:rsidRDefault="00C41742">
      <w:pPr>
        <w:numPr>
          <w:ilvl w:val="0"/>
          <w:numId w:val="3"/>
        </w:numPr>
        <w:spacing w:after="200" w:line="240" w:lineRule="auto"/>
        <w:jc w:val="both"/>
        <w:rPr>
          <w:rFonts w:ascii="Calibri" w:eastAsia="Calibri" w:hAnsi="Calibri" w:cs="Calibri"/>
        </w:rPr>
      </w:pPr>
      <w:r>
        <w:rPr>
          <w:rFonts w:ascii="Calibri" w:eastAsia="Calibri" w:hAnsi="Calibri" w:cs="Calibri"/>
          <w:b/>
        </w:rPr>
        <w:t>Social-Emotional Practices:</w:t>
      </w:r>
      <w:r>
        <w:rPr>
          <w:rFonts w:ascii="Calibri" w:eastAsia="Calibri" w:hAnsi="Calibri" w:cs="Calibri"/>
        </w:rPr>
        <w:t xml:space="preserve"> Professional development, coaching, and support for teachers and leaders to refine implementation of social-emotional learning, trauma-informed practices, and other approaches that improve pupil</w:t>
      </w:r>
      <w:r>
        <w:rPr>
          <w:rFonts w:ascii="Calibri" w:eastAsia="Calibri" w:hAnsi="Calibri" w:cs="Calibri"/>
        </w:rPr>
        <w:t xml:space="preserve"> well-being.</w:t>
      </w:r>
    </w:p>
    <w:p w:rsidR="00D35C10" w:rsidRDefault="00C41742">
      <w:pPr>
        <w:numPr>
          <w:ilvl w:val="0"/>
          <w:numId w:val="3"/>
        </w:numPr>
        <w:spacing w:after="200" w:line="240" w:lineRule="auto"/>
        <w:jc w:val="both"/>
        <w:rPr>
          <w:rFonts w:ascii="Calibri" w:eastAsia="Calibri" w:hAnsi="Calibri" w:cs="Calibri"/>
        </w:rPr>
      </w:pPr>
      <w:r>
        <w:rPr>
          <w:rFonts w:ascii="Calibri" w:eastAsia="Calibri" w:hAnsi="Calibri" w:cs="Calibri"/>
          <w:b/>
        </w:rPr>
        <w:t>Coaching and Training:</w:t>
      </w:r>
      <w:r>
        <w:rPr>
          <w:rFonts w:ascii="Calibri" w:eastAsia="Calibri" w:hAnsi="Calibri" w:cs="Calibri"/>
        </w:rPr>
        <w:t xml:space="preserve"> To promote educator quality and success, including, but not limited to, professional development for administrators on mentoring and coaching faculty and staff to support effective teaching and learning, as well as teach</w:t>
      </w:r>
      <w:r>
        <w:rPr>
          <w:rFonts w:ascii="Calibri" w:eastAsia="Calibri" w:hAnsi="Calibri" w:cs="Calibri"/>
        </w:rPr>
        <w:t xml:space="preserve">er retention. </w:t>
      </w:r>
    </w:p>
    <w:p w:rsidR="00D35C10" w:rsidRDefault="00D35C10">
      <w:pPr>
        <w:spacing w:line="240" w:lineRule="auto"/>
        <w:ind w:left="720"/>
        <w:jc w:val="both"/>
      </w:pPr>
    </w:p>
    <w:sectPr w:rsidR="00D35C10">
      <w:headerReference w:type="default" r:id="rId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742" w:rsidRDefault="00C41742">
      <w:pPr>
        <w:spacing w:line="240" w:lineRule="auto"/>
      </w:pPr>
      <w:r>
        <w:separator/>
      </w:r>
    </w:p>
  </w:endnote>
  <w:endnote w:type="continuationSeparator" w:id="0">
    <w:p w:rsidR="00C41742" w:rsidRDefault="00C417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742" w:rsidRDefault="00C41742">
      <w:pPr>
        <w:spacing w:line="240" w:lineRule="auto"/>
      </w:pPr>
      <w:r>
        <w:separator/>
      </w:r>
    </w:p>
  </w:footnote>
  <w:footnote w:type="continuationSeparator" w:id="0">
    <w:p w:rsidR="00C41742" w:rsidRDefault="00C417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C10" w:rsidRDefault="00C41742">
    <w:pPr>
      <w:jc w:val="center"/>
    </w:pPr>
    <w:r>
      <w:rPr>
        <w:noProof/>
      </w:rPr>
      <w:drawing>
        <wp:inline distT="114300" distB="114300" distL="114300" distR="114300">
          <wp:extent cx="1011288" cy="9953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1288" cy="99536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419C7"/>
    <w:multiLevelType w:val="multilevel"/>
    <w:tmpl w:val="19CE6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F6577E9"/>
    <w:multiLevelType w:val="multilevel"/>
    <w:tmpl w:val="0980B8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B043FE8"/>
    <w:multiLevelType w:val="multilevel"/>
    <w:tmpl w:val="BC9646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C10"/>
    <w:rsid w:val="008D4F32"/>
    <w:rsid w:val="00C41742"/>
    <w:rsid w:val="00D35C10"/>
    <w:rsid w:val="00DA3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3E080"/>
  <w15:docId w15:val="{24C93DA9-1129-462F-B65F-E9582C949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Stilwell, Micah</dc:creator>
  <cp:lastModifiedBy>Stilwell, Micah</cp:lastModifiedBy>
  <cp:revision>2</cp:revision>
  <dcterms:created xsi:type="dcterms:W3CDTF">2021-12-02T19:21:00Z</dcterms:created>
  <dcterms:modified xsi:type="dcterms:W3CDTF">2021-12-02T19:21:00Z</dcterms:modified>
</cp:coreProperties>
</file>