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74DE1" w14:textId="470E9CEF" w:rsidR="00950FF1" w:rsidRPr="00950FF1" w:rsidRDefault="00950FF1" w:rsidP="00950FF1">
      <w:pPr>
        <w:rPr>
          <w:rFonts w:ascii="Times New Roman" w:eastAsia="Times New Roman" w:hAnsi="Times New Roman" w:cs="Times New Roman"/>
          <w:u w:val="single"/>
        </w:rPr>
      </w:pPr>
      <w:r w:rsidRPr="00950FF1">
        <w:rPr>
          <w:rFonts w:ascii="Times New Roman" w:eastAsia="Times New Roman" w:hAnsi="Times New Roman" w:cs="Times New Roman"/>
          <w:u w:val="single"/>
        </w:rPr>
        <w:t>Local Plan Information for upcoming Board meeting</w:t>
      </w:r>
    </w:p>
    <w:p w14:paraId="2DB5CDE5" w14:textId="77777777" w:rsidR="00950FF1" w:rsidRPr="00950FF1" w:rsidRDefault="00950FF1" w:rsidP="00950FF1">
      <w:pPr>
        <w:rPr>
          <w:rFonts w:ascii="Times New Roman" w:eastAsia="Times New Roman" w:hAnsi="Times New Roman" w:cs="Times New Roman"/>
        </w:rPr>
      </w:pPr>
    </w:p>
    <w:p w14:paraId="79821743" w14:textId="5D280652" w:rsidR="00950FF1" w:rsidRPr="00950FF1" w:rsidRDefault="00950FF1" w:rsidP="00950FF1">
      <w:pPr>
        <w:rPr>
          <w:rFonts w:ascii="Times New Roman" w:eastAsia="Times New Roman" w:hAnsi="Times New Roman" w:cs="Times New Roman"/>
        </w:rPr>
      </w:pPr>
      <w:r w:rsidRPr="00950FF1">
        <w:rPr>
          <w:rFonts w:ascii="Times New Roman" w:eastAsia="Times New Roman" w:hAnsi="Times New Roman" w:cs="Times New Roman"/>
        </w:rPr>
        <w:t>Item: Discussion/Information</w:t>
      </w:r>
    </w:p>
    <w:p w14:paraId="0EC36C24" w14:textId="090CD49A" w:rsidR="00950FF1" w:rsidRPr="00950FF1" w:rsidRDefault="00950FF1" w:rsidP="00950FF1">
      <w:pPr>
        <w:rPr>
          <w:rFonts w:ascii="Times New Roman" w:eastAsia="Times New Roman" w:hAnsi="Times New Roman" w:cs="Times New Roman"/>
        </w:rPr>
      </w:pPr>
      <w:r w:rsidRPr="00950FF1">
        <w:rPr>
          <w:rFonts w:ascii="Times New Roman" w:eastAsia="Times New Roman" w:hAnsi="Times New Roman" w:cs="Times New Roman"/>
        </w:rPr>
        <w:t xml:space="preserve">Subject: Desert Mountain </w:t>
      </w:r>
      <w:r w:rsidRPr="00950FF1">
        <w:rPr>
          <w:rFonts w:ascii="Times New Roman" w:eastAsia="Times New Roman" w:hAnsi="Times New Roman" w:cs="Times New Roman"/>
        </w:rPr>
        <w:t>SELPA Special</w:t>
      </w:r>
      <w:r w:rsidRPr="00950FF1">
        <w:rPr>
          <w:rFonts w:ascii="Times New Roman" w:eastAsia="Times New Roman" w:hAnsi="Times New Roman" w:cs="Times New Roman"/>
        </w:rPr>
        <w:t xml:space="preserve"> Education Local Plan Update </w:t>
      </w:r>
      <w:r w:rsidRPr="00950FF1">
        <w:rPr>
          <w:rFonts w:ascii="Times New Roman" w:eastAsia="Times New Roman" w:hAnsi="Times New Roman" w:cs="Times New Roman"/>
        </w:rPr>
        <w:t>2024-2025</w:t>
      </w:r>
    </w:p>
    <w:p w14:paraId="7EA08062" w14:textId="480797E6" w:rsidR="001E08A4" w:rsidRPr="00950FF1" w:rsidRDefault="00950FF1" w:rsidP="00950FF1">
      <w:pPr>
        <w:rPr>
          <w:rFonts w:ascii="Times New Roman" w:eastAsia="Times New Roman" w:hAnsi="Times New Roman" w:cs="Times New Roman"/>
        </w:rPr>
      </w:pPr>
      <w:r w:rsidRPr="00950FF1">
        <w:rPr>
          <w:rFonts w:ascii="Times New Roman" w:eastAsia="Times New Roman" w:hAnsi="Times New Roman" w:cs="Times New Roman"/>
        </w:rPr>
        <w:t>Background: The Desert Mountain SELPA Special Education Local Plan describes how special education services are provided for eligible students who reside</w:t>
      </w:r>
      <w:r w:rsidRPr="00950FF1">
        <w:rPr>
          <w:rFonts w:ascii="Times New Roman" w:eastAsia="Times New Roman" w:hAnsi="Times New Roman" w:cs="Times New Roman"/>
        </w:rPr>
        <w:t xml:space="preserve"> </w:t>
      </w:r>
      <w:r w:rsidRPr="00950FF1">
        <w:rPr>
          <w:rFonts w:ascii="Times New Roman" w:eastAsia="Times New Roman" w:hAnsi="Times New Roman" w:cs="Times New Roman"/>
        </w:rPr>
        <w:t xml:space="preserve">within a Special Education Local Plan Area (SELPA) region every three years. Both the current </w:t>
      </w:r>
      <w:r w:rsidRPr="00950FF1">
        <w:rPr>
          <w:rFonts w:ascii="Times New Roman" w:eastAsia="Times New Roman" w:hAnsi="Times New Roman" w:cs="Times New Roman"/>
        </w:rPr>
        <w:t>plan and</w:t>
      </w:r>
      <w:r w:rsidRPr="00950FF1">
        <w:rPr>
          <w:rFonts w:ascii="Times New Roman" w:eastAsia="Times New Roman" w:hAnsi="Times New Roman" w:cs="Times New Roman"/>
        </w:rPr>
        <w:t xml:space="preserve"> a summary of changes </w:t>
      </w:r>
      <w:proofErr w:type="gramStart"/>
      <w:r w:rsidRPr="00950FF1">
        <w:rPr>
          <w:rFonts w:ascii="Times New Roman" w:eastAsia="Times New Roman" w:hAnsi="Times New Roman" w:cs="Times New Roman"/>
        </w:rPr>
        <w:t>is</w:t>
      </w:r>
      <w:proofErr w:type="gramEnd"/>
      <w:r w:rsidRPr="00950FF1">
        <w:rPr>
          <w:rFonts w:ascii="Times New Roman" w:eastAsia="Times New Roman" w:hAnsi="Times New Roman" w:cs="Times New Roman"/>
        </w:rPr>
        <w:t xml:space="preserve"> attached.  The CAHELP JPA board approved the Special Education Local Plan at their May 10, </w:t>
      </w:r>
      <w:r w:rsidRPr="00950FF1">
        <w:rPr>
          <w:rFonts w:ascii="Times New Roman" w:eastAsia="Times New Roman" w:hAnsi="Times New Roman" w:cs="Times New Roman"/>
        </w:rPr>
        <w:t>2024,</w:t>
      </w:r>
      <w:r w:rsidRPr="00950FF1">
        <w:rPr>
          <w:rFonts w:ascii="Times New Roman" w:eastAsia="Times New Roman" w:hAnsi="Times New Roman" w:cs="Times New Roman"/>
        </w:rPr>
        <w:t xml:space="preserve"> meeting, and are providing information to the local school boards of JPA member districts. </w:t>
      </w:r>
    </w:p>
    <w:p w14:paraId="046DF4BB" w14:textId="77777777" w:rsidR="00950FF1" w:rsidRDefault="00950FF1" w:rsidP="00950FF1">
      <w:pPr>
        <w:widowControl w:val="0"/>
        <w:tabs>
          <w:tab w:val="left" w:pos="1559"/>
        </w:tabs>
        <w:autoSpaceDE w:val="0"/>
        <w:autoSpaceDN w:val="0"/>
        <w:spacing w:before="240" w:after="0" w:line="295" w:lineRule="auto"/>
        <w:contextualSpacing/>
        <w:rPr>
          <w:rFonts w:ascii="Times New Roman"/>
          <w:b/>
          <w:bCs/>
        </w:rPr>
      </w:pPr>
    </w:p>
    <w:p w14:paraId="40E60975" w14:textId="09526847" w:rsidR="00950FF1" w:rsidRPr="00950FF1" w:rsidRDefault="00D27641" w:rsidP="00950FF1">
      <w:pPr>
        <w:widowControl w:val="0"/>
        <w:tabs>
          <w:tab w:val="left" w:pos="1559"/>
        </w:tabs>
        <w:autoSpaceDE w:val="0"/>
        <w:autoSpaceDN w:val="0"/>
        <w:spacing w:before="240" w:after="0" w:line="295" w:lineRule="auto"/>
        <w:contextualSpacing/>
        <w:rPr>
          <w:rFonts w:ascii="Times New Roman"/>
          <w:b/>
          <w:bCs/>
        </w:rPr>
      </w:pPr>
      <w:r w:rsidRPr="00D27641">
        <w:rPr>
          <w:rFonts w:ascii="Times New Roman"/>
          <w:b/>
          <w:bCs/>
        </w:rPr>
        <w:t>Section</w:t>
      </w:r>
      <w:r w:rsidRPr="00D27641">
        <w:rPr>
          <w:rFonts w:ascii="Times New Roman"/>
          <w:b/>
          <w:bCs/>
          <w:spacing w:val="-2"/>
        </w:rPr>
        <w:t xml:space="preserve"> </w:t>
      </w:r>
      <w:r w:rsidRPr="00D27641">
        <w:rPr>
          <w:rFonts w:ascii="Times New Roman"/>
          <w:b/>
          <w:bCs/>
        </w:rPr>
        <w:t>B:</w:t>
      </w:r>
      <w:r w:rsidRPr="00D27641">
        <w:rPr>
          <w:rFonts w:ascii="Times New Roman"/>
          <w:b/>
          <w:bCs/>
          <w:spacing w:val="-2"/>
        </w:rPr>
        <w:t xml:space="preserve"> </w:t>
      </w:r>
      <w:r w:rsidRPr="00D27641">
        <w:rPr>
          <w:rFonts w:ascii="Times New Roman"/>
          <w:b/>
          <w:bCs/>
        </w:rPr>
        <w:t>Governance</w:t>
      </w:r>
      <w:r w:rsidRPr="00D27641">
        <w:rPr>
          <w:rFonts w:ascii="Times New Roman"/>
          <w:b/>
          <w:bCs/>
          <w:spacing w:val="-3"/>
        </w:rPr>
        <w:t xml:space="preserve"> </w:t>
      </w:r>
      <w:r w:rsidRPr="00D27641">
        <w:rPr>
          <w:rFonts w:ascii="Times New Roman"/>
          <w:b/>
          <w:bCs/>
        </w:rPr>
        <w:t>and</w:t>
      </w:r>
      <w:r w:rsidRPr="00D27641">
        <w:rPr>
          <w:rFonts w:ascii="Times New Roman"/>
          <w:b/>
          <w:bCs/>
          <w:spacing w:val="-2"/>
        </w:rPr>
        <w:t xml:space="preserve"> </w:t>
      </w:r>
      <w:r w:rsidRPr="00D27641">
        <w:rPr>
          <w:rFonts w:ascii="Times New Roman"/>
          <w:b/>
          <w:bCs/>
        </w:rPr>
        <w:t>Administration</w:t>
      </w:r>
    </w:p>
    <w:p w14:paraId="5F66A77B" w14:textId="102A4BAD" w:rsidR="00D27641" w:rsidRDefault="00D27641" w:rsidP="00950FF1">
      <w:pPr>
        <w:spacing w:line="295" w:lineRule="auto"/>
        <w:contextualSpacing/>
        <w:rPr>
          <w:rFonts w:ascii="Times New Roman"/>
        </w:rPr>
      </w:pPr>
      <w:r>
        <w:rPr>
          <w:rFonts w:ascii="Times New Roman"/>
        </w:rPr>
        <w:t xml:space="preserve">California Education Code requires that </w:t>
      </w:r>
      <w:r w:rsidR="00E57842">
        <w:rPr>
          <w:rFonts w:ascii="Times New Roman"/>
        </w:rPr>
        <w:t>the</w:t>
      </w:r>
      <w:r>
        <w:rPr>
          <w:rFonts w:ascii="Times New Roman"/>
        </w:rPr>
        <w:t xml:space="preserve"> Special Education Local Plan Section B: Governance and Administration be presented for public hearing and approved by the </w:t>
      </w:r>
      <w:r w:rsidR="00423A2D">
        <w:rPr>
          <w:rFonts w:ascii="Times New Roman"/>
        </w:rPr>
        <w:t>CAHELP JPA</w:t>
      </w:r>
      <w:r>
        <w:rPr>
          <w:rFonts w:ascii="Times New Roman"/>
        </w:rPr>
        <w:t xml:space="preserve"> Governance Board prior to submission to the California Department of Education (CDE). The Local Plan describes how special education services are provided for eligible students who reside within a Special Education Local Plan Area (SELPA) region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every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three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years.</w:t>
      </w:r>
    </w:p>
    <w:p w14:paraId="638953B2" w14:textId="52FA420F" w:rsidR="005A2C4C" w:rsidRDefault="00D27641" w:rsidP="00D27641">
      <w:pPr>
        <w:rPr>
          <w:rFonts w:ascii="Times New Roman"/>
        </w:rPr>
      </w:pPr>
      <w:r>
        <w:rPr>
          <w:rFonts w:ascii="Times New Roman"/>
        </w:rPr>
        <w:t xml:space="preserve">Section B contains four </w:t>
      </w:r>
      <w:r w:rsidR="00CF2344">
        <w:rPr>
          <w:rFonts w:ascii="Times New Roman"/>
        </w:rPr>
        <w:t>sections including</w:t>
      </w:r>
      <w:r w:rsidR="005A2C4C">
        <w:rPr>
          <w:rFonts w:ascii="Times New Roman"/>
        </w:rPr>
        <w:t>:</w:t>
      </w:r>
    </w:p>
    <w:p w14:paraId="55B561B7" w14:textId="7D8E5723" w:rsidR="00CF2344" w:rsidRDefault="00CF2344" w:rsidP="00CF2344">
      <w:pPr>
        <w:pStyle w:val="ListParagraph"/>
        <w:numPr>
          <w:ilvl w:val="0"/>
          <w:numId w:val="2"/>
        </w:numPr>
        <w:rPr>
          <w:rFonts w:ascii="Times New Roman"/>
        </w:rPr>
      </w:pPr>
      <w:r>
        <w:rPr>
          <w:rFonts w:ascii="Times New Roman"/>
        </w:rPr>
        <w:t xml:space="preserve">SELPA Local Plan </w:t>
      </w:r>
      <w:r w:rsidR="00E57842">
        <w:rPr>
          <w:rFonts w:ascii="Times New Roman"/>
        </w:rPr>
        <w:t>R</w:t>
      </w:r>
      <w:r>
        <w:rPr>
          <w:rFonts w:ascii="Times New Roman"/>
        </w:rPr>
        <w:t>equirement</w:t>
      </w:r>
    </w:p>
    <w:p w14:paraId="3C758890" w14:textId="28069B76" w:rsidR="00CF2344" w:rsidRDefault="00CF2344" w:rsidP="00CF2344">
      <w:pPr>
        <w:pStyle w:val="ListParagraph"/>
        <w:numPr>
          <w:ilvl w:val="0"/>
          <w:numId w:val="2"/>
        </w:numPr>
        <w:rPr>
          <w:rFonts w:ascii="Times New Roman"/>
        </w:rPr>
      </w:pPr>
      <w:r>
        <w:rPr>
          <w:rFonts w:ascii="Times New Roman"/>
        </w:rPr>
        <w:t>Policies and Procedures</w:t>
      </w:r>
    </w:p>
    <w:p w14:paraId="6C3138E9" w14:textId="7566F397" w:rsidR="00CF2344" w:rsidRDefault="00CF2344" w:rsidP="00CF2344">
      <w:pPr>
        <w:pStyle w:val="ListParagraph"/>
        <w:numPr>
          <w:ilvl w:val="0"/>
          <w:numId w:val="2"/>
        </w:numPr>
        <w:rPr>
          <w:rFonts w:ascii="Times New Roman"/>
        </w:rPr>
      </w:pPr>
      <w:r>
        <w:rPr>
          <w:rFonts w:ascii="Times New Roman"/>
        </w:rPr>
        <w:t>Administration of Regionalized Operations and Services</w:t>
      </w:r>
    </w:p>
    <w:p w14:paraId="3C17054C" w14:textId="66586D2D" w:rsidR="00CF2344" w:rsidRDefault="00CF2344" w:rsidP="00CF2344">
      <w:pPr>
        <w:pStyle w:val="ListParagraph"/>
        <w:numPr>
          <w:ilvl w:val="0"/>
          <w:numId w:val="2"/>
        </w:numPr>
        <w:rPr>
          <w:rFonts w:ascii="Times New Roman"/>
        </w:rPr>
      </w:pPr>
      <w:r>
        <w:rPr>
          <w:rFonts w:ascii="Times New Roman"/>
        </w:rPr>
        <w:t>Special Education Local Plan Services</w:t>
      </w:r>
    </w:p>
    <w:p w14:paraId="52E5689F" w14:textId="39772411" w:rsidR="00423A2D" w:rsidRDefault="00423A2D" w:rsidP="00423A2D">
      <w:pPr>
        <w:rPr>
          <w:rFonts w:ascii="Times New Roman"/>
        </w:rPr>
      </w:pPr>
      <w:r>
        <w:rPr>
          <w:rFonts w:ascii="Times New Roman"/>
        </w:rPr>
        <w:t xml:space="preserve">No major changes were made to the plan. Additional explanations regarding roles and responsibilities of the program specialists, administrative unit, SELPA director and the individual LEAs were included. </w:t>
      </w:r>
    </w:p>
    <w:p w14:paraId="73B27622" w14:textId="3EB5E99D" w:rsidR="00423A2D" w:rsidRDefault="00423A2D" w:rsidP="00423A2D">
      <w:pPr>
        <w:rPr>
          <w:rFonts w:ascii="Times New Roman"/>
          <w:b/>
          <w:bCs/>
        </w:rPr>
      </w:pPr>
      <w:r>
        <w:rPr>
          <w:rFonts w:ascii="Times New Roman"/>
          <w:b/>
          <w:bCs/>
        </w:rPr>
        <w:t>Section D: Annual Budget Plan</w:t>
      </w:r>
    </w:p>
    <w:p w14:paraId="713A946D" w14:textId="2AAF6377" w:rsidR="00423A2D" w:rsidRDefault="00423A2D" w:rsidP="00423A2D">
      <w:pPr>
        <w:rPr>
          <w:rFonts w:ascii="Times New Roman"/>
        </w:rPr>
      </w:pPr>
      <w:proofErr w:type="gramStart"/>
      <w:r>
        <w:rPr>
          <w:rFonts w:ascii="Times New Roman"/>
        </w:rPr>
        <w:t>California</w:t>
      </w:r>
      <w:proofErr w:type="gramEnd"/>
      <w:r>
        <w:rPr>
          <w:rFonts w:ascii="Times New Roman"/>
        </w:rPr>
        <w:t xml:space="preserve"> Education Code requires that an Annual Budget Plan be </w:t>
      </w:r>
      <w:r w:rsidR="00E57842">
        <w:rPr>
          <w:rFonts w:ascii="Times New Roman"/>
        </w:rPr>
        <w:t xml:space="preserve">presented for public hearing and </w:t>
      </w:r>
      <w:r>
        <w:rPr>
          <w:rFonts w:ascii="Times New Roman"/>
        </w:rPr>
        <w:t>approved by the CAHELP JPA Governance Council as part of the Local Plan. The 2024-25 Annual Budget Plan describes the revenues and expenditures for special education for all local education agencies in the Desert Mountain SELPA</w:t>
      </w:r>
      <w:r w:rsidR="00E57842">
        <w:rPr>
          <w:rFonts w:ascii="Times New Roman"/>
        </w:rPr>
        <w:t>.</w:t>
      </w:r>
    </w:p>
    <w:p w14:paraId="7A44C328" w14:textId="2F904790" w:rsidR="00423A2D" w:rsidRDefault="00423A2D" w:rsidP="00423A2D">
      <w:pPr>
        <w:rPr>
          <w:rFonts w:ascii="Times New Roman"/>
          <w:b/>
          <w:bCs/>
        </w:rPr>
      </w:pPr>
      <w:r>
        <w:rPr>
          <w:rFonts w:ascii="Times New Roman"/>
          <w:b/>
          <w:bCs/>
        </w:rPr>
        <w:t>Section E: Annual Service Plan</w:t>
      </w:r>
    </w:p>
    <w:p w14:paraId="37D3DF01" w14:textId="5AE1CCEC" w:rsidR="00D27641" w:rsidRPr="00950FF1" w:rsidRDefault="00423A2D" w:rsidP="00950FF1">
      <w:pPr>
        <w:pStyle w:val="BodyText"/>
        <w:spacing w:line="295" w:lineRule="auto"/>
        <w:ind w:right="115"/>
        <w:jc w:val="both"/>
        <w:rPr>
          <w:rFonts w:ascii="Times New Roman"/>
        </w:rPr>
      </w:pPr>
      <w:r>
        <w:rPr>
          <w:rFonts w:ascii="Times New Roman"/>
        </w:rPr>
        <w:t>California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Education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Code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requires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Annual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Service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Plan</w:t>
      </w:r>
      <w:r>
        <w:rPr>
          <w:rFonts w:ascii="Times New Roman"/>
          <w:spacing w:val="-13"/>
        </w:rPr>
        <w:t xml:space="preserve"> </w:t>
      </w:r>
      <w:r w:rsidR="00E57842">
        <w:rPr>
          <w:rFonts w:ascii="Times New Roman"/>
        </w:rPr>
        <w:t>be presented for public hearing and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approved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CAHELP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JPA Governance Council as part of the Local Plan. The 2024-25 Annual Service Plan describes all special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education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services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currently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Desert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Mountain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SELPA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broken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down by type, location, and level of severity.</w:t>
      </w:r>
      <w:r w:rsidR="00E57842">
        <w:rPr>
          <w:rFonts w:ascii="Times New Roman"/>
        </w:rPr>
        <w:t xml:space="preserve"> This includes all the services at each and every school in all local education agencies within the SELPA.</w:t>
      </w:r>
    </w:p>
    <w:sectPr w:rsidR="00D27641" w:rsidRPr="00950FF1" w:rsidSect="00950FF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C1767"/>
    <w:multiLevelType w:val="multilevel"/>
    <w:tmpl w:val="0AB05168"/>
    <w:lvl w:ilvl="0">
      <w:start w:val="1"/>
      <w:numFmt w:val="decimal"/>
      <w:lvlText w:val="%1.0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40" w:hanging="10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90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0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90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90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0" w:hanging="1080"/>
      </w:pPr>
      <w:rPr>
        <w:rFonts w:hint="default"/>
        <w:lang w:val="en-US" w:eastAsia="en-US" w:bidi="ar-SA"/>
      </w:rPr>
    </w:lvl>
  </w:abstractNum>
  <w:abstractNum w:abstractNumId="1" w15:restartNumberingAfterBreak="0">
    <w:nsid w:val="2ADC629B"/>
    <w:multiLevelType w:val="hybridMultilevel"/>
    <w:tmpl w:val="21A0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274481">
    <w:abstractNumId w:val="0"/>
  </w:num>
  <w:num w:numId="2" w16cid:durableId="1148549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41"/>
    <w:rsid w:val="001E08A4"/>
    <w:rsid w:val="00423A2D"/>
    <w:rsid w:val="005A2C4C"/>
    <w:rsid w:val="00770EED"/>
    <w:rsid w:val="00950396"/>
    <w:rsid w:val="00950FF1"/>
    <w:rsid w:val="00CF2344"/>
    <w:rsid w:val="00D27641"/>
    <w:rsid w:val="00E5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5C73"/>
  <w15:chartTrackingRefBased/>
  <w15:docId w15:val="{04B4170F-DF6F-42F2-BB9B-6CE1D4A1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641"/>
  </w:style>
  <w:style w:type="paragraph" w:styleId="Heading1">
    <w:name w:val="heading 1"/>
    <w:basedOn w:val="Normal"/>
    <w:next w:val="Normal"/>
    <w:link w:val="Heading1Char"/>
    <w:uiPriority w:val="9"/>
    <w:qFormat/>
    <w:rsid w:val="00D27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6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6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6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6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6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6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6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276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6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6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64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23A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23A2D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Bender</dc:creator>
  <cp:keywords/>
  <dc:description/>
  <cp:lastModifiedBy>Pamela Bender</cp:lastModifiedBy>
  <cp:revision>3</cp:revision>
  <cp:lastPrinted>2024-05-29T21:15:00Z</cp:lastPrinted>
  <dcterms:created xsi:type="dcterms:W3CDTF">2024-05-29T18:07:00Z</dcterms:created>
  <dcterms:modified xsi:type="dcterms:W3CDTF">2024-05-29T23:54:00Z</dcterms:modified>
</cp:coreProperties>
</file>