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14251" w14:textId="5BDE2140" w:rsidR="00903277" w:rsidRDefault="00903277">
      <w:pPr>
        <w:rPr>
          <w:b/>
          <w:bCs/>
        </w:rPr>
      </w:pPr>
    </w:p>
    <w:p w14:paraId="24333753" w14:textId="4EB4D087" w:rsidR="00903277" w:rsidRDefault="00903277">
      <w:r>
        <w:t>The Mid-Year Annual Update to the 2023-24 Local Control and Accountability Plan (LCAP) is designed to provide information that informs the planning process for the remainder of the current year</w:t>
      </w:r>
      <w:r w:rsidR="006F3911">
        <w:t xml:space="preserve"> </w:t>
      </w:r>
      <w:r>
        <w:t>and provides direction in the development of the 2024-25 LCAP.</w:t>
      </w:r>
    </w:p>
    <w:p w14:paraId="303B93F4" w14:textId="78A7C3D7" w:rsidR="00903277" w:rsidRDefault="00903277"/>
    <w:p w14:paraId="571104E4" w14:textId="37D8A8A3" w:rsidR="00903277" w:rsidRDefault="00903277">
      <w:r>
        <w:t xml:space="preserve">The metrics listed are those from the current LCAP, and the data is from the 2023 California Schools Dashboard, which displays data from the 2022-23 school year for most measures.  In some </w:t>
      </w:r>
      <w:proofErr w:type="gramStart"/>
      <w:r>
        <w:t>cases</w:t>
      </w:r>
      <w:proofErr w:type="gramEnd"/>
      <w:r>
        <w:t xml:space="preserve"> additional information or data is provided for clarification or deeper insight.</w:t>
      </w:r>
    </w:p>
    <w:p w14:paraId="45F0A57A" w14:textId="3C091D46" w:rsidR="00903277" w:rsidRDefault="00903277"/>
    <w:p w14:paraId="44B4EC1B" w14:textId="11C56395" w:rsidR="00903277" w:rsidRDefault="00903277">
      <w:r>
        <w:t>Within th</w:t>
      </w:r>
      <w:r w:rsidR="0064553F">
        <w:t>is</w:t>
      </w:r>
      <w:r>
        <w:t xml:space="preserve"> document the LCAP Goal that is related to the metric is listed.</w:t>
      </w:r>
    </w:p>
    <w:p w14:paraId="42351241" w14:textId="585460AB" w:rsidR="00903277" w:rsidRDefault="00903277"/>
    <w:p w14:paraId="380D5F6E" w14:textId="6F3A85A1" w:rsidR="00903277" w:rsidRPr="00903277" w:rsidRDefault="00903277" w:rsidP="00903277">
      <w:pPr>
        <w:pStyle w:val="ListParagraph"/>
        <w:numPr>
          <w:ilvl w:val="0"/>
          <w:numId w:val="3"/>
        </w:numPr>
        <w:rPr>
          <w:b/>
          <w:bCs/>
        </w:rPr>
      </w:pPr>
      <w:r w:rsidRPr="00903277">
        <w:rPr>
          <w:b/>
          <w:bCs/>
        </w:rPr>
        <w:t xml:space="preserve">Broad </w:t>
      </w:r>
      <w:proofErr w:type="gramStart"/>
      <w:r w:rsidRPr="00903277">
        <w:rPr>
          <w:b/>
          <w:bCs/>
        </w:rPr>
        <w:t>metrics  (</w:t>
      </w:r>
      <w:proofErr w:type="gramEnd"/>
      <w:r w:rsidRPr="00903277">
        <w:rPr>
          <w:b/>
          <w:bCs/>
        </w:rPr>
        <w:t>not content area specific):</w:t>
      </w:r>
    </w:p>
    <w:p w14:paraId="33256507" w14:textId="77777777" w:rsidR="00903277" w:rsidRPr="00903277" w:rsidRDefault="00903277">
      <w:pPr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0"/>
        <w:gridCol w:w="5395"/>
      </w:tblGrid>
      <w:tr w:rsidR="00903277" w14:paraId="773C1654" w14:textId="77777777" w:rsidTr="00903277">
        <w:trPr>
          <w:trHeight w:val="720"/>
          <w:jc w:val="center"/>
        </w:trPr>
        <w:tc>
          <w:tcPr>
            <w:tcW w:w="4140" w:type="dxa"/>
          </w:tcPr>
          <w:p w14:paraId="1FE7D21F" w14:textId="18230396" w:rsidR="00903277" w:rsidRPr="00903277" w:rsidRDefault="00903277" w:rsidP="006A1C0C">
            <w:pPr>
              <w:tabs>
                <w:tab w:val="left" w:pos="1377"/>
              </w:tabs>
              <w:rPr>
                <w:i/>
                <w:iCs/>
              </w:rPr>
            </w:pPr>
            <w:r w:rsidRPr="000B7EA8">
              <w:t xml:space="preserve">College and </w:t>
            </w:r>
            <w:r>
              <w:t xml:space="preserve">Career </w:t>
            </w:r>
            <w:r w:rsidRPr="00903277">
              <w:rPr>
                <w:i/>
                <w:iCs/>
              </w:rPr>
              <w:t>(LCAP Goal 2)</w:t>
            </w:r>
          </w:p>
          <w:p w14:paraId="1B74B2D9" w14:textId="77777777" w:rsidR="00903277" w:rsidRDefault="00903277" w:rsidP="006A1C0C">
            <w:pPr>
              <w:tabs>
                <w:tab w:val="left" w:pos="1377"/>
              </w:tabs>
              <w:rPr>
                <w:b/>
                <w:bCs/>
              </w:rPr>
            </w:pPr>
          </w:p>
        </w:tc>
        <w:tc>
          <w:tcPr>
            <w:tcW w:w="5395" w:type="dxa"/>
          </w:tcPr>
          <w:p w14:paraId="66FE0286" w14:textId="77777777" w:rsidR="00903277" w:rsidRDefault="00903277" w:rsidP="006A1C0C">
            <w:pPr>
              <w:tabs>
                <w:tab w:val="left" w:pos="1377"/>
              </w:tabs>
              <w:rPr>
                <w:b/>
                <w:bCs/>
              </w:rPr>
            </w:pPr>
            <w:r w:rsidRPr="000B7EA8">
              <w:t>86.9% of high school graduates were</w:t>
            </w:r>
            <w:r>
              <w:rPr>
                <w:b/>
                <w:bCs/>
              </w:rPr>
              <w:t xml:space="preserve"> </w:t>
            </w:r>
            <w:r w:rsidRPr="00F941B3">
              <w:t>“Prepared”</w:t>
            </w:r>
          </w:p>
          <w:p w14:paraId="41766CE3" w14:textId="77777777" w:rsidR="00903277" w:rsidRPr="000B7EA8" w:rsidRDefault="00903277" w:rsidP="006A1C0C">
            <w:pPr>
              <w:tabs>
                <w:tab w:val="left" w:pos="1377"/>
              </w:tabs>
            </w:pPr>
            <w:r>
              <w:t>“Very High” on Dashboard</w:t>
            </w:r>
          </w:p>
        </w:tc>
      </w:tr>
      <w:tr w:rsidR="00903277" w14:paraId="18760D61" w14:textId="77777777" w:rsidTr="00903277">
        <w:trPr>
          <w:trHeight w:val="720"/>
          <w:jc w:val="center"/>
        </w:trPr>
        <w:tc>
          <w:tcPr>
            <w:tcW w:w="4140" w:type="dxa"/>
          </w:tcPr>
          <w:p w14:paraId="57319ADC" w14:textId="3A686C22" w:rsidR="00903277" w:rsidRPr="000B7EA8" w:rsidRDefault="00903277" w:rsidP="006A1C0C">
            <w:pPr>
              <w:tabs>
                <w:tab w:val="left" w:pos="1377"/>
              </w:tabs>
            </w:pPr>
            <w:r>
              <w:t xml:space="preserve">Graduation Rate </w:t>
            </w:r>
            <w:r w:rsidRPr="00903277">
              <w:rPr>
                <w:i/>
                <w:iCs/>
              </w:rPr>
              <w:t>(LCAP Goal 2)</w:t>
            </w:r>
          </w:p>
        </w:tc>
        <w:tc>
          <w:tcPr>
            <w:tcW w:w="5395" w:type="dxa"/>
          </w:tcPr>
          <w:p w14:paraId="250EDDFD" w14:textId="77777777" w:rsidR="00903277" w:rsidRDefault="00903277" w:rsidP="006A1C0C">
            <w:pPr>
              <w:tabs>
                <w:tab w:val="left" w:pos="1377"/>
              </w:tabs>
            </w:pPr>
            <w:r>
              <w:t>97.2% graduated (Blue on Dashboard)</w:t>
            </w:r>
          </w:p>
          <w:p w14:paraId="76B4FDB5" w14:textId="77777777" w:rsidR="00903277" w:rsidRPr="000B7EA8" w:rsidRDefault="00903277" w:rsidP="00F941B3">
            <w:pPr>
              <w:tabs>
                <w:tab w:val="left" w:pos="1377"/>
              </w:tabs>
            </w:pPr>
          </w:p>
        </w:tc>
      </w:tr>
      <w:tr w:rsidR="00903277" w14:paraId="048D2022" w14:textId="77777777" w:rsidTr="00903277">
        <w:trPr>
          <w:trHeight w:val="720"/>
          <w:jc w:val="center"/>
        </w:trPr>
        <w:tc>
          <w:tcPr>
            <w:tcW w:w="4140" w:type="dxa"/>
          </w:tcPr>
          <w:p w14:paraId="03EC0933" w14:textId="5C8A117C" w:rsidR="00903277" w:rsidRPr="000B7EA8" w:rsidRDefault="00903277" w:rsidP="006A1C0C">
            <w:pPr>
              <w:tabs>
                <w:tab w:val="left" w:pos="1377"/>
              </w:tabs>
            </w:pPr>
            <w:r w:rsidRPr="000B7EA8">
              <w:t>Basics</w:t>
            </w:r>
            <w:r>
              <w:t>: teachers, instructional materials, facilities</w:t>
            </w:r>
            <w:proofErr w:type="gramStart"/>
            <w:r>
              <w:t xml:space="preserve">   </w:t>
            </w:r>
            <w:r w:rsidRPr="00903277">
              <w:rPr>
                <w:i/>
                <w:iCs/>
              </w:rPr>
              <w:t>(</w:t>
            </w:r>
            <w:proofErr w:type="gramEnd"/>
            <w:r w:rsidRPr="00903277">
              <w:rPr>
                <w:i/>
                <w:iCs/>
              </w:rPr>
              <w:t xml:space="preserve">LCAP Goal </w:t>
            </w:r>
            <w:r>
              <w:rPr>
                <w:i/>
                <w:iCs/>
              </w:rPr>
              <w:t>1</w:t>
            </w:r>
            <w:r w:rsidRPr="00903277">
              <w:rPr>
                <w:i/>
                <w:iCs/>
              </w:rPr>
              <w:t>)</w:t>
            </w:r>
          </w:p>
        </w:tc>
        <w:tc>
          <w:tcPr>
            <w:tcW w:w="5395" w:type="dxa"/>
          </w:tcPr>
          <w:p w14:paraId="11299D88" w14:textId="77777777" w:rsidR="00903277" w:rsidRPr="000B7EA8" w:rsidRDefault="00903277" w:rsidP="006A1C0C">
            <w:pPr>
              <w:tabs>
                <w:tab w:val="left" w:pos="1377"/>
              </w:tabs>
            </w:pPr>
            <w:r>
              <w:t>Standard Met</w:t>
            </w:r>
          </w:p>
        </w:tc>
      </w:tr>
      <w:tr w:rsidR="00903277" w14:paraId="487EC719" w14:textId="77777777" w:rsidTr="00903277">
        <w:trPr>
          <w:trHeight w:val="720"/>
          <w:jc w:val="center"/>
        </w:trPr>
        <w:tc>
          <w:tcPr>
            <w:tcW w:w="4140" w:type="dxa"/>
          </w:tcPr>
          <w:p w14:paraId="351674E5" w14:textId="50A83FB9" w:rsidR="00903277" w:rsidRPr="000B7EA8" w:rsidRDefault="00903277" w:rsidP="006A1C0C">
            <w:pPr>
              <w:tabs>
                <w:tab w:val="left" w:pos="1377"/>
              </w:tabs>
            </w:pPr>
            <w:r>
              <w:t xml:space="preserve">Implementation of State Academic </w:t>
            </w:r>
            <w:proofErr w:type="gramStart"/>
            <w:r>
              <w:t>Standards</w:t>
            </w:r>
            <w:r w:rsidR="0064553F">
              <w:t xml:space="preserve"> </w:t>
            </w:r>
            <w:r>
              <w:t xml:space="preserve"> </w:t>
            </w:r>
            <w:r w:rsidRPr="00903277">
              <w:rPr>
                <w:i/>
                <w:iCs/>
              </w:rPr>
              <w:t>(</w:t>
            </w:r>
            <w:proofErr w:type="gramEnd"/>
            <w:r w:rsidRPr="00903277">
              <w:rPr>
                <w:i/>
                <w:iCs/>
              </w:rPr>
              <w:t xml:space="preserve">LCAP Goal </w:t>
            </w:r>
            <w:r>
              <w:rPr>
                <w:i/>
                <w:iCs/>
              </w:rPr>
              <w:t>1</w:t>
            </w:r>
            <w:r w:rsidRPr="00903277">
              <w:rPr>
                <w:i/>
                <w:iCs/>
              </w:rPr>
              <w:t>)</w:t>
            </w:r>
          </w:p>
        </w:tc>
        <w:tc>
          <w:tcPr>
            <w:tcW w:w="5395" w:type="dxa"/>
          </w:tcPr>
          <w:p w14:paraId="398F460A" w14:textId="77777777" w:rsidR="00903277" w:rsidRPr="000B7EA8" w:rsidRDefault="00903277" w:rsidP="006A1C0C">
            <w:pPr>
              <w:tabs>
                <w:tab w:val="left" w:pos="1377"/>
              </w:tabs>
            </w:pPr>
            <w:r>
              <w:t>Standard Met</w:t>
            </w:r>
          </w:p>
        </w:tc>
      </w:tr>
      <w:tr w:rsidR="00903277" w14:paraId="50BB17F3" w14:textId="77777777" w:rsidTr="00903277">
        <w:trPr>
          <w:trHeight w:val="720"/>
          <w:jc w:val="center"/>
        </w:trPr>
        <w:tc>
          <w:tcPr>
            <w:tcW w:w="4140" w:type="dxa"/>
          </w:tcPr>
          <w:p w14:paraId="42A8DF47" w14:textId="471EFC4E" w:rsidR="00903277" w:rsidRPr="000B7EA8" w:rsidRDefault="00903277" w:rsidP="006A1C0C">
            <w:pPr>
              <w:tabs>
                <w:tab w:val="left" w:pos="1377"/>
              </w:tabs>
            </w:pPr>
            <w:r>
              <w:t>Parent and Family Engagement</w:t>
            </w:r>
            <w:proofErr w:type="gramStart"/>
            <w:r>
              <w:t xml:space="preserve">   </w:t>
            </w:r>
            <w:r w:rsidRPr="00903277"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 xml:space="preserve">LCAP </w:t>
            </w:r>
            <w:r w:rsidRPr="00903277">
              <w:rPr>
                <w:i/>
                <w:iCs/>
              </w:rPr>
              <w:t>Goal 3)</w:t>
            </w:r>
          </w:p>
        </w:tc>
        <w:tc>
          <w:tcPr>
            <w:tcW w:w="5395" w:type="dxa"/>
          </w:tcPr>
          <w:p w14:paraId="638A6E6C" w14:textId="77777777" w:rsidR="00903277" w:rsidRPr="000B7EA8" w:rsidRDefault="00903277" w:rsidP="006A1C0C">
            <w:pPr>
              <w:tabs>
                <w:tab w:val="left" w:pos="1377"/>
              </w:tabs>
            </w:pPr>
            <w:r>
              <w:t>Standard Met</w:t>
            </w:r>
          </w:p>
        </w:tc>
      </w:tr>
      <w:tr w:rsidR="00903277" w14:paraId="69E92590" w14:textId="77777777" w:rsidTr="00903277">
        <w:trPr>
          <w:trHeight w:val="720"/>
          <w:jc w:val="center"/>
        </w:trPr>
        <w:tc>
          <w:tcPr>
            <w:tcW w:w="4140" w:type="dxa"/>
          </w:tcPr>
          <w:p w14:paraId="35E8FC50" w14:textId="77777777" w:rsidR="0064553F" w:rsidRDefault="00903277" w:rsidP="006A1C0C">
            <w:pPr>
              <w:tabs>
                <w:tab w:val="left" w:pos="1377"/>
              </w:tabs>
            </w:pPr>
            <w:r>
              <w:t>Parent Involvement in Decision Making and Participation in Programs</w:t>
            </w:r>
            <w:r w:rsidR="0064553F">
              <w:t xml:space="preserve"> </w:t>
            </w:r>
          </w:p>
          <w:p w14:paraId="69C0199E" w14:textId="1E8D830B" w:rsidR="00903277" w:rsidRDefault="0064553F" w:rsidP="006A1C0C">
            <w:pPr>
              <w:tabs>
                <w:tab w:val="left" w:pos="1377"/>
              </w:tabs>
            </w:pPr>
            <w:r w:rsidRPr="0064553F">
              <w:rPr>
                <w:i/>
                <w:iCs/>
              </w:rPr>
              <w:t>(LCAP Goal 3)</w:t>
            </w:r>
          </w:p>
        </w:tc>
        <w:tc>
          <w:tcPr>
            <w:tcW w:w="5395" w:type="dxa"/>
          </w:tcPr>
          <w:p w14:paraId="09A3BF28" w14:textId="2B2F8529" w:rsidR="00903277" w:rsidRDefault="00903277" w:rsidP="006A1C0C">
            <w:pPr>
              <w:tabs>
                <w:tab w:val="left" w:pos="1377"/>
              </w:tabs>
            </w:pPr>
            <w:r>
              <w:t>Full implementation and sustainability, with a continued increase in participation in 2022-23</w:t>
            </w:r>
          </w:p>
        </w:tc>
      </w:tr>
      <w:tr w:rsidR="00903277" w14:paraId="68BC124A" w14:textId="77777777" w:rsidTr="00903277">
        <w:trPr>
          <w:trHeight w:val="720"/>
          <w:jc w:val="center"/>
        </w:trPr>
        <w:tc>
          <w:tcPr>
            <w:tcW w:w="4140" w:type="dxa"/>
          </w:tcPr>
          <w:p w14:paraId="51260BFB" w14:textId="77777777" w:rsidR="0064553F" w:rsidRDefault="00903277" w:rsidP="006A1C0C">
            <w:pPr>
              <w:tabs>
                <w:tab w:val="left" w:pos="1377"/>
              </w:tabs>
            </w:pPr>
            <w:r>
              <w:t xml:space="preserve">Local Climate Survey.  </w:t>
            </w:r>
          </w:p>
          <w:p w14:paraId="3492A2A4" w14:textId="6181F1CC" w:rsidR="00903277" w:rsidRPr="000B7EA8" w:rsidRDefault="00903277" w:rsidP="006A1C0C">
            <w:pPr>
              <w:tabs>
                <w:tab w:val="left" w:pos="1377"/>
              </w:tabs>
            </w:pPr>
            <w:r w:rsidRPr="00903277">
              <w:rPr>
                <w:i/>
                <w:iCs/>
              </w:rPr>
              <w:t>(LCAP Goal</w:t>
            </w:r>
            <w:r w:rsidR="0064553F">
              <w:rPr>
                <w:i/>
                <w:iCs/>
              </w:rPr>
              <w:t>s</w:t>
            </w:r>
            <w:r w:rsidRPr="0090327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</w:t>
            </w:r>
            <w:r w:rsidR="0064553F">
              <w:rPr>
                <w:i/>
                <w:iCs/>
              </w:rPr>
              <w:t xml:space="preserve"> and 3</w:t>
            </w:r>
            <w:r w:rsidRPr="00903277">
              <w:rPr>
                <w:i/>
                <w:iCs/>
              </w:rPr>
              <w:t>)</w:t>
            </w:r>
          </w:p>
        </w:tc>
        <w:tc>
          <w:tcPr>
            <w:tcW w:w="5395" w:type="dxa"/>
          </w:tcPr>
          <w:p w14:paraId="78762D7D" w14:textId="77777777" w:rsidR="00903277" w:rsidRPr="000B7EA8" w:rsidRDefault="00903277" w:rsidP="006A1C0C">
            <w:pPr>
              <w:tabs>
                <w:tab w:val="left" w:pos="1377"/>
              </w:tabs>
            </w:pPr>
            <w:r>
              <w:t>Standard Met</w:t>
            </w:r>
          </w:p>
        </w:tc>
      </w:tr>
      <w:tr w:rsidR="00903277" w14:paraId="451D9461" w14:textId="77777777" w:rsidTr="00903277">
        <w:trPr>
          <w:trHeight w:val="720"/>
          <w:jc w:val="center"/>
        </w:trPr>
        <w:tc>
          <w:tcPr>
            <w:tcW w:w="4140" w:type="dxa"/>
          </w:tcPr>
          <w:p w14:paraId="121680B8" w14:textId="7701E232" w:rsidR="00903277" w:rsidRPr="000B7EA8" w:rsidRDefault="00903277" w:rsidP="006A1C0C">
            <w:pPr>
              <w:tabs>
                <w:tab w:val="left" w:pos="1377"/>
              </w:tabs>
            </w:pPr>
            <w:r>
              <w:t xml:space="preserve">Access to a Broad Course of Study.  </w:t>
            </w:r>
            <w:r w:rsidRPr="00903277">
              <w:rPr>
                <w:i/>
                <w:iCs/>
              </w:rPr>
              <w:t xml:space="preserve">(LCAP Goal </w:t>
            </w:r>
            <w:r>
              <w:rPr>
                <w:i/>
                <w:iCs/>
              </w:rPr>
              <w:t>1</w:t>
            </w:r>
            <w:r w:rsidRPr="00903277">
              <w:rPr>
                <w:i/>
                <w:iCs/>
              </w:rPr>
              <w:t>)</w:t>
            </w:r>
          </w:p>
        </w:tc>
        <w:tc>
          <w:tcPr>
            <w:tcW w:w="5395" w:type="dxa"/>
          </w:tcPr>
          <w:p w14:paraId="0454D289" w14:textId="77777777" w:rsidR="00903277" w:rsidRPr="000B7EA8" w:rsidRDefault="00903277" w:rsidP="006A1C0C">
            <w:pPr>
              <w:tabs>
                <w:tab w:val="left" w:pos="1377"/>
              </w:tabs>
            </w:pPr>
            <w:r>
              <w:t>Standard Met</w:t>
            </w:r>
          </w:p>
        </w:tc>
      </w:tr>
      <w:tr w:rsidR="00903277" w:rsidRPr="000B7EA8" w14:paraId="50ED1411" w14:textId="77777777" w:rsidTr="006A1C0C">
        <w:trPr>
          <w:trHeight w:val="720"/>
          <w:jc w:val="center"/>
        </w:trPr>
        <w:tc>
          <w:tcPr>
            <w:tcW w:w="4140" w:type="dxa"/>
          </w:tcPr>
          <w:p w14:paraId="62E1372A" w14:textId="77777777" w:rsidR="00903277" w:rsidRDefault="00903277" w:rsidP="006A1C0C">
            <w:pPr>
              <w:tabs>
                <w:tab w:val="left" w:pos="1377"/>
              </w:tabs>
              <w:rPr>
                <w:i/>
                <w:iCs/>
              </w:rPr>
            </w:pPr>
            <w:r w:rsidRPr="000B7EA8">
              <w:t>Suspension Rate</w:t>
            </w:r>
            <w:r>
              <w:t xml:space="preserve">.  </w:t>
            </w:r>
            <w:r w:rsidRPr="00903277">
              <w:rPr>
                <w:i/>
                <w:iCs/>
              </w:rPr>
              <w:t xml:space="preserve">(LCAP Goal </w:t>
            </w:r>
            <w:r>
              <w:rPr>
                <w:i/>
                <w:iCs/>
              </w:rPr>
              <w:t>2</w:t>
            </w:r>
            <w:r w:rsidRPr="00903277">
              <w:rPr>
                <w:i/>
                <w:iCs/>
              </w:rPr>
              <w:t>)</w:t>
            </w:r>
          </w:p>
          <w:p w14:paraId="0E073CAD" w14:textId="24016F87" w:rsidR="00903277" w:rsidRPr="00903277" w:rsidRDefault="00903277" w:rsidP="006A1C0C">
            <w:pPr>
              <w:tabs>
                <w:tab w:val="left" w:pos="1377"/>
              </w:tabs>
            </w:pPr>
            <w:r>
              <w:t>Expulsion Rate</w:t>
            </w:r>
          </w:p>
        </w:tc>
        <w:tc>
          <w:tcPr>
            <w:tcW w:w="5395" w:type="dxa"/>
          </w:tcPr>
          <w:p w14:paraId="7F811158" w14:textId="77777777" w:rsidR="00903277" w:rsidRDefault="00903277" w:rsidP="006A1C0C">
            <w:pPr>
              <w:tabs>
                <w:tab w:val="left" w:pos="1377"/>
              </w:tabs>
            </w:pPr>
            <w:r>
              <w:t>Maintained rate of 0.2% (Blue on Dashboard)</w:t>
            </w:r>
          </w:p>
          <w:p w14:paraId="46AF5F70" w14:textId="1C49A9D1" w:rsidR="00903277" w:rsidRPr="000B7EA8" w:rsidRDefault="00F941B3" w:rsidP="006A1C0C">
            <w:pPr>
              <w:tabs>
                <w:tab w:val="left" w:pos="1377"/>
              </w:tabs>
            </w:pPr>
            <w:r>
              <w:t>Maintained at 0</w:t>
            </w:r>
          </w:p>
        </w:tc>
      </w:tr>
      <w:tr w:rsidR="00903277" w:rsidRPr="000B7EA8" w14:paraId="71F06FFD" w14:textId="77777777" w:rsidTr="006A1C0C">
        <w:trPr>
          <w:trHeight w:val="720"/>
          <w:jc w:val="center"/>
        </w:trPr>
        <w:tc>
          <w:tcPr>
            <w:tcW w:w="4140" w:type="dxa"/>
          </w:tcPr>
          <w:p w14:paraId="3227BBD9" w14:textId="6BB62048" w:rsidR="00903277" w:rsidRPr="000B7EA8" w:rsidRDefault="00903277" w:rsidP="006A1C0C">
            <w:pPr>
              <w:tabs>
                <w:tab w:val="left" w:pos="1377"/>
              </w:tabs>
            </w:pPr>
            <w:r>
              <w:t xml:space="preserve">Dropout Rate.  </w:t>
            </w:r>
            <w:r w:rsidRPr="00903277">
              <w:rPr>
                <w:i/>
                <w:iCs/>
              </w:rPr>
              <w:t xml:space="preserve">(LCAP Goal </w:t>
            </w:r>
            <w:r>
              <w:rPr>
                <w:i/>
                <w:iCs/>
              </w:rPr>
              <w:t>2</w:t>
            </w:r>
            <w:r w:rsidRPr="00903277">
              <w:rPr>
                <w:i/>
                <w:iCs/>
              </w:rPr>
              <w:t>)</w:t>
            </w:r>
          </w:p>
        </w:tc>
        <w:tc>
          <w:tcPr>
            <w:tcW w:w="5395" w:type="dxa"/>
          </w:tcPr>
          <w:p w14:paraId="395E4E59" w14:textId="6E9D1C0A" w:rsidR="00903277" w:rsidRPr="000B7EA8" w:rsidRDefault="00F941B3" w:rsidP="006A1C0C">
            <w:pPr>
              <w:tabs>
                <w:tab w:val="left" w:pos="1377"/>
              </w:tabs>
            </w:pPr>
            <w:r>
              <w:t>0.69%</w:t>
            </w:r>
          </w:p>
        </w:tc>
      </w:tr>
      <w:tr w:rsidR="00903277" w:rsidRPr="000B7EA8" w14:paraId="20FE56CB" w14:textId="77777777" w:rsidTr="00903277">
        <w:trPr>
          <w:trHeight w:val="720"/>
          <w:jc w:val="center"/>
        </w:trPr>
        <w:tc>
          <w:tcPr>
            <w:tcW w:w="4140" w:type="dxa"/>
          </w:tcPr>
          <w:p w14:paraId="1AD23970" w14:textId="347EAE7B" w:rsidR="00903277" w:rsidRPr="000B7EA8" w:rsidRDefault="00903277" w:rsidP="006A1C0C">
            <w:pPr>
              <w:tabs>
                <w:tab w:val="left" w:pos="1377"/>
              </w:tabs>
            </w:pPr>
            <w:r>
              <w:t xml:space="preserve">Attendance and Chronic Absenteeism.  </w:t>
            </w:r>
            <w:r w:rsidRPr="00903277">
              <w:rPr>
                <w:i/>
                <w:iCs/>
              </w:rPr>
              <w:t xml:space="preserve">(LCAP Goal </w:t>
            </w:r>
            <w:r>
              <w:rPr>
                <w:i/>
                <w:iCs/>
              </w:rPr>
              <w:t>2</w:t>
            </w:r>
            <w:r w:rsidRPr="00903277">
              <w:rPr>
                <w:i/>
                <w:iCs/>
              </w:rPr>
              <w:t>)</w:t>
            </w:r>
          </w:p>
        </w:tc>
        <w:tc>
          <w:tcPr>
            <w:tcW w:w="5395" w:type="dxa"/>
          </w:tcPr>
          <w:p w14:paraId="0A08158D" w14:textId="266C23A6" w:rsidR="00903277" w:rsidRDefault="00903277" w:rsidP="006A1C0C">
            <w:pPr>
              <w:tabs>
                <w:tab w:val="left" w:pos="1377"/>
              </w:tabs>
            </w:pPr>
            <w:r>
              <w:t xml:space="preserve">Attendance </w:t>
            </w:r>
            <w:r w:rsidR="00F941B3" w:rsidRPr="00F941B3">
              <w:t xml:space="preserve">= </w:t>
            </w:r>
            <w:r w:rsidR="006F3911" w:rsidRPr="00F941B3">
              <w:t>90%</w:t>
            </w:r>
          </w:p>
          <w:p w14:paraId="0DF23C42" w14:textId="3B04B262" w:rsidR="00903277" w:rsidRPr="000B7EA8" w:rsidRDefault="00903277" w:rsidP="006A1C0C">
            <w:pPr>
              <w:tabs>
                <w:tab w:val="left" w:pos="1377"/>
              </w:tabs>
            </w:pPr>
            <w:r>
              <w:t>Chronic Absenteeism – 37.4%</w:t>
            </w:r>
          </w:p>
        </w:tc>
      </w:tr>
    </w:tbl>
    <w:p w14:paraId="4B095C1B" w14:textId="411F5731" w:rsidR="00903277" w:rsidRDefault="00903277"/>
    <w:p w14:paraId="1258FF0B" w14:textId="7B3D0C5A" w:rsidR="00903277" w:rsidRDefault="00903277"/>
    <w:p w14:paraId="700FE436" w14:textId="2CB2CDDA" w:rsidR="00903277" w:rsidRDefault="00903277"/>
    <w:p w14:paraId="3F1EA8CD" w14:textId="163E9CCA" w:rsidR="00903277" w:rsidRDefault="00903277"/>
    <w:p w14:paraId="3BBF0D7D" w14:textId="2735F052" w:rsidR="00903277" w:rsidRDefault="00BA10EF" w:rsidP="0090327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3277">
        <w:rPr>
          <w:b/>
          <w:bCs/>
        </w:rPr>
        <w:t>English Language Arts</w:t>
      </w:r>
      <w:r w:rsidR="005B0894" w:rsidRPr="00903277">
        <w:rPr>
          <w:b/>
          <w:bCs/>
        </w:rPr>
        <w:t xml:space="preserve"> Data</w:t>
      </w:r>
      <w:r w:rsidR="005B0894" w:rsidRPr="00903277">
        <w:rPr>
          <w:sz w:val="22"/>
          <w:szCs w:val="22"/>
        </w:rPr>
        <w:t>–</w:t>
      </w:r>
      <w:r w:rsidR="0064553F">
        <w:rPr>
          <w:sz w:val="22"/>
          <w:szCs w:val="22"/>
        </w:rPr>
        <w:t xml:space="preserve"> </w:t>
      </w:r>
      <w:r w:rsidR="00903277" w:rsidRPr="00903277">
        <w:rPr>
          <w:i/>
          <w:iCs/>
        </w:rPr>
        <w:t>(LCAP Goal 2)</w:t>
      </w:r>
      <w:r w:rsidR="005B0894" w:rsidRPr="00903277">
        <w:rPr>
          <w:sz w:val="22"/>
          <w:szCs w:val="22"/>
        </w:rPr>
        <w:t xml:space="preserve"> </w:t>
      </w:r>
    </w:p>
    <w:p w14:paraId="205FA934" w14:textId="48922C89" w:rsidR="005B0894" w:rsidRPr="00903277" w:rsidRDefault="00903277" w:rsidP="0090327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B0894" w:rsidRPr="00903277">
        <w:rPr>
          <w:sz w:val="22"/>
          <w:szCs w:val="22"/>
        </w:rPr>
        <w:t xml:space="preserve">from </w:t>
      </w:r>
      <w:r w:rsidR="00AA2B97" w:rsidRPr="00903277">
        <w:rPr>
          <w:sz w:val="22"/>
          <w:szCs w:val="22"/>
        </w:rPr>
        <w:t>state testing</w:t>
      </w:r>
      <w:r w:rsidR="005B0894" w:rsidRPr="00903277">
        <w:rPr>
          <w:sz w:val="22"/>
          <w:szCs w:val="22"/>
        </w:rPr>
        <w:t>, with comparison over time</w:t>
      </w:r>
    </w:p>
    <w:p w14:paraId="680800DE" w14:textId="72445D54" w:rsidR="005B0894" w:rsidRPr="00903277" w:rsidRDefault="005B0894">
      <w:pPr>
        <w:rPr>
          <w:i/>
          <w:iCs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0"/>
        <w:gridCol w:w="1633"/>
        <w:gridCol w:w="1633"/>
        <w:gridCol w:w="1794"/>
        <w:gridCol w:w="979"/>
        <w:gridCol w:w="933"/>
        <w:gridCol w:w="1846"/>
      </w:tblGrid>
      <w:tr w:rsidR="00453F43" w14:paraId="14F37F3D" w14:textId="77777777" w:rsidTr="009E5A78">
        <w:trPr>
          <w:trHeight w:val="800"/>
        </w:trPr>
        <w:tc>
          <w:tcPr>
            <w:tcW w:w="1705" w:type="dxa"/>
          </w:tcPr>
          <w:p w14:paraId="4103F322" w14:textId="44D5929C" w:rsidR="00453F43" w:rsidRPr="00F5176D" w:rsidRDefault="00453F43" w:rsidP="002C215A">
            <w:pPr>
              <w:jc w:val="center"/>
              <w:rPr>
                <w:b/>
                <w:bCs/>
                <w:sz w:val="22"/>
                <w:szCs w:val="22"/>
              </w:rPr>
            </w:pPr>
            <w:r w:rsidRPr="00F5176D">
              <w:rPr>
                <w:b/>
                <w:bCs/>
                <w:sz w:val="22"/>
                <w:szCs w:val="22"/>
              </w:rPr>
              <w:t>State SBAC test</w:t>
            </w:r>
          </w:p>
        </w:tc>
        <w:tc>
          <w:tcPr>
            <w:tcW w:w="1800" w:type="dxa"/>
          </w:tcPr>
          <w:p w14:paraId="2B2E6C57" w14:textId="7469A8CF" w:rsidR="00453F43" w:rsidRPr="0002175A" w:rsidRDefault="00453F43" w:rsidP="002C215A">
            <w:pPr>
              <w:jc w:val="center"/>
              <w:rPr>
                <w:sz w:val="22"/>
                <w:szCs w:val="22"/>
              </w:rPr>
            </w:pPr>
            <w:r w:rsidRPr="0002175A">
              <w:rPr>
                <w:sz w:val="22"/>
                <w:szCs w:val="22"/>
              </w:rPr>
              <w:t>2019 SBAC</w:t>
            </w:r>
          </w:p>
          <w:p w14:paraId="4F9345B4" w14:textId="370BBAA9" w:rsidR="00453F43" w:rsidRPr="0002175A" w:rsidRDefault="00453F43" w:rsidP="002C215A">
            <w:pPr>
              <w:jc w:val="center"/>
              <w:rPr>
                <w:sz w:val="22"/>
                <w:szCs w:val="22"/>
              </w:rPr>
            </w:pPr>
            <w:r w:rsidRPr="0002175A">
              <w:rPr>
                <w:sz w:val="22"/>
                <w:szCs w:val="22"/>
              </w:rPr>
              <w:t>(spring)</w:t>
            </w:r>
          </w:p>
        </w:tc>
        <w:tc>
          <w:tcPr>
            <w:tcW w:w="1800" w:type="dxa"/>
          </w:tcPr>
          <w:p w14:paraId="5FE5E8E0" w14:textId="48DD3E9D" w:rsidR="00453F43" w:rsidRPr="0002175A" w:rsidRDefault="00453F43" w:rsidP="002C215A">
            <w:pPr>
              <w:jc w:val="center"/>
              <w:rPr>
                <w:sz w:val="22"/>
                <w:szCs w:val="22"/>
              </w:rPr>
            </w:pPr>
            <w:r w:rsidRPr="0002175A">
              <w:rPr>
                <w:sz w:val="22"/>
                <w:szCs w:val="22"/>
              </w:rPr>
              <w:t>2021 SBAC</w:t>
            </w:r>
            <w:r w:rsidR="00F5176D">
              <w:rPr>
                <w:sz w:val="22"/>
                <w:szCs w:val="22"/>
              </w:rPr>
              <w:t>*</w:t>
            </w:r>
          </w:p>
        </w:tc>
        <w:tc>
          <w:tcPr>
            <w:tcW w:w="2041" w:type="dxa"/>
          </w:tcPr>
          <w:p w14:paraId="1223B517" w14:textId="6AB7E453" w:rsidR="00453F43" w:rsidRPr="0002175A" w:rsidRDefault="00453F43" w:rsidP="002C215A">
            <w:pPr>
              <w:jc w:val="center"/>
              <w:rPr>
                <w:sz w:val="22"/>
                <w:szCs w:val="22"/>
              </w:rPr>
            </w:pPr>
            <w:r w:rsidRPr="0002175A">
              <w:rPr>
                <w:sz w:val="22"/>
                <w:szCs w:val="22"/>
              </w:rPr>
              <w:t>2022 SBAC</w:t>
            </w:r>
            <w:r w:rsidR="00F5176D">
              <w:rPr>
                <w:sz w:val="22"/>
                <w:szCs w:val="22"/>
              </w:rPr>
              <w:t>*</w:t>
            </w:r>
          </w:p>
        </w:tc>
        <w:tc>
          <w:tcPr>
            <w:tcW w:w="4770" w:type="dxa"/>
            <w:gridSpan w:val="3"/>
          </w:tcPr>
          <w:p w14:paraId="31AB88E5" w14:textId="33078745" w:rsidR="00453F43" w:rsidRPr="002C215A" w:rsidRDefault="00453F43" w:rsidP="002C215A">
            <w:pPr>
              <w:jc w:val="center"/>
              <w:rPr>
                <w:i/>
                <w:iCs/>
              </w:rPr>
            </w:pPr>
            <w:r w:rsidRPr="002C215A">
              <w:rPr>
                <w:i/>
                <w:iCs/>
              </w:rPr>
              <w:t>202</w:t>
            </w:r>
            <w:r w:rsidR="0010250E">
              <w:rPr>
                <w:i/>
                <w:iCs/>
              </w:rPr>
              <w:t>3</w:t>
            </w:r>
            <w:r w:rsidRPr="002C215A">
              <w:rPr>
                <w:i/>
                <w:iCs/>
              </w:rPr>
              <w:t xml:space="preserve"> SBAC Scores </w:t>
            </w:r>
            <w:r w:rsidR="0010250E">
              <w:rPr>
                <w:i/>
                <w:iCs/>
              </w:rPr>
              <w:t xml:space="preserve">with additional </w:t>
            </w:r>
            <w:r w:rsidR="009E5A78">
              <w:rPr>
                <w:i/>
                <w:iCs/>
              </w:rPr>
              <w:t>information</w:t>
            </w:r>
          </w:p>
        </w:tc>
      </w:tr>
      <w:tr w:rsidR="00453F43" w14:paraId="077A5830" w14:textId="77777777" w:rsidTr="009E5A78">
        <w:trPr>
          <w:trHeight w:val="864"/>
        </w:trPr>
        <w:tc>
          <w:tcPr>
            <w:tcW w:w="1705" w:type="dxa"/>
          </w:tcPr>
          <w:p w14:paraId="61499E7C" w14:textId="364C4D33" w:rsidR="00453F43" w:rsidRPr="005B0894" w:rsidRDefault="006F75B1" w:rsidP="002C2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CAASPP website</w:t>
            </w:r>
            <w:r w:rsidR="00453F43" w:rsidRPr="005B0894">
              <w:rPr>
                <w:sz w:val="22"/>
                <w:szCs w:val="22"/>
              </w:rPr>
              <w:t xml:space="preserve"> – </w:t>
            </w:r>
          </w:p>
          <w:p w14:paraId="5C6506C6" w14:textId="7F4E3E4D" w:rsidR="00453F43" w:rsidRDefault="00453F43" w:rsidP="002C215A">
            <w:r w:rsidRPr="005B0894">
              <w:rPr>
                <w:sz w:val="22"/>
                <w:szCs w:val="22"/>
              </w:rPr>
              <w:t xml:space="preserve">% meeting </w:t>
            </w:r>
            <w:r>
              <w:rPr>
                <w:sz w:val="22"/>
                <w:szCs w:val="22"/>
              </w:rPr>
              <w:t>or</w:t>
            </w:r>
            <w:r w:rsidRPr="005B0894">
              <w:rPr>
                <w:sz w:val="22"/>
                <w:szCs w:val="22"/>
              </w:rPr>
              <w:t xml:space="preserve"> exceeding standards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F631C4" w14:textId="25DE3EBA" w:rsidR="00BA10EF" w:rsidRDefault="00BA10EF" w:rsidP="0018700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187005">
              <w:rPr>
                <w:sz w:val="20"/>
                <w:szCs w:val="20"/>
              </w:rPr>
              <w:t xml:space="preserve">Schoolwide: </w:t>
            </w:r>
          </w:p>
          <w:p w14:paraId="5A19221C" w14:textId="1EF3ED6F" w:rsidR="006F75B1" w:rsidRPr="00187005" w:rsidRDefault="00861C21" w:rsidP="001870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57.03</w:t>
            </w:r>
            <w:r w:rsidR="006F75B1">
              <w:rPr>
                <w:sz w:val="20"/>
                <w:szCs w:val="20"/>
              </w:rPr>
              <w:t>%</w:t>
            </w:r>
          </w:p>
          <w:p w14:paraId="03E0115C" w14:textId="44C4A6B2" w:rsidR="00BA10EF" w:rsidRPr="00187005" w:rsidRDefault="00BA10EF" w:rsidP="0018700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187005">
              <w:rPr>
                <w:sz w:val="20"/>
                <w:szCs w:val="20"/>
              </w:rPr>
              <w:t xml:space="preserve">Hispanic: </w:t>
            </w:r>
            <w:r w:rsidR="006F75B1">
              <w:rPr>
                <w:sz w:val="20"/>
                <w:szCs w:val="20"/>
              </w:rPr>
              <w:t>51.16</w:t>
            </w:r>
            <w:r w:rsidRPr="00187005">
              <w:rPr>
                <w:sz w:val="20"/>
                <w:szCs w:val="20"/>
              </w:rPr>
              <w:t xml:space="preserve">% </w:t>
            </w:r>
          </w:p>
          <w:p w14:paraId="4606B224" w14:textId="0B78524B" w:rsidR="00BA10EF" w:rsidRPr="00187005" w:rsidRDefault="00BA10EF" w:rsidP="0018700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187005">
              <w:rPr>
                <w:sz w:val="20"/>
                <w:szCs w:val="20"/>
              </w:rPr>
              <w:t xml:space="preserve">SED: </w:t>
            </w:r>
            <w:r w:rsidR="006F75B1">
              <w:rPr>
                <w:sz w:val="20"/>
                <w:szCs w:val="20"/>
              </w:rPr>
              <w:t>48.34</w:t>
            </w:r>
            <w:r w:rsidRPr="00187005">
              <w:rPr>
                <w:sz w:val="20"/>
                <w:szCs w:val="20"/>
              </w:rPr>
              <w:t xml:space="preserve">% </w:t>
            </w:r>
          </w:p>
          <w:p w14:paraId="09ECE001" w14:textId="4AF3A0A6" w:rsidR="00BA10EF" w:rsidRPr="00187005" w:rsidRDefault="00BA10EF" w:rsidP="0018700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187005">
              <w:rPr>
                <w:sz w:val="20"/>
                <w:szCs w:val="20"/>
              </w:rPr>
              <w:t xml:space="preserve">SWD: </w:t>
            </w:r>
            <w:r w:rsidR="006F75B1">
              <w:rPr>
                <w:sz w:val="20"/>
                <w:szCs w:val="20"/>
              </w:rPr>
              <w:t>36.36</w:t>
            </w:r>
            <w:r w:rsidRPr="00187005">
              <w:rPr>
                <w:sz w:val="20"/>
                <w:szCs w:val="20"/>
              </w:rPr>
              <w:t xml:space="preserve">% </w:t>
            </w:r>
          </w:p>
          <w:p w14:paraId="6D43CFDD" w14:textId="5F157A31" w:rsidR="00453F43" w:rsidRPr="00187005" w:rsidRDefault="006F75B1" w:rsidP="001870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ELs</w:t>
            </w:r>
            <w:r w:rsidR="00BA10EF" w:rsidRPr="0018700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F75B1">
              <w:rPr>
                <w:rFonts w:ascii="Arial" w:hAnsi="Arial" w:cs="Arial"/>
                <w:i/>
                <w:iCs/>
                <w:sz w:val="20"/>
                <w:szCs w:val="20"/>
              </w:rPr>
              <w:t>no report, fewer than 10 students tested</w:t>
            </w:r>
            <w:r w:rsidR="00BA10EF" w:rsidRPr="001870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A25B21" w14:textId="77777777" w:rsidR="00453F43" w:rsidRPr="00187005" w:rsidRDefault="00453F43" w:rsidP="001870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AC1BBF0" w14:textId="296E253D" w:rsidR="00453F43" w:rsidRPr="00187005" w:rsidRDefault="00453F43" w:rsidP="001870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B2A6FC" w14:textId="77777777" w:rsidR="006F75B1" w:rsidRPr="006F75B1" w:rsidRDefault="00BA10EF" w:rsidP="0018700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F75B1">
              <w:rPr>
                <w:sz w:val="20"/>
                <w:szCs w:val="20"/>
              </w:rPr>
              <w:t xml:space="preserve">Schoolwide: </w:t>
            </w:r>
          </w:p>
          <w:p w14:paraId="00A81E29" w14:textId="2EA375A1" w:rsidR="00BA10EF" w:rsidRPr="006F75B1" w:rsidRDefault="006F75B1" w:rsidP="001870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49.16</w:t>
            </w:r>
            <w:r w:rsidR="00BA10EF" w:rsidRPr="006F75B1">
              <w:rPr>
                <w:sz w:val="20"/>
                <w:szCs w:val="20"/>
              </w:rPr>
              <w:t xml:space="preserve">% </w:t>
            </w:r>
          </w:p>
          <w:p w14:paraId="4C99B813" w14:textId="75E4FB40" w:rsidR="00BA10EF" w:rsidRPr="006F75B1" w:rsidRDefault="00BA10EF" w:rsidP="0018700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F75B1">
              <w:rPr>
                <w:sz w:val="20"/>
                <w:szCs w:val="20"/>
              </w:rPr>
              <w:t xml:space="preserve">Hispanic: </w:t>
            </w:r>
            <w:r w:rsidR="006F75B1">
              <w:rPr>
                <w:sz w:val="20"/>
                <w:szCs w:val="20"/>
              </w:rPr>
              <w:t>46.25</w:t>
            </w:r>
            <w:r w:rsidRPr="006F75B1">
              <w:rPr>
                <w:sz w:val="20"/>
                <w:szCs w:val="20"/>
              </w:rPr>
              <w:t xml:space="preserve">% </w:t>
            </w:r>
          </w:p>
          <w:p w14:paraId="40379F0C" w14:textId="64C60179" w:rsidR="00BA10EF" w:rsidRPr="006F75B1" w:rsidRDefault="00BA10EF" w:rsidP="0018700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F75B1">
              <w:rPr>
                <w:sz w:val="20"/>
                <w:szCs w:val="20"/>
              </w:rPr>
              <w:t xml:space="preserve">SED: </w:t>
            </w:r>
            <w:r w:rsidR="006F75B1">
              <w:rPr>
                <w:sz w:val="20"/>
                <w:szCs w:val="20"/>
              </w:rPr>
              <w:t>47.78</w:t>
            </w:r>
            <w:r w:rsidRPr="006F75B1">
              <w:rPr>
                <w:sz w:val="20"/>
                <w:szCs w:val="20"/>
              </w:rPr>
              <w:t xml:space="preserve">% </w:t>
            </w:r>
          </w:p>
          <w:p w14:paraId="30DD751D" w14:textId="1DFFD6D8" w:rsidR="00BA10EF" w:rsidRPr="006F75B1" w:rsidRDefault="00BA10EF" w:rsidP="0018700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F75B1">
              <w:rPr>
                <w:sz w:val="20"/>
                <w:szCs w:val="20"/>
              </w:rPr>
              <w:t xml:space="preserve">SWD: </w:t>
            </w:r>
            <w:r w:rsidR="006F75B1">
              <w:rPr>
                <w:sz w:val="20"/>
                <w:szCs w:val="20"/>
              </w:rPr>
              <w:t>6.67</w:t>
            </w:r>
            <w:r w:rsidRPr="006F75B1">
              <w:rPr>
                <w:sz w:val="20"/>
                <w:szCs w:val="20"/>
              </w:rPr>
              <w:t xml:space="preserve">% </w:t>
            </w:r>
          </w:p>
          <w:p w14:paraId="6553B024" w14:textId="35891EAC" w:rsidR="00453F43" w:rsidRPr="006F75B1" w:rsidRDefault="006F75B1" w:rsidP="001870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ELs</w:t>
            </w:r>
            <w:r w:rsidR="00BA10EF" w:rsidRPr="006F75B1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15.38</w:t>
            </w:r>
            <w:r w:rsidR="00BA10EF" w:rsidRPr="006F75B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61D3D34F" w14:textId="7575739A" w:rsidR="00453F43" w:rsidRPr="006F75B1" w:rsidRDefault="00453F43" w:rsidP="002C215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F75B1">
              <w:rPr>
                <w:sz w:val="20"/>
                <w:szCs w:val="20"/>
              </w:rPr>
              <w:t>Schoolwide</w:t>
            </w:r>
            <w:r w:rsidR="00BA10EF" w:rsidRPr="006F75B1">
              <w:rPr>
                <w:sz w:val="20"/>
                <w:szCs w:val="20"/>
              </w:rPr>
              <w:t>:</w:t>
            </w:r>
            <w:r w:rsidR="009E5A78">
              <w:rPr>
                <w:sz w:val="20"/>
                <w:szCs w:val="20"/>
              </w:rPr>
              <w:t xml:space="preserve"> </w:t>
            </w:r>
            <w:r w:rsidR="006F75B1">
              <w:rPr>
                <w:sz w:val="20"/>
                <w:szCs w:val="20"/>
              </w:rPr>
              <w:t>43.67</w:t>
            </w:r>
            <w:r w:rsidR="00BA10EF" w:rsidRPr="006F75B1">
              <w:rPr>
                <w:sz w:val="20"/>
                <w:szCs w:val="20"/>
              </w:rPr>
              <w:t>%</w:t>
            </w:r>
          </w:p>
          <w:p w14:paraId="165E719E" w14:textId="58640B26" w:rsidR="00453F43" w:rsidRPr="006F75B1" w:rsidRDefault="00453F43" w:rsidP="002C21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75B1">
              <w:rPr>
                <w:rFonts w:ascii="Arial" w:hAnsi="Arial" w:cs="Arial"/>
                <w:sz w:val="20"/>
                <w:szCs w:val="20"/>
              </w:rPr>
              <w:t>Hispanic:</w:t>
            </w:r>
            <w:r w:rsidR="006F75B1" w:rsidRPr="006F75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5B1">
              <w:rPr>
                <w:rFonts w:ascii="Arial" w:hAnsi="Arial" w:cs="Arial"/>
                <w:sz w:val="20"/>
                <w:szCs w:val="20"/>
              </w:rPr>
              <w:t>40</w:t>
            </w:r>
            <w:r w:rsidR="00BA10EF" w:rsidRPr="006F75B1">
              <w:rPr>
                <w:rFonts w:ascii="Arial" w:hAnsi="Arial" w:cs="Arial"/>
                <w:sz w:val="20"/>
                <w:szCs w:val="20"/>
              </w:rPr>
              <w:t>%</w:t>
            </w:r>
            <w:r w:rsidRPr="006F75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396DCD" w14:textId="75A30CBA" w:rsidR="00453F43" w:rsidRPr="006F75B1" w:rsidRDefault="00453F43" w:rsidP="002C215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F75B1">
              <w:rPr>
                <w:sz w:val="20"/>
                <w:szCs w:val="20"/>
              </w:rPr>
              <w:t>SED:</w:t>
            </w:r>
            <w:r w:rsidR="006F75B1">
              <w:rPr>
                <w:sz w:val="20"/>
                <w:szCs w:val="20"/>
              </w:rPr>
              <w:t xml:space="preserve"> 39.05</w:t>
            </w:r>
            <w:r w:rsidRPr="006F75B1">
              <w:rPr>
                <w:sz w:val="20"/>
                <w:szCs w:val="20"/>
              </w:rPr>
              <w:t xml:space="preserve"> % </w:t>
            </w:r>
          </w:p>
          <w:p w14:paraId="76361C2C" w14:textId="3C546D45" w:rsidR="00453F43" w:rsidRPr="006F75B1" w:rsidRDefault="00453F43" w:rsidP="002C215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F75B1">
              <w:rPr>
                <w:sz w:val="20"/>
                <w:szCs w:val="20"/>
              </w:rPr>
              <w:t xml:space="preserve">SWD: </w:t>
            </w:r>
            <w:r w:rsidR="006F75B1">
              <w:rPr>
                <w:sz w:val="20"/>
                <w:szCs w:val="20"/>
              </w:rPr>
              <w:t>4.1</w:t>
            </w:r>
            <w:r w:rsidR="00BA10EF" w:rsidRPr="006F75B1">
              <w:rPr>
                <w:sz w:val="20"/>
                <w:szCs w:val="20"/>
              </w:rPr>
              <w:t>%</w:t>
            </w:r>
          </w:p>
          <w:p w14:paraId="017710C7" w14:textId="266D6A06" w:rsidR="00453F43" w:rsidRDefault="006F75B1" w:rsidP="002C215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</w:t>
            </w:r>
            <w:r w:rsidR="00453F43" w:rsidRPr="006F75B1">
              <w:rPr>
                <w:sz w:val="20"/>
                <w:szCs w:val="20"/>
              </w:rPr>
              <w:t xml:space="preserve">: </w:t>
            </w:r>
            <w:r w:rsidRPr="006F75B1">
              <w:rPr>
                <w:sz w:val="20"/>
                <w:szCs w:val="20"/>
                <w:highlight w:val="green"/>
              </w:rPr>
              <w:t xml:space="preserve"> 27.27</w:t>
            </w:r>
            <w:r w:rsidR="00187005" w:rsidRPr="006F75B1">
              <w:rPr>
                <w:sz w:val="20"/>
                <w:szCs w:val="20"/>
              </w:rPr>
              <w:t>%</w:t>
            </w:r>
          </w:p>
          <w:p w14:paraId="26996948" w14:textId="01F270AA" w:rsidR="00453F43" w:rsidRDefault="00453F43" w:rsidP="002C21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CD8DB23" w14:textId="77777777" w:rsidR="009E5A78" w:rsidRPr="006F75B1" w:rsidRDefault="009E5A78" w:rsidP="002C21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69939A1" w14:textId="2AC3724A" w:rsidR="00453F43" w:rsidRPr="006F75B1" w:rsidRDefault="00453F43" w:rsidP="002C21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14:paraId="48F1A788" w14:textId="270457A7" w:rsidR="009E5A78" w:rsidRPr="009E5A78" w:rsidRDefault="009E5A78" w:rsidP="009E5A78">
            <w:pPr>
              <w:pStyle w:val="Default"/>
              <w:spacing w:line="276" w:lineRule="auto"/>
              <w:rPr>
                <w:i/>
                <w:iCs/>
                <w:sz w:val="20"/>
                <w:szCs w:val="20"/>
              </w:rPr>
            </w:pPr>
            <w:r w:rsidRPr="009E5A78">
              <w:rPr>
                <w:i/>
                <w:iCs/>
                <w:sz w:val="20"/>
                <w:szCs w:val="20"/>
              </w:rPr>
              <w:t xml:space="preserve">Schoolwide: 40.0%. </w:t>
            </w:r>
          </w:p>
          <w:p w14:paraId="79B4E27F" w14:textId="5CD031F4" w:rsidR="009E5A78" w:rsidRPr="009E5A78" w:rsidRDefault="009E5A78" w:rsidP="009E5A78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5A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Hispanic: 36.71 </w:t>
            </w:r>
          </w:p>
          <w:p w14:paraId="2B621707" w14:textId="3A49B207" w:rsidR="009E5A78" w:rsidRPr="009E5A78" w:rsidRDefault="009E5A78" w:rsidP="009E5A78">
            <w:pPr>
              <w:pStyle w:val="Default"/>
              <w:spacing w:line="276" w:lineRule="auto"/>
              <w:rPr>
                <w:i/>
                <w:iCs/>
                <w:sz w:val="20"/>
                <w:szCs w:val="20"/>
              </w:rPr>
            </w:pPr>
            <w:r w:rsidRPr="009E5A78">
              <w:rPr>
                <w:i/>
                <w:iCs/>
                <w:sz w:val="20"/>
                <w:szCs w:val="20"/>
              </w:rPr>
              <w:t xml:space="preserve">SED: 36.59 % </w:t>
            </w:r>
          </w:p>
          <w:p w14:paraId="6D1A28CE" w14:textId="031F1D68" w:rsidR="009E5A78" w:rsidRPr="009E5A78" w:rsidRDefault="009E5A78" w:rsidP="009E5A78">
            <w:pPr>
              <w:pStyle w:val="Default"/>
              <w:spacing w:line="276" w:lineRule="auto"/>
              <w:rPr>
                <w:i/>
                <w:iCs/>
                <w:sz w:val="20"/>
                <w:szCs w:val="20"/>
              </w:rPr>
            </w:pPr>
            <w:r w:rsidRPr="009E5A78">
              <w:rPr>
                <w:i/>
                <w:iCs/>
                <w:sz w:val="20"/>
                <w:szCs w:val="20"/>
              </w:rPr>
              <w:t xml:space="preserve">SWD: </w:t>
            </w:r>
            <w:r w:rsidRPr="009E5A78">
              <w:rPr>
                <w:i/>
                <w:iCs/>
                <w:sz w:val="20"/>
                <w:szCs w:val="20"/>
                <w:highlight w:val="green"/>
              </w:rPr>
              <w:t>10.71%</w:t>
            </w:r>
          </w:p>
          <w:p w14:paraId="3CCA0FC0" w14:textId="12CE2065" w:rsidR="009E5A78" w:rsidRPr="009E5A78" w:rsidRDefault="009E5A78" w:rsidP="009E5A78">
            <w:pPr>
              <w:pStyle w:val="Default"/>
              <w:spacing w:line="276" w:lineRule="auto"/>
              <w:rPr>
                <w:i/>
                <w:iCs/>
                <w:sz w:val="20"/>
                <w:szCs w:val="20"/>
              </w:rPr>
            </w:pPr>
            <w:r w:rsidRPr="009E5A78">
              <w:rPr>
                <w:i/>
                <w:iCs/>
                <w:sz w:val="20"/>
                <w:szCs w:val="20"/>
              </w:rPr>
              <w:t>ELs: 5.88%</w:t>
            </w:r>
          </w:p>
          <w:p w14:paraId="3BB62B18" w14:textId="77777777" w:rsidR="00453F43" w:rsidRDefault="00453F43" w:rsidP="009E5A78">
            <w:pPr>
              <w:spacing w:line="360" w:lineRule="auto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14:paraId="0EFB24CC" w14:textId="5E2CF758" w:rsidR="009E5A78" w:rsidRDefault="009E5A78" w:rsidP="009E5A78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Highest Achievement Area – Research/Inquiry: How well can students find and present information about a topic?</w:t>
            </w:r>
          </w:p>
          <w:p w14:paraId="129694F4" w14:textId="77777777" w:rsidR="00F941B3" w:rsidRDefault="009E5A78" w:rsidP="009E5A78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 xml:space="preserve">Lowest Achievement Area –  </w:t>
            </w:r>
          </w:p>
          <w:p w14:paraId="3B248B30" w14:textId="7253C417" w:rsidR="009E5A78" w:rsidRPr="009E5A78" w:rsidRDefault="009E5A78" w:rsidP="009E5A78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Writing: How well do students communicate in writing?</w:t>
            </w:r>
          </w:p>
        </w:tc>
      </w:tr>
      <w:tr w:rsidR="003F6969" w14:paraId="408CCA86" w14:textId="77777777" w:rsidTr="009E5A78">
        <w:trPr>
          <w:trHeight w:val="530"/>
        </w:trPr>
        <w:tc>
          <w:tcPr>
            <w:tcW w:w="1705" w:type="dxa"/>
            <w:tcBorders>
              <w:right w:val="nil"/>
            </w:tcBorders>
            <w:shd w:val="clear" w:color="auto" w:fill="F2F2F2" w:themeFill="background1" w:themeFillShade="F2"/>
          </w:tcPr>
          <w:p w14:paraId="7B95E347" w14:textId="22B8867A" w:rsidR="0002175A" w:rsidRDefault="0002175A" w:rsidP="002C215A"/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3D23B0" w14:textId="77777777" w:rsidR="0002175A" w:rsidRPr="00BD4DF1" w:rsidRDefault="0002175A" w:rsidP="002C215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EEB63" w14:textId="77777777" w:rsidR="0002175A" w:rsidRPr="00BD4DF1" w:rsidRDefault="0002175A" w:rsidP="002C215A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E8DD46" w14:textId="77777777" w:rsidR="0002175A" w:rsidRPr="00BD4DF1" w:rsidRDefault="0002175A" w:rsidP="002C215A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7DBBFD" w14:textId="77777777" w:rsidR="0002175A" w:rsidRPr="00BD4DF1" w:rsidRDefault="0002175A" w:rsidP="002C215A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A1D8F6" w14:textId="77777777" w:rsidR="0002175A" w:rsidRPr="00BD4DF1" w:rsidRDefault="0002175A" w:rsidP="002C215A">
            <w:pPr>
              <w:rPr>
                <w:sz w:val="21"/>
                <w:szCs w:val="21"/>
              </w:rPr>
            </w:pPr>
          </w:p>
        </w:tc>
        <w:tc>
          <w:tcPr>
            <w:tcW w:w="2461" w:type="dxa"/>
            <w:tcBorders>
              <w:left w:val="nil"/>
            </w:tcBorders>
            <w:shd w:val="clear" w:color="auto" w:fill="F2F2F2" w:themeFill="background1" w:themeFillShade="F2"/>
          </w:tcPr>
          <w:p w14:paraId="230D3F8B" w14:textId="77777777" w:rsidR="0002175A" w:rsidRPr="00BD4DF1" w:rsidRDefault="0002175A" w:rsidP="002C215A">
            <w:pPr>
              <w:rPr>
                <w:sz w:val="21"/>
                <w:szCs w:val="21"/>
              </w:rPr>
            </w:pPr>
          </w:p>
        </w:tc>
      </w:tr>
      <w:tr w:rsidR="00F5176D" w14:paraId="5AD7BD5C" w14:textId="77777777" w:rsidTr="009E5A78">
        <w:trPr>
          <w:trHeight w:val="864"/>
        </w:trPr>
        <w:tc>
          <w:tcPr>
            <w:tcW w:w="1705" w:type="dxa"/>
          </w:tcPr>
          <w:p w14:paraId="744245BA" w14:textId="7C7F477B" w:rsidR="00F5176D" w:rsidRPr="00F5176D" w:rsidRDefault="00F5176D" w:rsidP="002C215A">
            <w:pPr>
              <w:rPr>
                <w:b/>
                <w:bCs/>
              </w:rPr>
            </w:pPr>
            <w:r w:rsidRPr="00F5176D">
              <w:rPr>
                <w:b/>
                <w:bCs/>
                <w:sz w:val="22"/>
                <w:szCs w:val="22"/>
              </w:rPr>
              <w:t>California Schools Dashboard</w:t>
            </w:r>
          </w:p>
        </w:tc>
        <w:tc>
          <w:tcPr>
            <w:tcW w:w="1800" w:type="dxa"/>
          </w:tcPr>
          <w:p w14:paraId="7C23DD01" w14:textId="25E2234E" w:rsidR="00F5176D" w:rsidRPr="00FD57E0" w:rsidRDefault="00F5176D" w:rsidP="002C215A">
            <w:pPr>
              <w:rPr>
                <w:rFonts w:ascii="Arial" w:hAnsi="Arial" w:cs="Arial"/>
                <w:sz w:val="20"/>
                <w:szCs w:val="20"/>
              </w:rPr>
            </w:pPr>
            <w:r w:rsidRPr="00FD57E0">
              <w:rPr>
                <w:rFonts w:ascii="Arial" w:hAnsi="Arial" w:cs="Arial"/>
                <w:sz w:val="20"/>
                <w:szCs w:val="20"/>
              </w:rPr>
              <w:t>All Students 2019:</w:t>
            </w:r>
          </w:p>
          <w:p w14:paraId="24CC42CB" w14:textId="77777777" w:rsidR="00F5176D" w:rsidRPr="00FD57E0" w:rsidRDefault="00F5176D" w:rsidP="002C2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9E29D" w14:textId="5B278483" w:rsidR="00F5176D" w:rsidRPr="00FD57E0" w:rsidRDefault="006F75B1" w:rsidP="002C215A">
            <w:pPr>
              <w:rPr>
                <w:rFonts w:ascii="Arial" w:hAnsi="Arial" w:cs="Arial"/>
                <w:sz w:val="20"/>
                <w:szCs w:val="20"/>
              </w:rPr>
            </w:pPr>
            <w:r w:rsidRPr="00FD57E0">
              <w:rPr>
                <w:rFonts w:ascii="Arial" w:hAnsi="Arial" w:cs="Arial"/>
                <w:sz w:val="20"/>
                <w:szCs w:val="20"/>
              </w:rPr>
              <w:t xml:space="preserve">5.3 </w:t>
            </w:r>
            <w:r w:rsidR="00F5176D" w:rsidRPr="00FD57E0">
              <w:rPr>
                <w:rFonts w:ascii="Arial" w:hAnsi="Arial" w:cs="Arial"/>
                <w:sz w:val="20"/>
                <w:szCs w:val="20"/>
              </w:rPr>
              <w:t xml:space="preserve">points </w:t>
            </w:r>
            <w:r w:rsidRPr="00FD57E0">
              <w:rPr>
                <w:rFonts w:ascii="Arial" w:hAnsi="Arial" w:cs="Arial"/>
                <w:sz w:val="20"/>
                <w:szCs w:val="20"/>
              </w:rPr>
              <w:t>above</w:t>
            </w:r>
            <w:r w:rsidR="00F5176D" w:rsidRPr="00FD57E0">
              <w:rPr>
                <w:rFonts w:ascii="Arial" w:hAnsi="Arial" w:cs="Arial"/>
                <w:sz w:val="20"/>
                <w:szCs w:val="20"/>
              </w:rPr>
              <w:t xml:space="preserve"> standard</w:t>
            </w:r>
          </w:p>
        </w:tc>
        <w:tc>
          <w:tcPr>
            <w:tcW w:w="1800" w:type="dxa"/>
          </w:tcPr>
          <w:p w14:paraId="58CE82F2" w14:textId="77777777" w:rsidR="006F75B1" w:rsidRPr="00FD57E0" w:rsidRDefault="00F5176D" w:rsidP="00F5176D">
            <w:pPr>
              <w:rPr>
                <w:rFonts w:ascii="Arial" w:hAnsi="Arial" w:cs="Arial"/>
                <w:sz w:val="20"/>
                <w:szCs w:val="20"/>
              </w:rPr>
            </w:pPr>
            <w:r w:rsidRPr="00FD57E0">
              <w:rPr>
                <w:rFonts w:ascii="Arial" w:hAnsi="Arial" w:cs="Arial"/>
                <w:sz w:val="20"/>
                <w:szCs w:val="20"/>
              </w:rPr>
              <w:t xml:space="preserve">All Students </w:t>
            </w:r>
          </w:p>
          <w:p w14:paraId="05430C6D" w14:textId="05825C1A" w:rsidR="006F75B1" w:rsidRPr="00FD57E0" w:rsidRDefault="006F75B1" w:rsidP="00F5176D">
            <w:pPr>
              <w:rPr>
                <w:rFonts w:ascii="Arial" w:hAnsi="Arial" w:cs="Arial"/>
                <w:sz w:val="20"/>
                <w:szCs w:val="20"/>
              </w:rPr>
            </w:pPr>
            <w:r w:rsidRPr="00FD57E0">
              <w:rPr>
                <w:rFonts w:ascii="Arial" w:hAnsi="Arial" w:cs="Arial"/>
                <w:sz w:val="20"/>
                <w:szCs w:val="20"/>
              </w:rPr>
              <w:t xml:space="preserve">2020* (no testing). </w:t>
            </w:r>
          </w:p>
          <w:p w14:paraId="550AC87A" w14:textId="5802FA24" w:rsidR="00F5176D" w:rsidRPr="00FD57E0" w:rsidRDefault="00F5176D" w:rsidP="00F5176D">
            <w:pPr>
              <w:rPr>
                <w:rFonts w:ascii="Arial" w:hAnsi="Arial" w:cs="Arial"/>
                <w:sz w:val="20"/>
                <w:szCs w:val="20"/>
              </w:rPr>
            </w:pPr>
            <w:r w:rsidRPr="00FD57E0">
              <w:rPr>
                <w:rFonts w:ascii="Arial" w:hAnsi="Arial" w:cs="Arial"/>
                <w:sz w:val="20"/>
                <w:szCs w:val="20"/>
              </w:rPr>
              <w:t>2021: *</w:t>
            </w:r>
          </w:p>
          <w:p w14:paraId="37F76632" w14:textId="3237E237" w:rsidR="00F5176D" w:rsidRPr="00FD57E0" w:rsidRDefault="00AA2B97" w:rsidP="002C215A">
            <w:pPr>
              <w:rPr>
                <w:rFonts w:ascii="Arial" w:hAnsi="Arial" w:cs="Arial"/>
                <w:sz w:val="20"/>
                <w:szCs w:val="20"/>
              </w:rPr>
            </w:pPr>
            <w:r w:rsidRPr="00FD57E0">
              <w:rPr>
                <w:rFonts w:ascii="Arial" w:hAnsi="Arial" w:cs="Arial"/>
                <w:sz w:val="20"/>
                <w:szCs w:val="20"/>
              </w:rPr>
              <w:t>(no Dashboard)</w:t>
            </w:r>
          </w:p>
        </w:tc>
        <w:tc>
          <w:tcPr>
            <w:tcW w:w="2041" w:type="dxa"/>
          </w:tcPr>
          <w:p w14:paraId="667D808D" w14:textId="4A7A162B" w:rsidR="00F5176D" w:rsidRPr="00FD57E0" w:rsidRDefault="00222CC3" w:rsidP="002C215A">
            <w:pPr>
              <w:rPr>
                <w:rFonts w:ascii="Arial" w:hAnsi="Arial" w:cs="Arial"/>
                <w:sz w:val="20"/>
                <w:szCs w:val="20"/>
              </w:rPr>
            </w:pPr>
            <w:r w:rsidRPr="00FD57E0">
              <w:rPr>
                <w:rFonts w:ascii="Arial" w:hAnsi="Arial" w:cs="Arial"/>
                <w:sz w:val="20"/>
                <w:szCs w:val="20"/>
              </w:rPr>
              <w:t>2022 -</w:t>
            </w:r>
            <w:r w:rsidR="00F5176D" w:rsidRPr="00FD57E0">
              <w:rPr>
                <w:rFonts w:ascii="Arial" w:hAnsi="Arial" w:cs="Arial"/>
                <w:sz w:val="20"/>
                <w:szCs w:val="20"/>
              </w:rPr>
              <w:t>All students:</w:t>
            </w:r>
          </w:p>
          <w:p w14:paraId="1176FB01" w14:textId="77777777" w:rsidR="00F5176D" w:rsidRPr="00FD57E0" w:rsidRDefault="006F75B1" w:rsidP="002C215A">
            <w:pPr>
              <w:rPr>
                <w:rFonts w:ascii="Arial" w:hAnsi="Arial" w:cs="Arial"/>
                <w:sz w:val="20"/>
                <w:szCs w:val="20"/>
              </w:rPr>
            </w:pPr>
            <w:r w:rsidRPr="00FD57E0">
              <w:rPr>
                <w:rFonts w:ascii="Arial" w:hAnsi="Arial" w:cs="Arial"/>
                <w:sz w:val="20"/>
                <w:szCs w:val="20"/>
              </w:rPr>
              <w:t xml:space="preserve">44.8 </w:t>
            </w:r>
            <w:r w:rsidR="00F5176D" w:rsidRPr="00FD57E0">
              <w:rPr>
                <w:rFonts w:ascii="Arial" w:hAnsi="Arial" w:cs="Arial"/>
                <w:sz w:val="20"/>
                <w:szCs w:val="20"/>
              </w:rPr>
              <w:t xml:space="preserve">points </w:t>
            </w:r>
            <w:r w:rsidRPr="00FD57E0">
              <w:rPr>
                <w:rFonts w:ascii="Arial" w:hAnsi="Arial" w:cs="Arial"/>
                <w:sz w:val="20"/>
                <w:szCs w:val="20"/>
              </w:rPr>
              <w:t xml:space="preserve">below </w:t>
            </w:r>
            <w:r w:rsidR="00F5176D" w:rsidRPr="00FD57E0">
              <w:rPr>
                <w:rFonts w:ascii="Arial" w:hAnsi="Arial" w:cs="Arial"/>
                <w:sz w:val="20"/>
                <w:szCs w:val="20"/>
              </w:rPr>
              <w:t>standard</w:t>
            </w:r>
          </w:p>
          <w:p w14:paraId="0FFB6643" w14:textId="58DFB81D" w:rsidR="00222CC3" w:rsidRPr="00FD57E0" w:rsidRDefault="00222CC3" w:rsidP="00222CC3">
            <w:pPr>
              <w:rPr>
                <w:rFonts w:ascii="Arial" w:hAnsi="Arial" w:cs="Arial"/>
                <w:sz w:val="20"/>
                <w:szCs w:val="20"/>
              </w:rPr>
            </w:pPr>
            <w:r w:rsidRPr="00FD57E0">
              <w:rPr>
                <w:rFonts w:ascii="Arial" w:hAnsi="Arial" w:cs="Arial"/>
                <w:sz w:val="20"/>
                <w:szCs w:val="20"/>
              </w:rPr>
              <w:t xml:space="preserve">Hispanic students: 48.7 points below </w:t>
            </w:r>
          </w:p>
          <w:p w14:paraId="3A8EDEB3" w14:textId="3A67FDFA" w:rsidR="00222CC3" w:rsidRPr="00FD57E0" w:rsidRDefault="00222CC3" w:rsidP="00222CC3">
            <w:pPr>
              <w:rPr>
                <w:rFonts w:ascii="Arial" w:hAnsi="Arial" w:cs="Arial"/>
                <w:sz w:val="20"/>
                <w:szCs w:val="20"/>
              </w:rPr>
            </w:pPr>
            <w:r w:rsidRPr="00FD57E0">
              <w:rPr>
                <w:rFonts w:ascii="Arial" w:hAnsi="Arial" w:cs="Arial"/>
                <w:sz w:val="20"/>
                <w:szCs w:val="20"/>
              </w:rPr>
              <w:t>SED: 54.6 points below</w:t>
            </w:r>
          </w:p>
          <w:p w14:paraId="16024203" w14:textId="085F91C6" w:rsidR="00222CC3" w:rsidRPr="00FD57E0" w:rsidRDefault="00222CC3" w:rsidP="00222CC3">
            <w:pPr>
              <w:rPr>
                <w:rFonts w:ascii="Arial" w:hAnsi="Arial" w:cs="Arial"/>
                <w:sz w:val="20"/>
                <w:szCs w:val="20"/>
              </w:rPr>
            </w:pPr>
            <w:r w:rsidRPr="00FD57E0">
              <w:rPr>
                <w:rFonts w:ascii="Arial" w:hAnsi="Arial" w:cs="Arial"/>
                <w:sz w:val="20"/>
                <w:szCs w:val="20"/>
              </w:rPr>
              <w:t xml:space="preserve">EL: 102.8 points below </w:t>
            </w:r>
          </w:p>
          <w:p w14:paraId="291858BE" w14:textId="2E125C98" w:rsidR="00222CC3" w:rsidRPr="00FD57E0" w:rsidRDefault="00222CC3" w:rsidP="002C2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</w:tcPr>
          <w:p w14:paraId="0C0258AE" w14:textId="78490C88" w:rsidR="00F5176D" w:rsidRPr="00D05BF2" w:rsidRDefault="00222CC3" w:rsidP="002C2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5BF2">
              <w:rPr>
                <w:rFonts w:ascii="Arial" w:hAnsi="Arial" w:cs="Arial"/>
                <w:i/>
                <w:iCs/>
                <w:sz w:val="20"/>
                <w:szCs w:val="20"/>
              </w:rPr>
              <w:t>2023 – All Students</w:t>
            </w:r>
            <w:r w:rsidR="00D05BF2" w:rsidRPr="00D05BF2">
              <w:rPr>
                <w:rFonts w:ascii="Arial" w:hAnsi="Arial" w:cs="Arial"/>
                <w:i/>
                <w:iCs/>
                <w:sz w:val="20"/>
                <w:szCs w:val="20"/>
              </w:rPr>
              <w:t>: 62.3 points below standard</w:t>
            </w:r>
            <w:r w:rsidR="000B7EA8">
              <w:rPr>
                <w:rFonts w:ascii="Arial" w:hAnsi="Arial" w:cs="Arial"/>
                <w:i/>
                <w:iCs/>
                <w:sz w:val="20"/>
                <w:szCs w:val="20"/>
              </w:rPr>
              <w:t>. Red on Dashboard</w:t>
            </w:r>
          </w:p>
          <w:p w14:paraId="58103807" w14:textId="6EDE25E5" w:rsidR="00F5176D" w:rsidRPr="00D05BF2" w:rsidRDefault="00F5176D" w:rsidP="002C2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5BF2">
              <w:rPr>
                <w:rFonts w:ascii="Arial" w:hAnsi="Arial" w:cs="Arial"/>
                <w:i/>
                <w:iCs/>
                <w:sz w:val="20"/>
                <w:szCs w:val="20"/>
              </w:rPr>
              <w:t>Hispanic students</w:t>
            </w:r>
            <w:r w:rsidR="00B52E1E" w:rsidRPr="00D05BF2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D05B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05BF2" w:rsidRPr="00D05BF2">
              <w:rPr>
                <w:rFonts w:ascii="Arial" w:hAnsi="Arial" w:cs="Arial"/>
                <w:i/>
                <w:iCs/>
                <w:sz w:val="20"/>
                <w:szCs w:val="20"/>
              </w:rPr>
              <w:t>80.9</w:t>
            </w:r>
            <w:r w:rsidR="006F75B1" w:rsidRPr="00D05B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05B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points </w:t>
            </w:r>
            <w:r w:rsidR="006F75B1" w:rsidRPr="00D05BF2">
              <w:rPr>
                <w:rFonts w:ascii="Arial" w:hAnsi="Arial" w:cs="Arial"/>
                <w:i/>
                <w:iCs/>
                <w:sz w:val="20"/>
                <w:szCs w:val="20"/>
              </w:rPr>
              <w:t>below</w:t>
            </w:r>
            <w:r w:rsidRPr="00D05B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standard</w:t>
            </w:r>
          </w:p>
          <w:p w14:paraId="781226F9" w14:textId="459D3E96" w:rsidR="00F5176D" w:rsidRPr="00D05BF2" w:rsidRDefault="00F5176D" w:rsidP="002C2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5BF2">
              <w:rPr>
                <w:rFonts w:ascii="Arial" w:hAnsi="Arial" w:cs="Arial"/>
                <w:i/>
                <w:iCs/>
                <w:sz w:val="20"/>
                <w:szCs w:val="20"/>
              </w:rPr>
              <w:t>Socio-Economically Disadvantaged:</w:t>
            </w:r>
            <w:r w:rsidR="006F75B1" w:rsidRPr="00D05B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05BF2" w:rsidRPr="00D05BF2">
              <w:rPr>
                <w:rFonts w:ascii="Arial" w:hAnsi="Arial" w:cs="Arial"/>
                <w:i/>
                <w:iCs/>
                <w:sz w:val="20"/>
                <w:szCs w:val="20"/>
              </w:rPr>
              <w:t>77</w:t>
            </w:r>
            <w:r w:rsidR="006F75B1" w:rsidRPr="00D05B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05B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points </w:t>
            </w:r>
            <w:r w:rsidR="006F75B1" w:rsidRPr="00D05B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below </w:t>
            </w:r>
            <w:r w:rsidRPr="00D05BF2">
              <w:rPr>
                <w:rFonts w:ascii="Arial" w:hAnsi="Arial" w:cs="Arial"/>
                <w:i/>
                <w:iCs/>
                <w:sz w:val="20"/>
                <w:szCs w:val="20"/>
              </w:rPr>
              <w:t>standard</w:t>
            </w:r>
          </w:p>
          <w:p w14:paraId="6C7AAE59" w14:textId="0BC01270" w:rsidR="00F5176D" w:rsidRPr="00D05BF2" w:rsidRDefault="006F75B1" w:rsidP="002C2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5BF2">
              <w:rPr>
                <w:rFonts w:ascii="Arial" w:hAnsi="Arial" w:cs="Arial"/>
                <w:i/>
                <w:iCs/>
                <w:sz w:val="20"/>
                <w:szCs w:val="20"/>
              </w:rPr>
              <w:t>English Learners</w:t>
            </w:r>
            <w:r w:rsidR="00B52E1E" w:rsidRPr="00D05B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D05BF2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D05BF2" w:rsidRPr="00D05BF2">
              <w:rPr>
                <w:rFonts w:ascii="Arial" w:hAnsi="Arial" w:cs="Arial"/>
                <w:i/>
                <w:iCs/>
                <w:sz w:val="20"/>
                <w:szCs w:val="20"/>
              </w:rPr>
              <w:t>40.4</w:t>
            </w:r>
            <w:r w:rsidR="008853B3" w:rsidRPr="00D05B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points </w:t>
            </w:r>
            <w:r w:rsidRPr="00D05BF2">
              <w:rPr>
                <w:rFonts w:ascii="Arial" w:hAnsi="Arial" w:cs="Arial"/>
                <w:i/>
                <w:iCs/>
                <w:sz w:val="20"/>
                <w:szCs w:val="20"/>
              </w:rPr>
              <w:t>below</w:t>
            </w:r>
            <w:r w:rsidR="008853B3" w:rsidRPr="00D05B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standard</w:t>
            </w:r>
          </w:p>
          <w:p w14:paraId="0A678DBC" w14:textId="0346603E" w:rsidR="006713B1" w:rsidRPr="00624AE2" w:rsidRDefault="006713B1" w:rsidP="002C21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81BAB2" w14:textId="6F16CC35" w:rsidR="005B0894" w:rsidRDefault="005B0894" w:rsidP="002C215A">
      <w:pPr>
        <w:tabs>
          <w:tab w:val="left" w:pos="1377"/>
        </w:tabs>
      </w:pPr>
    </w:p>
    <w:p w14:paraId="35F56F0F" w14:textId="77777777" w:rsidR="00393736" w:rsidRDefault="00393736" w:rsidP="002C215A">
      <w:pPr>
        <w:tabs>
          <w:tab w:val="left" w:pos="1377"/>
        </w:tabs>
      </w:pPr>
    </w:p>
    <w:p w14:paraId="58A4F4A7" w14:textId="5BB1256B" w:rsidR="00FD57E0" w:rsidRDefault="00FD57E0" w:rsidP="002C215A">
      <w:pPr>
        <w:tabs>
          <w:tab w:val="left" w:pos="1377"/>
        </w:tabs>
      </w:pPr>
      <w:r w:rsidRPr="00393736">
        <w:rPr>
          <w:b/>
          <w:bCs/>
        </w:rPr>
        <w:t>English Learner Progress 2023</w:t>
      </w:r>
      <w:r>
        <w:t>:</w:t>
      </w:r>
    </w:p>
    <w:p w14:paraId="27681BBD" w14:textId="3AB0ED4E" w:rsidR="00FD57E0" w:rsidRDefault="00FD57E0" w:rsidP="00FD57E0">
      <w:pPr>
        <w:pStyle w:val="ListParagraph"/>
        <w:numPr>
          <w:ilvl w:val="0"/>
          <w:numId w:val="2"/>
        </w:numPr>
        <w:tabs>
          <w:tab w:val="left" w:pos="1377"/>
        </w:tabs>
      </w:pPr>
      <w:r>
        <w:t>31.7% making progress toward English Language Proficiency</w:t>
      </w:r>
      <w:r w:rsidR="000B7EA8">
        <w:t xml:space="preserve"> (Red on Dashboard)</w:t>
      </w:r>
      <w:r>
        <w:t xml:space="preserve"> </w:t>
      </w:r>
    </w:p>
    <w:p w14:paraId="293A7789" w14:textId="3BE5558F" w:rsidR="00FD57E0" w:rsidRDefault="00FD57E0" w:rsidP="00FD57E0">
      <w:pPr>
        <w:pStyle w:val="ListParagraph"/>
        <w:numPr>
          <w:ilvl w:val="0"/>
          <w:numId w:val="2"/>
        </w:numPr>
        <w:tabs>
          <w:tab w:val="left" w:pos="1377"/>
        </w:tabs>
      </w:pPr>
      <w:r>
        <w:t>Declined 12.5%</w:t>
      </w:r>
    </w:p>
    <w:p w14:paraId="2153ADB5" w14:textId="7B577E72" w:rsidR="000B7EA8" w:rsidRDefault="000B7EA8" w:rsidP="000B7EA8">
      <w:pPr>
        <w:tabs>
          <w:tab w:val="left" w:pos="1377"/>
        </w:tabs>
        <w:rPr>
          <w:b/>
          <w:bCs/>
        </w:rPr>
      </w:pPr>
    </w:p>
    <w:p w14:paraId="669AD6AB" w14:textId="77777777" w:rsidR="000B7EA8" w:rsidRPr="000B7EA8" w:rsidRDefault="000B7EA8" w:rsidP="000B7EA8">
      <w:pPr>
        <w:tabs>
          <w:tab w:val="left" w:pos="1377"/>
        </w:tabs>
      </w:pPr>
    </w:p>
    <w:p w14:paraId="5688EC5B" w14:textId="6CA3622E" w:rsidR="000B7EA8" w:rsidRDefault="000B7EA8">
      <w:pPr>
        <w:tabs>
          <w:tab w:val="left" w:pos="1377"/>
        </w:tabs>
      </w:pPr>
    </w:p>
    <w:p w14:paraId="52FA679C" w14:textId="6B65B0E6" w:rsidR="00903277" w:rsidRDefault="00903277">
      <w:pPr>
        <w:tabs>
          <w:tab w:val="left" w:pos="1377"/>
        </w:tabs>
      </w:pPr>
    </w:p>
    <w:p w14:paraId="3740509B" w14:textId="39611743" w:rsidR="00903277" w:rsidRDefault="00903277">
      <w:pPr>
        <w:tabs>
          <w:tab w:val="left" w:pos="1377"/>
        </w:tabs>
      </w:pPr>
    </w:p>
    <w:p w14:paraId="5CC62DB8" w14:textId="39D4D784" w:rsidR="00903277" w:rsidRDefault="00903277">
      <w:pPr>
        <w:tabs>
          <w:tab w:val="left" w:pos="1377"/>
        </w:tabs>
      </w:pPr>
    </w:p>
    <w:p w14:paraId="68782975" w14:textId="64DB635D" w:rsidR="00903277" w:rsidRDefault="00903277">
      <w:pPr>
        <w:tabs>
          <w:tab w:val="left" w:pos="1377"/>
        </w:tabs>
      </w:pPr>
    </w:p>
    <w:p w14:paraId="4F7FDC46" w14:textId="36EB320A" w:rsidR="00903277" w:rsidRDefault="00903277">
      <w:pPr>
        <w:tabs>
          <w:tab w:val="left" w:pos="1377"/>
        </w:tabs>
      </w:pPr>
    </w:p>
    <w:p w14:paraId="104EB6F0" w14:textId="77777777" w:rsidR="00903277" w:rsidRPr="00903277" w:rsidRDefault="00903277" w:rsidP="0090327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3277">
        <w:rPr>
          <w:b/>
          <w:bCs/>
        </w:rPr>
        <w:t>MATH Data</w:t>
      </w:r>
      <w:r w:rsidRPr="00AA2B97">
        <w:t xml:space="preserve"> </w:t>
      </w:r>
      <w:proofErr w:type="gramStart"/>
      <w:r w:rsidRPr="00903277">
        <w:rPr>
          <w:sz w:val="22"/>
          <w:szCs w:val="22"/>
        </w:rPr>
        <w:t xml:space="preserve">–  </w:t>
      </w:r>
      <w:r w:rsidRPr="00903277">
        <w:rPr>
          <w:i/>
          <w:iCs/>
          <w:sz w:val="22"/>
          <w:szCs w:val="22"/>
        </w:rPr>
        <w:t>(</w:t>
      </w:r>
      <w:proofErr w:type="gramEnd"/>
      <w:r w:rsidRPr="00903277">
        <w:rPr>
          <w:i/>
          <w:iCs/>
          <w:sz w:val="22"/>
          <w:szCs w:val="22"/>
        </w:rPr>
        <w:t>LCAP Goal 2)</w:t>
      </w:r>
    </w:p>
    <w:p w14:paraId="1E50EAF6" w14:textId="2604BAB4" w:rsidR="00903277" w:rsidRPr="0002175A" w:rsidRDefault="00903277" w:rsidP="0090327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2175A">
        <w:rPr>
          <w:sz w:val="22"/>
          <w:szCs w:val="22"/>
        </w:rPr>
        <w:t xml:space="preserve">from </w:t>
      </w:r>
      <w:r>
        <w:rPr>
          <w:sz w:val="22"/>
          <w:szCs w:val="22"/>
        </w:rPr>
        <w:t>state testing</w:t>
      </w:r>
      <w:r w:rsidRPr="0002175A">
        <w:rPr>
          <w:sz w:val="22"/>
          <w:szCs w:val="22"/>
        </w:rPr>
        <w:t>, with comparison over time</w:t>
      </w:r>
    </w:p>
    <w:p w14:paraId="2152B337" w14:textId="77777777" w:rsidR="00903277" w:rsidRDefault="00903277" w:rsidP="00903277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61"/>
        <w:gridCol w:w="1651"/>
        <w:gridCol w:w="1651"/>
        <w:gridCol w:w="1651"/>
        <w:gridCol w:w="1034"/>
        <w:gridCol w:w="929"/>
        <w:gridCol w:w="1881"/>
      </w:tblGrid>
      <w:tr w:rsidR="00903277" w14:paraId="461B8746" w14:textId="77777777" w:rsidTr="006A1C0C">
        <w:trPr>
          <w:trHeight w:val="800"/>
        </w:trPr>
        <w:tc>
          <w:tcPr>
            <w:tcW w:w="1705" w:type="dxa"/>
          </w:tcPr>
          <w:p w14:paraId="7CB20245" w14:textId="77777777" w:rsidR="00903277" w:rsidRPr="00F5176D" w:rsidRDefault="00903277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F5176D">
              <w:rPr>
                <w:b/>
                <w:bCs/>
                <w:sz w:val="22"/>
                <w:szCs w:val="22"/>
              </w:rPr>
              <w:t>State SBAC test</w:t>
            </w:r>
          </w:p>
        </w:tc>
        <w:tc>
          <w:tcPr>
            <w:tcW w:w="1800" w:type="dxa"/>
          </w:tcPr>
          <w:p w14:paraId="540E013C" w14:textId="77777777" w:rsidR="00903277" w:rsidRPr="0002175A" w:rsidRDefault="00903277" w:rsidP="006A1C0C">
            <w:pPr>
              <w:jc w:val="center"/>
              <w:rPr>
                <w:sz w:val="22"/>
                <w:szCs w:val="22"/>
              </w:rPr>
            </w:pPr>
            <w:r w:rsidRPr="0002175A">
              <w:rPr>
                <w:sz w:val="22"/>
                <w:szCs w:val="22"/>
              </w:rPr>
              <w:t>2019 SBAC</w:t>
            </w:r>
          </w:p>
          <w:p w14:paraId="3852317D" w14:textId="77777777" w:rsidR="00903277" w:rsidRPr="0002175A" w:rsidRDefault="00903277" w:rsidP="006A1C0C">
            <w:pPr>
              <w:jc w:val="center"/>
              <w:rPr>
                <w:sz w:val="22"/>
                <w:szCs w:val="22"/>
              </w:rPr>
            </w:pPr>
            <w:r w:rsidRPr="0002175A">
              <w:rPr>
                <w:sz w:val="22"/>
                <w:szCs w:val="22"/>
              </w:rPr>
              <w:t>(spring)</w:t>
            </w:r>
          </w:p>
        </w:tc>
        <w:tc>
          <w:tcPr>
            <w:tcW w:w="1800" w:type="dxa"/>
          </w:tcPr>
          <w:p w14:paraId="44416852" w14:textId="77777777" w:rsidR="00903277" w:rsidRPr="0002175A" w:rsidRDefault="00903277" w:rsidP="006A1C0C">
            <w:pPr>
              <w:jc w:val="center"/>
              <w:rPr>
                <w:sz w:val="22"/>
                <w:szCs w:val="22"/>
              </w:rPr>
            </w:pPr>
            <w:r w:rsidRPr="0002175A">
              <w:rPr>
                <w:sz w:val="22"/>
                <w:szCs w:val="22"/>
              </w:rPr>
              <w:t>2021 SBAC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800" w:type="dxa"/>
          </w:tcPr>
          <w:p w14:paraId="1C4BD873" w14:textId="77777777" w:rsidR="00903277" w:rsidRPr="0002175A" w:rsidRDefault="00903277" w:rsidP="006A1C0C">
            <w:pPr>
              <w:jc w:val="center"/>
              <w:rPr>
                <w:sz w:val="22"/>
                <w:szCs w:val="22"/>
              </w:rPr>
            </w:pPr>
            <w:r w:rsidRPr="0002175A">
              <w:rPr>
                <w:sz w:val="22"/>
                <w:szCs w:val="22"/>
              </w:rPr>
              <w:t>2022 SBAC</w:t>
            </w:r>
          </w:p>
        </w:tc>
        <w:tc>
          <w:tcPr>
            <w:tcW w:w="4860" w:type="dxa"/>
            <w:gridSpan w:val="3"/>
          </w:tcPr>
          <w:p w14:paraId="24BB7245" w14:textId="77777777" w:rsidR="00903277" w:rsidRPr="002C215A" w:rsidRDefault="00903277" w:rsidP="006A1C0C">
            <w:pPr>
              <w:jc w:val="center"/>
              <w:rPr>
                <w:i/>
                <w:iCs/>
              </w:rPr>
            </w:pPr>
            <w:r w:rsidRPr="002C215A">
              <w:rPr>
                <w:i/>
                <w:iCs/>
              </w:rPr>
              <w:t>202</w:t>
            </w:r>
            <w:r>
              <w:rPr>
                <w:i/>
                <w:iCs/>
              </w:rPr>
              <w:t>3</w:t>
            </w:r>
            <w:r w:rsidRPr="002C215A">
              <w:rPr>
                <w:i/>
                <w:iCs/>
              </w:rPr>
              <w:t xml:space="preserve"> SBAC Scores </w:t>
            </w:r>
            <w:r>
              <w:rPr>
                <w:i/>
                <w:iCs/>
              </w:rPr>
              <w:t>and information</w:t>
            </w:r>
          </w:p>
        </w:tc>
      </w:tr>
      <w:tr w:rsidR="00903277" w14:paraId="088EE578" w14:textId="77777777" w:rsidTr="006A1C0C">
        <w:trPr>
          <w:trHeight w:val="864"/>
        </w:trPr>
        <w:tc>
          <w:tcPr>
            <w:tcW w:w="1705" w:type="dxa"/>
          </w:tcPr>
          <w:p w14:paraId="292169D7" w14:textId="77777777" w:rsidR="00903277" w:rsidRPr="005F2DA1" w:rsidRDefault="00903277" w:rsidP="006A1C0C">
            <w:pPr>
              <w:rPr>
                <w:b/>
                <w:bCs/>
                <w:sz w:val="22"/>
                <w:szCs w:val="22"/>
              </w:rPr>
            </w:pPr>
            <w:r w:rsidRPr="005F2DA1">
              <w:rPr>
                <w:b/>
                <w:bCs/>
                <w:sz w:val="22"/>
                <w:szCs w:val="22"/>
              </w:rPr>
              <w:t xml:space="preserve">CAASPP Data – </w:t>
            </w:r>
          </w:p>
          <w:p w14:paraId="01E615AE" w14:textId="77777777" w:rsidR="00903277" w:rsidRDefault="00903277" w:rsidP="006A1C0C">
            <w:r w:rsidRPr="005B0894">
              <w:rPr>
                <w:sz w:val="22"/>
                <w:szCs w:val="22"/>
              </w:rPr>
              <w:t xml:space="preserve">% meeting </w:t>
            </w:r>
            <w:r>
              <w:rPr>
                <w:sz w:val="22"/>
                <w:szCs w:val="22"/>
              </w:rPr>
              <w:t>or</w:t>
            </w:r>
            <w:r w:rsidRPr="005B0894">
              <w:rPr>
                <w:sz w:val="22"/>
                <w:szCs w:val="22"/>
              </w:rPr>
              <w:t xml:space="preserve"> exceeding standards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DA6D01" w14:textId="77777777" w:rsidR="00903277" w:rsidRPr="0002175A" w:rsidRDefault="00903277" w:rsidP="006A1C0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2175A">
              <w:rPr>
                <w:sz w:val="20"/>
                <w:szCs w:val="20"/>
              </w:rPr>
              <w:t xml:space="preserve">Schoolwide: </w:t>
            </w:r>
            <w:r>
              <w:rPr>
                <w:sz w:val="20"/>
                <w:szCs w:val="20"/>
              </w:rPr>
              <w:t>17.19</w:t>
            </w:r>
            <w:r w:rsidRPr="0002175A">
              <w:rPr>
                <w:sz w:val="20"/>
                <w:szCs w:val="20"/>
              </w:rPr>
              <w:t xml:space="preserve">% </w:t>
            </w:r>
          </w:p>
          <w:p w14:paraId="4094B36E" w14:textId="77777777" w:rsidR="00903277" w:rsidRPr="0002175A" w:rsidRDefault="00903277" w:rsidP="006A1C0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2175A">
              <w:rPr>
                <w:sz w:val="20"/>
                <w:szCs w:val="20"/>
              </w:rPr>
              <w:t xml:space="preserve">Hispanic: </w:t>
            </w:r>
            <w:r>
              <w:rPr>
                <w:sz w:val="20"/>
                <w:szCs w:val="20"/>
              </w:rPr>
              <w:t>13.96</w:t>
            </w:r>
            <w:r w:rsidRPr="0002175A">
              <w:rPr>
                <w:sz w:val="20"/>
                <w:szCs w:val="20"/>
              </w:rPr>
              <w:t xml:space="preserve">% </w:t>
            </w:r>
          </w:p>
          <w:p w14:paraId="23B45B4E" w14:textId="77777777" w:rsidR="00903277" w:rsidRPr="0002175A" w:rsidRDefault="00903277" w:rsidP="006A1C0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2175A">
              <w:rPr>
                <w:sz w:val="20"/>
                <w:szCs w:val="20"/>
              </w:rPr>
              <w:t xml:space="preserve">SED: </w:t>
            </w:r>
            <w:r>
              <w:rPr>
                <w:sz w:val="20"/>
                <w:szCs w:val="20"/>
              </w:rPr>
              <w:t>10.16</w:t>
            </w:r>
            <w:r w:rsidRPr="0002175A">
              <w:rPr>
                <w:sz w:val="20"/>
                <w:szCs w:val="20"/>
              </w:rPr>
              <w:t xml:space="preserve">% </w:t>
            </w:r>
          </w:p>
          <w:p w14:paraId="591F78BB" w14:textId="77777777" w:rsidR="00903277" w:rsidRPr="0002175A" w:rsidRDefault="00903277" w:rsidP="006A1C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2175A">
              <w:rPr>
                <w:rFonts w:ascii="Arial" w:hAnsi="Arial" w:cs="Arial"/>
                <w:sz w:val="20"/>
                <w:szCs w:val="20"/>
              </w:rPr>
              <w:t xml:space="preserve">SWD: </w:t>
            </w:r>
            <w:r>
              <w:rPr>
                <w:rFonts w:ascii="Arial" w:hAnsi="Arial" w:cs="Arial"/>
                <w:sz w:val="20"/>
                <w:szCs w:val="20"/>
              </w:rPr>
              <w:t>13.64</w:t>
            </w:r>
            <w:r w:rsidRPr="0002175A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14:paraId="27677D05" w14:textId="77777777" w:rsidR="00903277" w:rsidRPr="0002175A" w:rsidRDefault="00903277" w:rsidP="006A1C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ELs: (no data)</w:t>
            </w:r>
            <w:r w:rsidRPr="0002175A">
              <w:rPr>
                <w:sz w:val="20"/>
                <w:szCs w:val="20"/>
              </w:rPr>
              <w:t xml:space="preserve"> </w:t>
            </w:r>
          </w:p>
          <w:p w14:paraId="4833EF8C" w14:textId="77777777" w:rsidR="00903277" w:rsidRDefault="00903277" w:rsidP="006A1C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B79B9AF" w14:textId="77777777" w:rsidR="00903277" w:rsidRPr="0002175A" w:rsidRDefault="00903277" w:rsidP="006A1C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7D530A9" w14:textId="77777777" w:rsidR="00903277" w:rsidRPr="0002175A" w:rsidRDefault="00903277" w:rsidP="006A1C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B8A52D" w14:textId="77777777" w:rsidR="00903277" w:rsidRPr="0002175A" w:rsidRDefault="00903277" w:rsidP="006A1C0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2175A">
              <w:rPr>
                <w:sz w:val="20"/>
                <w:szCs w:val="20"/>
              </w:rPr>
              <w:t>Schoolwide:</w:t>
            </w:r>
            <w:r>
              <w:rPr>
                <w:sz w:val="20"/>
                <w:szCs w:val="20"/>
              </w:rPr>
              <w:t xml:space="preserve"> </w:t>
            </w:r>
            <w:r w:rsidRPr="00F13351">
              <w:rPr>
                <w:sz w:val="20"/>
                <w:szCs w:val="20"/>
                <w:highlight w:val="green"/>
              </w:rPr>
              <w:t>20.20%</w:t>
            </w:r>
            <w:r w:rsidRPr="0002175A">
              <w:rPr>
                <w:sz w:val="20"/>
                <w:szCs w:val="20"/>
              </w:rPr>
              <w:t xml:space="preserve"> </w:t>
            </w:r>
          </w:p>
          <w:p w14:paraId="4EA58AC2" w14:textId="77777777" w:rsidR="00903277" w:rsidRPr="0002175A" w:rsidRDefault="00903277" w:rsidP="006A1C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2175A">
              <w:rPr>
                <w:rFonts w:ascii="Arial" w:hAnsi="Arial" w:cs="Arial"/>
                <w:sz w:val="20"/>
                <w:szCs w:val="20"/>
              </w:rPr>
              <w:t>Hispanic</w:t>
            </w:r>
            <w:r w:rsidRPr="005A5E3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13351">
              <w:rPr>
                <w:rFonts w:ascii="Arial" w:hAnsi="Arial" w:cs="Arial"/>
                <w:sz w:val="20"/>
                <w:szCs w:val="20"/>
                <w:highlight w:val="green"/>
              </w:rPr>
              <w:t>20.90</w:t>
            </w:r>
            <w:r w:rsidRPr="005A5E35">
              <w:rPr>
                <w:rFonts w:ascii="Arial" w:hAnsi="Arial" w:cs="Arial"/>
                <w:sz w:val="20"/>
                <w:szCs w:val="20"/>
              </w:rPr>
              <w:t>%</w:t>
            </w:r>
            <w:r w:rsidRPr="000217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C92565" w14:textId="77777777" w:rsidR="00903277" w:rsidRPr="0002175A" w:rsidRDefault="00903277" w:rsidP="006A1C0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2175A">
              <w:rPr>
                <w:sz w:val="20"/>
                <w:szCs w:val="20"/>
              </w:rPr>
              <w:t xml:space="preserve">SED: </w:t>
            </w:r>
            <w:r w:rsidRPr="00F13351">
              <w:rPr>
                <w:sz w:val="20"/>
                <w:szCs w:val="20"/>
                <w:highlight w:val="green"/>
              </w:rPr>
              <w:t>12</w:t>
            </w:r>
            <w:r w:rsidRPr="005A5E35">
              <w:rPr>
                <w:sz w:val="20"/>
                <w:szCs w:val="20"/>
              </w:rPr>
              <w:t>%</w:t>
            </w:r>
            <w:r w:rsidRPr="0002175A">
              <w:rPr>
                <w:sz w:val="20"/>
                <w:szCs w:val="20"/>
              </w:rPr>
              <w:t xml:space="preserve"> </w:t>
            </w:r>
          </w:p>
          <w:p w14:paraId="22AC6344" w14:textId="77777777" w:rsidR="00903277" w:rsidRPr="0002175A" w:rsidRDefault="00903277" w:rsidP="006A1C0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2175A">
              <w:rPr>
                <w:sz w:val="20"/>
                <w:szCs w:val="20"/>
              </w:rPr>
              <w:t>SWD</w:t>
            </w:r>
            <w:r w:rsidRPr="005A5E35">
              <w:rPr>
                <w:sz w:val="20"/>
                <w:szCs w:val="20"/>
              </w:rPr>
              <w:t>:</w:t>
            </w:r>
            <w:r w:rsidRPr="000217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5A5E35">
              <w:rPr>
                <w:sz w:val="20"/>
                <w:szCs w:val="20"/>
              </w:rPr>
              <w:t>%</w:t>
            </w:r>
            <w:r w:rsidRPr="0002175A">
              <w:rPr>
                <w:sz w:val="20"/>
                <w:szCs w:val="20"/>
              </w:rPr>
              <w:t xml:space="preserve"> </w:t>
            </w:r>
          </w:p>
          <w:p w14:paraId="4A68FDCC" w14:textId="77777777" w:rsidR="00903277" w:rsidRPr="0002175A" w:rsidRDefault="00903277" w:rsidP="006A1C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ELs</w:t>
            </w:r>
            <w:r w:rsidRPr="0002175A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A5E35">
              <w:rPr>
                <w:rFonts w:ascii="Arial" w:hAnsi="Arial" w:cs="Arial"/>
                <w:sz w:val="20"/>
                <w:szCs w:val="20"/>
              </w:rPr>
              <w:t>%</w:t>
            </w:r>
            <w:r w:rsidRPr="000217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8DD49A3" w14:textId="77777777" w:rsidR="00903277" w:rsidRPr="0002175A" w:rsidRDefault="00903277" w:rsidP="006A1C0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2175A">
              <w:rPr>
                <w:sz w:val="20"/>
                <w:szCs w:val="20"/>
              </w:rPr>
              <w:t xml:space="preserve">Schoolwide: </w:t>
            </w:r>
            <w:r>
              <w:rPr>
                <w:sz w:val="20"/>
                <w:szCs w:val="20"/>
              </w:rPr>
              <w:t>7.53</w:t>
            </w:r>
            <w:r w:rsidRPr="005A5E35">
              <w:rPr>
                <w:sz w:val="20"/>
                <w:szCs w:val="20"/>
              </w:rPr>
              <w:t>%</w:t>
            </w:r>
            <w:r w:rsidRPr="0002175A">
              <w:rPr>
                <w:sz w:val="20"/>
                <w:szCs w:val="20"/>
              </w:rPr>
              <w:t xml:space="preserve"> </w:t>
            </w:r>
          </w:p>
          <w:p w14:paraId="1C5EB37B" w14:textId="77777777" w:rsidR="00903277" w:rsidRPr="0002175A" w:rsidRDefault="00903277" w:rsidP="006A1C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2175A">
              <w:rPr>
                <w:rFonts w:ascii="Arial" w:hAnsi="Arial" w:cs="Arial"/>
                <w:sz w:val="20"/>
                <w:szCs w:val="20"/>
              </w:rPr>
              <w:t xml:space="preserve">Hispanic: </w:t>
            </w:r>
            <w:r>
              <w:rPr>
                <w:rFonts w:ascii="Arial" w:hAnsi="Arial" w:cs="Arial"/>
                <w:sz w:val="20"/>
                <w:szCs w:val="20"/>
              </w:rPr>
              <w:t>2.97</w:t>
            </w:r>
            <w:r w:rsidRPr="005A5E35">
              <w:rPr>
                <w:rFonts w:ascii="Arial" w:hAnsi="Arial" w:cs="Arial"/>
                <w:sz w:val="20"/>
                <w:szCs w:val="20"/>
              </w:rPr>
              <w:t>%</w:t>
            </w:r>
            <w:r w:rsidRPr="000217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18312C" w14:textId="77777777" w:rsidR="00903277" w:rsidRPr="0002175A" w:rsidRDefault="00903277" w:rsidP="006A1C0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2175A">
              <w:rPr>
                <w:sz w:val="20"/>
                <w:szCs w:val="20"/>
              </w:rPr>
              <w:t xml:space="preserve">SED: </w:t>
            </w:r>
            <w:r>
              <w:rPr>
                <w:sz w:val="20"/>
                <w:szCs w:val="20"/>
              </w:rPr>
              <w:t>6.48</w:t>
            </w:r>
            <w:r w:rsidRPr="0002175A">
              <w:rPr>
                <w:sz w:val="20"/>
                <w:szCs w:val="20"/>
              </w:rPr>
              <w:t xml:space="preserve"> </w:t>
            </w:r>
            <w:r w:rsidRPr="005A5E35">
              <w:rPr>
                <w:sz w:val="20"/>
                <w:szCs w:val="20"/>
              </w:rPr>
              <w:t>%</w:t>
            </w:r>
          </w:p>
          <w:p w14:paraId="53236DBA" w14:textId="77777777" w:rsidR="00903277" w:rsidRPr="0002175A" w:rsidRDefault="00903277" w:rsidP="006A1C0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2175A">
              <w:rPr>
                <w:sz w:val="20"/>
                <w:szCs w:val="20"/>
              </w:rPr>
              <w:t>SWD:</w:t>
            </w:r>
            <w:r>
              <w:rPr>
                <w:sz w:val="20"/>
                <w:szCs w:val="20"/>
              </w:rPr>
              <w:t xml:space="preserve"> 0</w:t>
            </w:r>
            <w:r w:rsidRPr="005A5E35">
              <w:rPr>
                <w:sz w:val="20"/>
                <w:szCs w:val="20"/>
              </w:rPr>
              <w:t>%</w:t>
            </w:r>
            <w:r w:rsidRPr="0002175A">
              <w:rPr>
                <w:sz w:val="20"/>
                <w:szCs w:val="20"/>
              </w:rPr>
              <w:t xml:space="preserve"> </w:t>
            </w:r>
          </w:p>
          <w:p w14:paraId="11356572" w14:textId="77777777" w:rsidR="00903277" w:rsidRPr="0002175A" w:rsidRDefault="00903277" w:rsidP="006A1C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</w:t>
            </w:r>
            <w:r w:rsidRPr="0002175A">
              <w:rPr>
                <w:sz w:val="20"/>
                <w:szCs w:val="20"/>
              </w:rPr>
              <w:t xml:space="preserve">: </w:t>
            </w:r>
            <w:r w:rsidRPr="00F13351">
              <w:rPr>
                <w:sz w:val="20"/>
                <w:szCs w:val="20"/>
                <w:highlight w:val="green"/>
              </w:rPr>
              <w:t>8.34%</w:t>
            </w:r>
          </w:p>
          <w:p w14:paraId="488176F8" w14:textId="77777777" w:rsidR="00903277" w:rsidRDefault="00903277" w:rsidP="006A1C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9BDD68C" w14:textId="77777777" w:rsidR="00903277" w:rsidRPr="0002175A" w:rsidRDefault="00903277" w:rsidP="006A1C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14:paraId="72DC7327" w14:textId="77777777" w:rsidR="00903277" w:rsidRPr="00E622BD" w:rsidRDefault="00903277" w:rsidP="006A1C0C">
            <w:pPr>
              <w:pStyle w:val="Default"/>
              <w:spacing w:line="276" w:lineRule="auto"/>
              <w:rPr>
                <w:i/>
                <w:iCs/>
                <w:sz w:val="20"/>
                <w:szCs w:val="20"/>
              </w:rPr>
            </w:pPr>
            <w:r w:rsidRPr="00E622BD">
              <w:rPr>
                <w:i/>
                <w:iCs/>
                <w:sz w:val="20"/>
                <w:szCs w:val="20"/>
              </w:rPr>
              <w:t xml:space="preserve">Schoolwide: 6.96% </w:t>
            </w:r>
          </w:p>
          <w:p w14:paraId="0E3A8526" w14:textId="77777777" w:rsidR="00903277" w:rsidRPr="00E622BD" w:rsidRDefault="00903277" w:rsidP="006A1C0C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22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Hispanic: </w:t>
            </w:r>
            <w:r w:rsidRPr="00E622BD">
              <w:rPr>
                <w:rFonts w:ascii="Arial" w:hAnsi="Arial" w:cs="Arial"/>
                <w:i/>
                <w:iCs/>
                <w:sz w:val="20"/>
                <w:szCs w:val="20"/>
                <w:highlight w:val="green"/>
              </w:rPr>
              <w:t>9.33%</w:t>
            </w:r>
            <w:r w:rsidRPr="00E622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7612BE85" w14:textId="77777777" w:rsidR="00903277" w:rsidRPr="00E622BD" w:rsidRDefault="00903277" w:rsidP="006A1C0C">
            <w:pPr>
              <w:pStyle w:val="Default"/>
              <w:spacing w:line="276" w:lineRule="auto"/>
              <w:rPr>
                <w:i/>
                <w:iCs/>
                <w:sz w:val="20"/>
                <w:szCs w:val="20"/>
              </w:rPr>
            </w:pPr>
            <w:r w:rsidRPr="00E622BD">
              <w:rPr>
                <w:i/>
                <w:iCs/>
                <w:sz w:val="20"/>
                <w:szCs w:val="20"/>
              </w:rPr>
              <w:t>SED: 5.06%</w:t>
            </w:r>
          </w:p>
          <w:p w14:paraId="4823EB9A" w14:textId="77777777" w:rsidR="00903277" w:rsidRPr="00E622BD" w:rsidRDefault="00903277" w:rsidP="006A1C0C">
            <w:pPr>
              <w:pStyle w:val="Default"/>
              <w:spacing w:line="276" w:lineRule="auto"/>
              <w:rPr>
                <w:i/>
                <w:iCs/>
                <w:sz w:val="20"/>
                <w:szCs w:val="20"/>
              </w:rPr>
            </w:pPr>
            <w:r w:rsidRPr="00E622BD">
              <w:rPr>
                <w:i/>
                <w:iCs/>
                <w:sz w:val="20"/>
                <w:szCs w:val="20"/>
              </w:rPr>
              <w:t xml:space="preserve">SWD: 0% </w:t>
            </w:r>
          </w:p>
          <w:p w14:paraId="25125361" w14:textId="77777777" w:rsidR="00903277" w:rsidRPr="00E622BD" w:rsidRDefault="00903277" w:rsidP="006A1C0C">
            <w:pPr>
              <w:pStyle w:val="Default"/>
              <w:spacing w:line="276" w:lineRule="auto"/>
              <w:rPr>
                <w:i/>
                <w:iCs/>
                <w:sz w:val="20"/>
                <w:szCs w:val="20"/>
              </w:rPr>
            </w:pPr>
            <w:r w:rsidRPr="00E622BD">
              <w:rPr>
                <w:i/>
                <w:iCs/>
                <w:sz w:val="20"/>
                <w:szCs w:val="20"/>
              </w:rPr>
              <w:t>ELs: 0%</w:t>
            </w:r>
          </w:p>
          <w:p w14:paraId="130EA212" w14:textId="35DD0C03" w:rsidR="00903277" w:rsidRDefault="00903277" w:rsidP="006A1C0C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36C555F" w14:textId="77777777" w:rsidR="00903277" w:rsidRDefault="00903277" w:rsidP="006A1C0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Highest achievement area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  <w:r w:rsidRPr="00624A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Problem</w:t>
            </w:r>
            <w:proofErr w:type="gramEnd"/>
            <w:r w:rsidRPr="00624A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Solving and Modeling &amp; Data Analysis</w:t>
            </w:r>
            <w:r w:rsidRPr="00624AE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E622BD">
              <w:rPr>
                <w:rFonts w:ascii="Arial" w:hAnsi="Arial" w:cs="Arial"/>
                <w:i/>
                <w:iCs/>
                <w:sz w:val="20"/>
                <w:szCs w:val="20"/>
              </w:rPr>
              <w:t>How well can students show and apply their problem solving skills?</w:t>
            </w:r>
          </w:p>
          <w:p w14:paraId="5E13E644" w14:textId="77777777" w:rsidR="00903277" w:rsidRPr="00E622BD" w:rsidRDefault="00903277" w:rsidP="006A1C0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75A6DB" w14:textId="77777777" w:rsidR="00903277" w:rsidRPr="00E622BD" w:rsidRDefault="00903277" w:rsidP="006A1C0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Lowest achievement area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  <w:r w:rsidRPr="00624A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Concepts</w:t>
            </w:r>
            <w:proofErr w:type="gramEnd"/>
            <w:r w:rsidRPr="00624A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Procedures</w:t>
            </w:r>
            <w:r w:rsidRPr="00624AE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E622BD">
              <w:rPr>
                <w:rFonts w:ascii="Arial" w:hAnsi="Arial" w:cs="Arial"/>
                <w:i/>
                <w:iCs/>
                <w:sz w:val="20"/>
                <w:szCs w:val="20"/>
              </w:rPr>
              <w:t>how well do students use mathematical rules and ideas?</w:t>
            </w:r>
          </w:p>
        </w:tc>
      </w:tr>
      <w:tr w:rsidR="00903277" w14:paraId="78B92A41" w14:textId="77777777" w:rsidTr="006A1C0C">
        <w:trPr>
          <w:trHeight w:val="530"/>
        </w:trPr>
        <w:tc>
          <w:tcPr>
            <w:tcW w:w="1705" w:type="dxa"/>
            <w:tcBorders>
              <w:right w:val="nil"/>
            </w:tcBorders>
            <w:shd w:val="clear" w:color="auto" w:fill="F2F2F2" w:themeFill="background1" w:themeFillShade="F2"/>
          </w:tcPr>
          <w:p w14:paraId="6D05F220" w14:textId="77777777" w:rsidR="00903277" w:rsidRDefault="00903277" w:rsidP="006A1C0C"/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26A50C" w14:textId="77777777" w:rsidR="00903277" w:rsidRPr="00BD4DF1" w:rsidRDefault="00903277" w:rsidP="006A1C0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9674BC" w14:textId="77777777" w:rsidR="00903277" w:rsidRPr="00BD4DF1" w:rsidRDefault="00903277" w:rsidP="006A1C0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090CB1" w14:textId="77777777" w:rsidR="00903277" w:rsidRPr="00BD4DF1" w:rsidRDefault="00903277" w:rsidP="006A1C0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38A536" w14:textId="77777777" w:rsidR="00903277" w:rsidRPr="00BD4DF1" w:rsidRDefault="00903277" w:rsidP="006A1C0C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26EA53" w14:textId="77777777" w:rsidR="00903277" w:rsidRPr="00BD4DF1" w:rsidRDefault="00903277" w:rsidP="006A1C0C">
            <w:pPr>
              <w:rPr>
                <w:sz w:val="21"/>
                <w:szCs w:val="21"/>
              </w:rPr>
            </w:pPr>
          </w:p>
        </w:tc>
        <w:tc>
          <w:tcPr>
            <w:tcW w:w="2461" w:type="dxa"/>
            <w:tcBorders>
              <w:left w:val="nil"/>
            </w:tcBorders>
            <w:shd w:val="clear" w:color="auto" w:fill="F2F2F2" w:themeFill="background1" w:themeFillShade="F2"/>
          </w:tcPr>
          <w:p w14:paraId="3DF84699" w14:textId="77777777" w:rsidR="00903277" w:rsidRPr="00BD4DF1" w:rsidRDefault="00903277" w:rsidP="006A1C0C">
            <w:pPr>
              <w:rPr>
                <w:sz w:val="21"/>
                <w:szCs w:val="21"/>
              </w:rPr>
            </w:pPr>
          </w:p>
        </w:tc>
      </w:tr>
      <w:tr w:rsidR="00903277" w14:paraId="001CF0D7" w14:textId="77777777" w:rsidTr="006A1C0C">
        <w:trPr>
          <w:trHeight w:val="864"/>
        </w:trPr>
        <w:tc>
          <w:tcPr>
            <w:tcW w:w="1705" w:type="dxa"/>
          </w:tcPr>
          <w:p w14:paraId="7296F52C" w14:textId="77777777" w:rsidR="00903277" w:rsidRPr="00F5176D" w:rsidRDefault="00903277" w:rsidP="006A1C0C">
            <w:pPr>
              <w:rPr>
                <w:b/>
                <w:bCs/>
              </w:rPr>
            </w:pPr>
            <w:r w:rsidRPr="00F5176D">
              <w:rPr>
                <w:b/>
                <w:bCs/>
                <w:sz w:val="22"/>
                <w:szCs w:val="22"/>
              </w:rPr>
              <w:t>California Schools Dashboard</w:t>
            </w:r>
          </w:p>
        </w:tc>
        <w:tc>
          <w:tcPr>
            <w:tcW w:w="1800" w:type="dxa"/>
          </w:tcPr>
          <w:p w14:paraId="2448990A" w14:textId="77777777" w:rsidR="00903277" w:rsidRPr="00903277" w:rsidRDefault="00903277" w:rsidP="006A1C0C">
            <w:pPr>
              <w:rPr>
                <w:rFonts w:ascii="Arial" w:hAnsi="Arial" w:cs="Arial"/>
                <w:sz w:val="20"/>
                <w:szCs w:val="20"/>
              </w:rPr>
            </w:pPr>
            <w:r w:rsidRPr="00903277">
              <w:rPr>
                <w:rFonts w:ascii="Arial" w:hAnsi="Arial" w:cs="Arial"/>
                <w:sz w:val="20"/>
                <w:szCs w:val="20"/>
              </w:rPr>
              <w:t>All Students 2019:</w:t>
            </w:r>
          </w:p>
          <w:p w14:paraId="1023D872" w14:textId="77777777" w:rsidR="00903277" w:rsidRPr="00903277" w:rsidRDefault="00903277" w:rsidP="006A1C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334FA6" w14:textId="77777777" w:rsidR="00903277" w:rsidRPr="00903277" w:rsidRDefault="00903277" w:rsidP="006A1C0C">
            <w:pPr>
              <w:rPr>
                <w:rFonts w:ascii="Arial" w:hAnsi="Arial" w:cs="Arial"/>
                <w:sz w:val="20"/>
                <w:szCs w:val="20"/>
              </w:rPr>
            </w:pPr>
            <w:r w:rsidRPr="00903277">
              <w:rPr>
                <w:rFonts w:ascii="Arial" w:hAnsi="Arial" w:cs="Arial"/>
                <w:sz w:val="20"/>
                <w:szCs w:val="20"/>
              </w:rPr>
              <w:t>108.2 points below standard</w:t>
            </w:r>
          </w:p>
        </w:tc>
        <w:tc>
          <w:tcPr>
            <w:tcW w:w="1800" w:type="dxa"/>
          </w:tcPr>
          <w:p w14:paraId="2D838306" w14:textId="77777777" w:rsidR="00903277" w:rsidRPr="00903277" w:rsidRDefault="00903277" w:rsidP="006A1C0C">
            <w:pPr>
              <w:rPr>
                <w:rFonts w:ascii="Arial" w:hAnsi="Arial" w:cs="Arial"/>
                <w:sz w:val="20"/>
                <w:szCs w:val="20"/>
              </w:rPr>
            </w:pPr>
            <w:r w:rsidRPr="00903277">
              <w:rPr>
                <w:rFonts w:ascii="Arial" w:hAnsi="Arial" w:cs="Arial"/>
                <w:sz w:val="20"/>
                <w:szCs w:val="20"/>
              </w:rPr>
              <w:t xml:space="preserve">All Students </w:t>
            </w:r>
          </w:p>
          <w:p w14:paraId="2946505A" w14:textId="77777777" w:rsidR="00903277" w:rsidRPr="00903277" w:rsidRDefault="00903277" w:rsidP="006A1C0C">
            <w:pPr>
              <w:rPr>
                <w:rFonts w:ascii="Arial" w:hAnsi="Arial" w:cs="Arial"/>
                <w:sz w:val="20"/>
                <w:szCs w:val="20"/>
              </w:rPr>
            </w:pPr>
            <w:r w:rsidRPr="00903277">
              <w:rPr>
                <w:rFonts w:ascii="Arial" w:hAnsi="Arial" w:cs="Arial"/>
                <w:sz w:val="20"/>
                <w:szCs w:val="20"/>
              </w:rPr>
              <w:t>2020 – no test</w:t>
            </w:r>
          </w:p>
          <w:p w14:paraId="09855800" w14:textId="77777777" w:rsidR="00903277" w:rsidRPr="00903277" w:rsidRDefault="00903277" w:rsidP="006A1C0C">
            <w:pPr>
              <w:rPr>
                <w:rFonts w:ascii="Arial" w:hAnsi="Arial" w:cs="Arial"/>
                <w:sz w:val="20"/>
                <w:szCs w:val="20"/>
              </w:rPr>
            </w:pPr>
            <w:r w:rsidRPr="00903277">
              <w:rPr>
                <w:rFonts w:ascii="Arial" w:hAnsi="Arial" w:cs="Arial"/>
                <w:sz w:val="20"/>
                <w:szCs w:val="20"/>
              </w:rPr>
              <w:t>2021: *</w:t>
            </w:r>
          </w:p>
          <w:p w14:paraId="5B8DC087" w14:textId="77777777" w:rsidR="00903277" w:rsidRPr="00903277" w:rsidRDefault="00903277" w:rsidP="006A1C0C">
            <w:pPr>
              <w:rPr>
                <w:rFonts w:ascii="Arial" w:hAnsi="Arial" w:cs="Arial"/>
                <w:sz w:val="20"/>
                <w:szCs w:val="20"/>
              </w:rPr>
            </w:pPr>
            <w:r w:rsidRPr="00903277">
              <w:rPr>
                <w:rFonts w:ascii="Arial" w:hAnsi="Arial" w:cs="Arial"/>
                <w:sz w:val="20"/>
                <w:szCs w:val="20"/>
              </w:rPr>
              <w:t>no Dashboard</w:t>
            </w:r>
          </w:p>
        </w:tc>
        <w:tc>
          <w:tcPr>
            <w:tcW w:w="1800" w:type="dxa"/>
          </w:tcPr>
          <w:p w14:paraId="681FF4A6" w14:textId="77777777" w:rsidR="00903277" w:rsidRPr="00903277" w:rsidRDefault="00903277" w:rsidP="006A1C0C">
            <w:pPr>
              <w:rPr>
                <w:rFonts w:ascii="Arial" w:hAnsi="Arial" w:cs="Arial"/>
                <w:sz w:val="20"/>
                <w:szCs w:val="20"/>
              </w:rPr>
            </w:pPr>
            <w:r w:rsidRPr="00903277">
              <w:rPr>
                <w:rFonts w:ascii="Arial" w:hAnsi="Arial" w:cs="Arial"/>
                <w:sz w:val="20"/>
                <w:szCs w:val="20"/>
              </w:rPr>
              <w:t>All students 2022:</w:t>
            </w:r>
          </w:p>
          <w:p w14:paraId="2CF97CF1" w14:textId="77777777" w:rsidR="00903277" w:rsidRPr="00903277" w:rsidRDefault="00903277" w:rsidP="006A1C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AEDF5" w14:textId="77777777" w:rsidR="00903277" w:rsidRPr="00903277" w:rsidRDefault="00903277" w:rsidP="006A1C0C">
            <w:pPr>
              <w:rPr>
                <w:rFonts w:ascii="Arial" w:hAnsi="Arial" w:cs="Arial"/>
                <w:sz w:val="20"/>
                <w:szCs w:val="20"/>
              </w:rPr>
            </w:pPr>
            <w:r w:rsidRPr="00903277">
              <w:rPr>
                <w:rFonts w:ascii="Arial" w:hAnsi="Arial" w:cs="Arial"/>
                <w:sz w:val="20"/>
                <w:szCs w:val="20"/>
              </w:rPr>
              <w:t>145.9 points below standard</w:t>
            </w:r>
          </w:p>
        </w:tc>
        <w:tc>
          <w:tcPr>
            <w:tcW w:w="4860" w:type="dxa"/>
            <w:gridSpan w:val="3"/>
          </w:tcPr>
          <w:p w14:paraId="41C7C9FD" w14:textId="77777777" w:rsidR="00903277" w:rsidRPr="00903277" w:rsidRDefault="00903277" w:rsidP="006A1C0C">
            <w:pPr>
              <w:rPr>
                <w:rFonts w:ascii="Arial" w:hAnsi="Arial" w:cs="Arial"/>
                <w:sz w:val="20"/>
                <w:szCs w:val="20"/>
              </w:rPr>
            </w:pPr>
            <w:r w:rsidRPr="00903277">
              <w:rPr>
                <w:rFonts w:ascii="Arial" w:hAnsi="Arial" w:cs="Arial"/>
                <w:sz w:val="20"/>
                <w:szCs w:val="20"/>
              </w:rPr>
              <w:t>All Students – 178.7 points below average (Red on Dashboard)</w:t>
            </w:r>
          </w:p>
          <w:p w14:paraId="289CBDA9" w14:textId="77777777" w:rsidR="00903277" w:rsidRPr="00903277" w:rsidRDefault="00903277" w:rsidP="006A1C0C">
            <w:pPr>
              <w:rPr>
                <w:rFonts w:ascii="Arial" w:hAnsi="Arial" w:cs="Arial"/>
                <w:sz w:val="20"/>
                <w:szCs w:val="20"/>
              </w:rPr>
            </w:pPr>
            <w:r w:rsidRPr="00903277">
              <w:rPr>
                <w:rFonts w:ascii="Arial" w:hAnsi="Arial" w:cs="Arial"/>
                <w:sz w:val="20"/>
                <w:szCs w:val="20"/>
              </w:rPr>
              <w:t>Hispanic students: 189.5 points below standard</w:t>
            </w:r>
          </w:p>
          <w:p w14:paraId="2024D290" w14:textId="77777777" w:rsidR="00903277" w:rsidRPr="00903277" w:rsidRDefault="00903277" w:rsidP="006A1C0C">
            <w:pPr>
              <w:rPr>
                <w:rFonts w:ascii="Arial" w:hAnsi="Arial" w:cs="Arial"/>
                <w:sz w:val="20"/>
                <w:szCs w:val="20"/>
              </w:rPr>
            </w:pPr>
            <w:r w:rsidRPr="00903277">
              <w:rPr>
                <w:rFonts w:ascii="Arial" w:hAnsi="Arial" w:cs="Arial"/>
                <w:sz w:val="20"/>
                <w:szCs w:val="20"/>
              </w:rPr>
              <w:t>SED: 181.1 points below standard</w:t>
            </w:r>
          </w:p>
          <w:p w14:paraId="3FAEB3CE" w14:textId="77777777" w:rsidR="00903277" w:rsidRPr="00903277" w:rsidRDefault="00903277" w:rsidP="006A1C0C">
            <w:pPr>
              <w:rPr>
                <w:rFonts w:ascii="Arial" w:hAnsi="Arial" w:cs="Arial"/>
                <w:sz w:val="20"/>
                <w:szCs w:val="20"/>
              </w:rPr>
            </w:pPr>
            <w:r w:rsidRPr="00903277">
              <w:rPr>
                <w:rFonts w:ascii="Arial" w:hAnsi="Arial" w:cs="Arial"/>
                <w:sz w:val="20"/>
                <w:szCs w:val="20"/>
              </w:rPr>
              <w:t xml:space="preserve">SWD: </w:t>
            </w:r>
            <w:r w:rsidRPr="00903277">
              <w:rPr>
                <w:rFonts w:ascii="Arial" w:hAnsi="Arial" w:cs="Arial"/>
                <w:sz w:val="20"/>
                <w:szCs w:val="20"/>
                <w:highlight w:val="green"/>
              </w:rPr>
              <w:t>224.3</w:t>
            </w:r>
            <w:r w:rsidRPr="00903277">
              <w:rPr>
                <w:rFonts w:ascii="Arial" w:hAnsi="Arial" w:cs="Arial"/>
                <w:sz w:val="20"/>
                <w:szCs w:val="20"/>
              </w:rPr>
              <w:t xml:space="preserve"> below standard</w:t>
            </w:r>
          </w:p>
          <w:p w14:paraId="2C34C958" w14:textId="77777777" w:rsidR="00903277" w:rsidRPr="00624AE2" w:rsidRDefault="00903277" w:rsidP="006A1C0C">
            <w:pPr>
              <w:rPr>
                <w:rFonts w:ascii="Arial" w:hAnsi="Arial" w:cs="Arial"/>
                <w:sz w:val="18"/>
                <w:szCs w:val="18"/>
              </w:rPr>
            </w:pPr>
            <w:r w:rsidRPr="00903277">
              <w:rPr>
                <w:rFonts w:ascii="Arial" w:hAnsi="Arial" w:cs="Arial"/>
                <w:sz w:val="20"/>
                <w:szCs w:val="20"/>
              </w:rPr>
              <w:t>ELs: 254.5 points below standard</w:t>
            </w:r>
          </w:p>
        </w:tc>
      </w:tr>
    </w:tbl>
    <w:p w14:paraId="77EB70BD" w14:textId="32A432A9" w:rsidR="00903277" w:rsidRDefault="00903277">
      <w:pPr>
        <w:tabs>
          <w:tab w:val="left" w:pos="1377"/>
        </w:tabs>
      </w:pPr>
    </w:p>
    <w:p w14:paraId="60383A89" w14:textId="682A7C00" w:rsidR="00E852D6" w:rsidRDefault="00E852D6">
      <w:pPr>
        <w:tabs>
          <w:tab w:val="left" w:pos="1377"/>
        </w:tabs>
      </w:pPr>
    </w:p>
    <w:p w14:paraId="40E3EADC" w14:textId="14DAD4CB" w:rsidR="00E852D6" w:rsidRPr="00E852D6" w:rsidRDefault="00E852D6" w:rsidP="00E852D6">
      <w:pPr>
        <w:pStyle w:val="ListParagraph"/>
        <w:numPr>
          <w:ilvl w:val="0"/>
          <w:numId w:val="3"/>
        </w:numPr>
        <w:tabs>
          <w:tab w:val="left" w:pos="1377"/>
        </w:tabs>
        <w:rPr>
          <w:b/>
          <w:bCs/>
        </w:rPr>
      </w:pPr>
      <w:r>
        <w:t>S</w:t>
      </w:r>
      <w:r w:rsidRPr="00E852D6">
        <w:rPr>
          <w:b/>
          <w:bCs/>
        </w:rPr>
        <w:t>cience Data</w:t>
      </w:r>
    </w:p>
    <w:p w14:paraId="25468B60" w14:textId="77777777" w:rsidR="00E852D6" w:rsidRDefault="00E852D6" w:rsidP="00E852D6">
      <w:pPr>
        <w:tabs>
          <w:tab w:val="left" w:pos="1377"/>
        </w:tabs>
      </w:pPr>
    </w:p>
    <w:p w14:paraId="2A223309" w14:textId="11175592" w:rsidR="00E852D6" w:rsidRDefault="00E852D6" w:rsidP="00E852D6">
      <w:pPr>
        <w:tabs>
          <w:tab w:val="left" w:pos="1377"/>
        </w:tabs>
      </w:pPr>
      <w:r>
        <w:t>On the 2023 California Science Test 13.79% of the students taking the exam had test scores that met or exceeded the standard.</w:t>
      </w:r>
    </w:p>
    <w:p w14:paraId="473A7571" w14:textId="28B83AC2" w:rsidR="001C6702" w:rsidRDefault="001C6702" w:rsidP="00E852D6">
      <w:pPr>
        <w:tabs>
          <w:tab w:val="left" w:pos="1377"/>
        </w:tabs>
      </w:pPr>
    </w:p>
    <w:p w14:paraId="3EB2DBA0" w14:textId="6EA056F9" w:rsidR="001C6702" w:rsidRDefault="001C6702" w:rsidP="00E852D6">
      <w:pPr>
        <w:tabs>
          <w:tab w:val="left" w:pos="1377"/>
        </w:tabs>
      </w:pPr>
    </w:p>
    <w:p w14:paraId="18358419" w14:textId="58196D73" w:rsidR="001C6702" w:rsidRDefault="001C6702" w:rsidP="00E852D6">
      <w:pPr>
        <w:tabs>
          <w:tab w:val="left" w:pos="1377"/>
        </w:tabs>
      </w:pPr>
    </w:p>
    <w:p w14:paraId="6288C1B9" w14:textId="337CB418" w:rsidR="001C6702" w:rsidRDefault="001C6702" w:rsidP="00E852D6">
      <w:pPr>
        <w:tabs>
          <w:tab w:val="left" w:pos="1377"/>
        </w:tabs>
      </w:pPr>
    </w:p>
    <w:p w14:paraId="5215C70C" w14:textId="2881F865" w:rsidR="001C6702" w:rsidRDefault="001C6702" w:rsidP="00E852D6">
      <w:pPr>
        <w:tabs>
          <w:tab w:val="left" w:pos="1377"/>
        </w:tabs>
      </w:pPr>
    </w:p>
    <w:p w14:paraId="1D22F6C9" w14:textId="61624A6B" w:rsidR="001C6702" w:rsidRDefault="001C6702" w:rsidP="00E852D6">
      <w:pPr>
        <w:tabs>
          <w:tab w:val="left" w:pos="1377"/>
        </w:tabs>
      </w:pPr>
    </w:p>
    <w:p w14:paraId="12CDDD11" w14:textId="7EA681C1" w:rsidR="001C6702" w:rsidRDefault="001C6702" w:rsidP="00E852D6">
      <w:pPr>
        <w:tabs>
          <w:tab w:val="left" w:pos="1377"/>
        </w:tabs>
      </w:pPr>
    </w:p>
    <w:p w14:paraId="54CCCC3D" w14:textId="4FC41534" w:rsidR="001C6702" w:rsidRDefault="001C6702" w:rsidP="00E852D6">
      <w:pPr>
        <w:tabs>
          <w:tab w:val="left" w:pos="1377"/>
        </w:tabs>
      </w:pPr>
    </w:p>
    <w:p w14:paraId="306E4BF3" w14:textId="12647DE0" w:rsidR="001C6702" w:rsidRDefault="001C6702" w:rsidP="00E852D6">
      <w:pPr>
        <w:tabs>
          <w:tab w:val="left" w:pos="1377"/>
        </w:tabs>
      </w:pPr>
    </w:p>
    <w:p w14:paraId="343DB0A0" w14:textId="3DADB115" w:rsidR="001C6702" w:rsidRDefault="001C6702" w:rsidP="00E852D6">
      <w:pPr>
        <w:tabs>
          <w:tab w:val="left" w:pos="1377"/>
        </w:tabs>
      </w:pPr>
    </w:p>
    <w:p w14:paraId="4B6F4CFE" w14:textId="7C22B1D8" w:rsidR="001C6702" w:rsidRDefault="001C6702" w:rsidP="00E852D6">
      <w:pPr>
        <w:tabs>
          <w:tab w:val="left" w:pos="1377"/>
        </w:tabs>
      </w:pPr>
    </w:p>
    <w:p w14:paraId="437AA040" w14:textId="77777777" w:rsidR="00F941B3" w:rsidRDefault="00F941B3" w:rsidP="00E852D6">
      <w:pPr>
        <w:tabs>
          <w:tab w:val="left" w:pos="1377"/>
        </w:tabs>
      </w:pPr>
    </w:p>
    <w:p w14:paraId="25211454" w14:textId="3C540BAF" w:rsidR="001C6702" w:rsidRPr="001C6702" w:rsidRDefault="001C6702" w:rsidP="001C6702">
      <w:pPr>
        <w:pStyle w:val="ListParagraph"/>
        <w:numPr>
          <w:ilvl w:val="0"/>
          <w:numId w:val="3"/>
        </w:numPr>
        <w:tabs>
          <w:tab w:val="left" w:pos="1377"/>
        </w:tabs>
        <w:rPr>
          <w:b/>
          <w:bCs/>
        </w:rPr>
      </w:pPr>
      <w:r w:rsidRPr="001C6702">
        <w:rPr>
          <w:b/>
          <w:bCs/>
        </w:rPr>
        <w:t xml:space="preserve"> Implementation and Budget data for 2023-24</w:t>
      </w:r>
    </w:p>
    <w:p w14:paraId="4C2B2925" w14:textId="77777777" w:rsidR="006E1407" w:rsidRDefault="006E1407" w:rsidP="00E852D6">
      <w:pPr>
        <w:tabs>
          <w:tab w:val="left" w:pos="1377"/>
        </w:tabs>
        <w:rPr>
          <w:highlight w:val="yellow"/>
        </w:rPr>
      </w:pPr>
    </w:p>
    <w:p w14:paraId="2DFBC700" w14:textId="2E45F094" w:rsidR="001C6702" w:rsidRPr="006E1407" w:rsidRDefault="00BB668E" w:rsidP="00E852D6">
      <w:pPr>
        <w:tabs>
          <w:tab w:val="left" w:pos="1377"/>
        </w:tabs>
        <w:rPr>
          <w:rFonts w:eastAsia="Arial" w:cstheme="minorHAnsi"/>
        </w:rPr>
      </w:pPr>
      <w:bookmarkStart w:id="0" w:name="_GoBack"/>
      <w:bookmarkEnd w:id="0"/>
      <w:r w:rsidRPr="006E1407">
        <w:rPr>
          <w:rFonts w:cstheme="minorHAnsi"/>
        </w:rPr>
        <w:t xml:space="preserve">HSHMC continues to </w:t>
      </w:r>
      <w:r w:rsidR="00214D43" w:rsidRPr="006E1407">
        <w:rPr>
          <w:rFonts w:cstheme="minorHAnsi"/>
        </w:rPr>
        <w:t xml:space="preserve">develop as </w:t>
      </w:r>
      <w:r w:rsidR="006E1407" w:rsidRPr="006E1407">
        <w:rPr>
          <w:rFonts w:cstheme="minorHAnsi"/>
        </w:rPr>
        <w:t xml:space="preserve">a </w:t>
      </w:r>
      <w:r w:rsidR="00214D43" w:rsidRPr="006E1407">
        <w:rPr>
          <w:rFonts w:cstheme="minorHAnsi"/>
        </w:rPr>
        <w:t xml:space="preserve">model Community School to further engage the stakeholders around our school.  This effort is </w:t>
      </w:r>
      <w:r w:rsidR="00214D43" w:rsidRPr="006E1407">
        <w:rPr>
          <w:rFonts w:eastAsia="Arial" w:cstheme="minorHAnsi"/>
        </w:rPr>
        <w:t>an opportunity to integrate current and needed initiatives into a single comprehensive plan to enhance the achievement and well-being of our students and families and greater community.</w:t>
      </w:r>
      <w:r w:rsidR="00214D43" w:rsidRPr="006E1407">
        <w:rPr>
          <w:rFonts w:eastAsia="Arial" w:cstheme="minorHAnsi"/>
        </w:rPr>
        <w:t xml:space="preserve">  </w:t>
      </w:r>
    </w:p>
    <w:p w14:paraId="2F06990C" w14:textId="2B2A3774" w:rsidR="006E1407" w:rsidRPr="006E1407" w:rsidRDefault="006E1407" w:rsidP="00E852D6">
      <w:pPr>
        <w:tabs>
          <w:tab w:val="left" w:pos="1377"/>
        </w:tabs>
        <w:rPr>
          <w:rFonts w:cstheme="minorHAnsi"/>
        </w:rPr>
      </w:pPr>
    </w:p>
    <w:p w14:paraId="3163CCEF" w14:textId="433B9602" w:rsidR="006E1407" w:rsidRPr="006E1407" w:rsidRDefault="006E1407" w:rsidP="006E1407">
      <w:pPr>
        <w:tabs>
          <w:tab w:val="left" w:pos="1377"/>
        </w:tabs>
        <w:rPr>
          <w:rFonts w:cstheme="minorHAnsi"/>
        </w:rPr>
      </w:pPr>
      <w:r w:rsidRPr="006E1407">
        <w:rPr>
          <w:rFonts w:cstheme="minorHAnsi"/>
        </w:rPr>
        <w:t xml:space="preserve">For all three </w:t>
      </w:r>
      <w:r w:rsidRPr="006E1407">
        <w:rPr>
          <w:rFonts w:cstheme="minorHAnsi"/>
        </w:rPr>
        <w:t xml:space="preserve">LCAP </w:t>
      </w:r>
      <w:r w:rsidRPr="006E1407">
        <w:rPr>
          <w:rFonts w:cstheme="minorHAnsi"/>
        </w:rPr>
        <w:t>goals</w:t>
      </w:r>
      <w:r w:rsidRPr="006E1407">
        <w:rPr>
          <w:rFonts w:cstheme="minorHAnsi"/>
        </w:rPr>
        <w:t>.</w:t>
      </w:r>
      <w:r w:rsidRPr="006E1407">
        <w:rPr>
          <w:rFonts w:cstheme="minorHAnsi"/>
        </w:rPr>
        <w:t xml:space="preserve"> the actions are being implemented as planned in the 2023-24 LCAP</w:t>
      </w:r>
      <w:r w:rsidRPr="006E1407">
        <w:rPr>
          <w:rFonts w:cstheme="minorHAnsi"/>
        </w:rPr>
        <w:t xml:space="preserve"> with a focus on Community School development and a structured Multi-Tiered System of Support (MTSS) for our students:  </w:t>
      </w:r>
    </w:p>
    <w:p w14:paraId="5FF6A29E" w14:textId="13C963B7" w:rsidR="006E1407" w:rsidRPr="006E1407" w:rsidRDefault="006E1407" w:rsidP="006E1407">
      <w:pPr>
        <w:tabs>
          <w:tab w:val="left" w:pos="1377"/>
        </w:tabs>
        <w:rPr>
          <w:rFonts w:cstheme="minorHAnsi"/>
        </w:rPr>
      </w:pPr>
    </w:p>
    <w:p w14:paraId="30030E91" w14:textId="4A5A6736" w:rsidR="006E1407" w:rsidRPr="006E1407" w:rsidRDefault="006E1407" w:rsidP="006E1407">
      <w:pPr>
        <w:tabs>
          <w:tab w:val="left" w:pos="1377"/>
        </w:tabs>
        <w:rPr>
          <w:rFonts w:cstheme="minorHAnsi"/>
        </w:rPr>
      </w:pPr>
      <w:r w:rsidRPr="006E1407">
        <w:rPr>
          <w:rFonts w:eastAsia="Arial" w:cstheme="minorHAnsi"/>
          <w:color w:val="000000"/>
          <w:highlight w:val="lightGray"/>
        </w:rPr>
        <w:t xml:space="preserve">LCAP </w:t>
      </w:r>
      <w:r w:rsidRPr="006E1407">
        <w:rPr>
          <w:rFonts w:eastAsia="Arial" w:cstheme="minorHAnsi"/>
          <w:b/>
          <w:i/>
          <w:color w:val="000000"/>
          <w:highlight w:val="lightGray"/>
        </w:rPr>
        <w:t>Goal 1</w:t>
      </w:r>
      <w:r w:rsidRPr="006E1407">
        <w:rPr>
          <w:rFonts w:eastAsia="Arial" w:cstheme="minorHAnsi"/>
          <w:b/>
          <w:i/>
          <w:color w:val="000000"/>
        </w:rPr>
        <w:t>:</w:t>
      </w:r>
      <w:r w:rsidRPr="006E1407">
        <w:rPr>
          <w:rFonts w:eastAsia="Arial" w:cstheme="minorHAnsi"/>
          <w:i/>
          <w:color w:val="000000"/>
        </w:rPr>
        <w:t xml:space="preserve"> All students will benefit from the maintenance of a strong base program that is foundational to student academic success at HSHMC </w:t>
      </w:r>
      <w:r w:rsidRPr="006E1407">
        <w:rPr>
          <w:rFonts w:eastAsia="Arial" w:cstheme="minorHAnsi"/>
          <w:color w:val="000000"/>
        </w:rPr>
        <w:t>guided by</w:t>
      </w:r>
      <w:r w:rsidRPr="006E1407">
        <w:rPr>
          <w:rFonts w:eastAsia="Arial" w:cstheme="minorHAnsi"/>
          <w:i/>
          <w:color w:val="000000"/>
        </w:rPr>
        <w:t xml:space="preserve"> </w:t>
      </w:r>
      <w:r w:rsidRPr="006E1407">
        <w:rPr>
          <w:rFonts w:eastAsia="Arial" w:cstheme="minorHAnsi"/>
          <w:color w:val="000000"/>
        </w:rPr>
        <w:t>MTSS, community engagement, professional development, and quality instruction. Following our school wide MTSS session, we established a formal partnership with the San Diego County of</w:t>
      </w:r>
      <w:r w:rsidRPr="006E1407">
        <w:rPr>
          <w:rFonts w:eastAsia="Arial" w:cstheme="minorHAnsi"/>
        </w:rPr>
        <w:t>fice of</w:t>
      </w:r>
      <w:r w:rsidRPr="006E1407">
        <w:rPr>
          <w:rFonts w:eastAsia="Arial" w:cstheme="minorHAnsi"/>
          <w:color w:val="000000"/>
        </w:rPr>
        <w:t xml:space="preserve"> Education and gained CDE funding to establish our staff's MTSS competence/expertise</w:t>
      </w:r>
      <w:r w:rsidRPr="006E1407">
        <w:rPr>
          <w:rFonts w:eastAsia="Arial" w:cstheme="minorHAnsi"/>
          <w:color w:val="000000"/>
        </w:rPr>
        <w:t>.</w:t>
      </w:r>
    </w:p>
    <w:p w14:paraId="56975221" w14:textId="0636A544" w:rsidR="001C6702" w:rsidRPr="006E1407" w:rsidRDefault="001C6702" w:rsidP="00E852D6">
      <w:pPr>
        <w:tabs>
          <w:tab w:val="left" w:pos="1377"/>
        </w:tabs>
        <w:rPr>
          <w:rFonts w:cstheme="minorHAnsi"/>
        </w:rPr>
      </w:pPr>
    </w:p>
    <w:p w14:paraId="0D954D3C" w14:textId="679DDD76" w:rsidR="006F3911" w:rsidRPr="006E1407" w:rsidRDefault="006E1407" w:rsidP="00E852D6">
      <w:pPr>
        <w:tabs>
          <w:tab w:val="left" w:pos="1377"/>
        </w:tabs>
        <w:rPr>
          <w:rFonts w:eastAsia="Arial" w:cstheme="minorHAnsi"/>
          <w:color w:val="000000"/>
        </w:rPr>
      </w:pPr>
      <w:r w:rsidRPr="006E1407">
        <w:rPr>
          <w:rFonts w:eastAsia="Arial" w:cstheme="minorHAnsi"/>
          <w:color w:val="000000"/>
          <w:highlight w:val="lightGray"/>
          <w:shd w:val="clear" w:color="auto" w:fill="999999"/>
        </w:rPr>
        <w:t>LCAP</w:t>
      </w:r>
      <w:r w:rsidRPr="006E1407">
        <w:rPr>
          <w:rFonts w:eastAsia="Arial" w:cstheme="minorHAnsi"/>
          <w:i/>
          <w:color w:val="000000"/>
          <w:highlight w:val="lightGray"/>
          <w:shd w:val="clear" w:color="auto" w:fill="999999"/>
        </w:rPr>
        <w:t xml:space="preserve"> </w:t>
      </w:r>
      <w:r w:rsidRPr="006E1407">
        <w:rPr>
          <w:rFonts w:eastAsia="Arial" w:cstheme="minorHAnsi"/>
          <w:b/>
          <w:i/>
          <w:color w:val="000000"/>
          <w:highlight w:val="lightGray"/>
          <w:shd w:val="clear" w:color="auto" w:fill="999999"/>
        </w:rPr>
        <w:t>Goal 2</w:t>
      </w:r>
      <w:r w:rsidRPr="006E1407">
        <w:rPr>
          <w:rFonts w:eastAsia="Arial" w:cstheme="minorHAnsi"/>
          <w:b/>
          <w:i/>
          <w:color w:val="000000"/>
        </w:rPr>
        <w:t>:</w:t>
      </w:r>
      <w:r w:rsidRPr="006E1407">
        <w:rPr>
          <w:rFonts w:eastAsia="Arial" w:cstheme="minorHAnsi"/>
          <w:i/>
          <w:color w:val="000000"/>
        </w:rPr>
        <w:t xml:space="preserve"> Student achievement will be accelerated through a defined system of high-quality instruction supported by academic and social-emotional programs and interventions and </w:t>
      </w:r>
      <w:r w:rsidRPr="006E1407">
        <w:rPr>
          <w:rFonts w:eastAsia="Arial" w:cstheme="minorHAnsi"/>
          <w:i/>
          <w:color w:val="000000"/>
          <w:highlight w:val="lightGray"/>
          <w:shd w:val="clear" w:color="auto" w:fill="999999"/>
        </w:rPr>
        <w:t xml:space="preserve">LCAP </w:t>
      </w:r>
      <w:r w:rsidRPr="006E1407">
        <w:rPr>
          <w:rFonts w:eastAsia="Arial" w:cstheme="minorHAnsi"/>
          <w:b/>
          <w:i/>
          <w:color w:val="000000"/>
          <w:highlight w:val="lightGray"/>
          <w:shd w:val="clear" w:color="auto" w:fill="999999"/>
        </w:rPr>
        <w:t>Goal 3</w:t>
      </w:r>
      <w:r w:rsidRPr="006E1407">
        <w:rPr>
          <w:rFonts w:eastAsia="Arial" w:cstheme="minorHAnsi"/>
          <w:b/>
          <w:i/>
          <w:color w:val="000000"/>
        </w:rPr>
        <w:t>:</w:t>
      </w:r>
      <w:r w:rsidRPr="006E1407">
        <w:rPr>
          <w:rFonts w:eastAsia="Arial" w:cstheme="minorHAnsi"/>
          <w:i/>
          <w:color w:val="000000"/>
        </w:rPr>
        <w:t xml:space="preserve"> Student and family voice, in partnership with HSHMC staff, will build attendance and engagement and enhance the welcoming and inclusive climate and culture at HSHMC</w:t>
      </w:r>
      <w:r w:rsidRPr="006E1407">
        <w:rPr>
          <w:rFonts w:eastAsia="Arial" w:cstheme="minorHAnsi"/>
          <w:color w:val="000000"/>
        </w:rPr>
        <w:t xml:space="preserve">. The tiered initiatives proposed for both of these goals overlap. </w:t>
      </w:r>
      <w:r w:rsidRPr="006E1407">
        <w:rPr>
          <w:rFonts w:eastAsia="Arial" w:cstheme="minorHAnsi"/>
        </w:rPr>
        <w:t xml:space="preserve">It is the staffing of Goal 2 </w:t>
      </w:r>
      <w:r w:rsidRPr="006E1407">
        <w:rPr>
          <w:rFonts w:eastAsia="Arial" w:cstheme="minorHAnsi"/>
        </w:rPr>
        <w:t>and</w:t>
      </w:r>
      <w:r w:rsidRPr="006E1407">
        <w:rPr>
          <w:rFonts w:eastAsia="Arial" w:cstheme="minorHAnsi"/>
        </w:rPr>
        <w:t xml:space="preserve"> 3</w:t>
      </w:r>
      <w:r w:rsidRPr="006E1407">
        <w:rPr>
          <w:rFonts w:eastAsia="Arial" w:cstheme="minorHAnsi"/>
          <w:b/>
        </w:rPr>
        <w:t xml:space="preserve"> </w:t>
      </w:r>
      <w:r w:rsidRPr="006E1407">
        <w:rPr>
          <w:rFonts w:eastAsia="Arial" w:cstheme="minorHAnsi"/>
        </w:rPr>
        <w:t>that extend/integrate our academic programming to address a broader range of programs, services and partnerships that complement teaching and learning by further addressing the needs and opportunities of our students, their families, and the greater community. A broad range of staff with expertise related to Goal 2 and 3 services have been committed to our implementation as a community school via staffing and contracting in agreements between our school board, LCAP stakeholders, and community partners.</w:t>
      </w:r>
      <w:r w:rsidRPr="006E1407">
        <w:rPr>
          <w:rFonts w:eastAsia="Arial" w:cstheme="minorHAnsi"/>
        </w:rPr>
        <w:t xml:space="preserve">  </w:t>
      </w:r>
      <w:r w:rsidRPr="006E1407">
        <w:rPr>
          <w:rFonts w:eastAsia="Arial" w:cstheme="minorHAnsi"/>
        </w:rPr>
        <w:t xml:space="preserve">In addition to a Community School Coordinator we have committed and leveraged resources for a licensed social worker; academic, vocational and mental health counselors; a restorative practices facilitator; parent coordinators; and a community </w:t>
      </w:r>
      <w:proofErr w:type="gramStart"/>
      <w:r w:rsidRPr="006E1407">
        <w:rPr>
          <w:rFonts w:eastAsia="Arial" w:cstheme="minorHAnsi"/>
        </w:rPr>
        <w:t>schools</w:t>
      </w:r>
      <w:proofErr w:type="gramEnd"/>
      <w:r w:rsidRPr="006E1407">
        <w:rPr>
          <w:rFonts w:eastAsia="Arial" w:cstheme="minorHAnsi"/>
        </w:rPr>
        <w:t xml:space="preserve"> evaluator.</w:t>
      </w:r>
    </w:p>
    <w:p w14:paraId="6620C9A7" w14:textId="77777777" w:rsidR="006E1407" w:rsidRPr="006E1407" w:rsidRDefault="006E1407">
      <w:pPr>
        <w:tabs>
          <w:tab w:val="left" w:pos="1377"/>
        </w:tabs>
        <w:rPr>
          <w:rFonts w:cstheme="minorHAnsi"/>
          <w:b/>
          <w:bCs/>
        </w:rPr>
      </w:pPr>
    </w:p>
    <w:sectPr w:rsidR="006E1407" w:rsidRPr="006E1407" w:rsidSect="00055CE8">
      <w:headerReference w:type="default" r:id="rId7"/>
      <w:footerReference w:type="default" r:id="rId8"/>
      <w:pgSz w:w="12240" w:h="15840"/>
      <w:pgMar w:top="1440" w:right="1008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2D7B8" w14:textId="77777777" w:rsidR="00F573F6" w:rsidRDefault="00F573F6" w:rsidP="00222CC3">
      <w:r>
        <w:separator/>
      </w:r>
    </w:p>
  </w:endnote>
  <w:endnote w:type="continuationSeparator" w:id="0">
    <w:p w14:paraId="55C95375" w14:textId="77777777" w:rsidR="00F573F6" w:rsidRDefault="00F573F6" w:rsidP="0022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0263" w14:textId="77777777" w:rsidR="00222CC3" w:rsidRDefault="00222CC3" w:rsidP="00222CC3">
    <w:pPr>
      <w:rPr>
        <w:sz w:val="20"/>
        <w:szCs w:val="20"/>
      </w:rPr>
    </w:pPr>
    <w:r w:rsidRPr="00222CC3">
      <w:rPr>
        <w:sz w:val="18"/>
        <w:szCs w:val="18"/>
        <w:highlight w:val="green"/>
      </w:rPr>
      <w:t>Green</w:t>
    </w:r>
    <w:r w:rsidRPr="00222CC3">
      <w:rPr>
        <w:sz w:val="18"/>
        <w:szCs w:val="18"/>
      </w:rPr>
      <w:t xml:space="preserve"> indicates growth over previous year</w:t>
    </w:r>
    <w:r w:rsidRPr="0002175A">
      <w:rPr>
        <w:sz w:val="20"/>
        <w:szCs w:val="20"/>
      </w:rPr>
      <w:t xml:space="preserve">.  </w:t>
    </w:r>
    <w:r>
      <w:rPr>
        <w:sz w:val="20"/>
        <w:szCs w:val="20"/>
      </w:rPr>
      <w:t xml:space="preserve"> </w:t>
    </w:r>
    <w:r>
      <w:t xml:space="preserve">* </w:t>
    </w:r>
    <w:r w:rsidRPr="00F5176D">
      <w:rPr>
        <w:sz w:val="18"/>
        <w:szCs w:val="18"/>
      </w:rPr>
      <w:t>scores impacted by pandemic</w:t>
    </w:r>
    <w:r>
      <w:rPr>
        <w:sz w:val="18"/>
        <w:szCs w:val="18"/>
      </w:rPr>
      <w:t>; no state testing in 2020</w:t>
    </w:r>
    <w:r w:rsidRPr="0002175A">
      <w:rPr>
        <w:sz w:val="20"/>
        <w:szCs w:val="20"/>
      </w:rPr>
      <w:t xml:space="preserve"> </w:t>
    </w:r>
  </w:p>
  <w:p w14:paraId="406958B8" w14:textId="77777777" w:rsidR="00222CC3" w:rsidRPr="00222CC3" w:rsidRDefault="00222CC3" w:rsidP="00222CC3">
    <w:pPr>
      <w:rPr>
        <w:sz w:val="10"/>
        <w:szCs w:val="10"/>
      </w:rPr>
    </w:pPr>
  </w:p>
  <w:p w14:paraId="2C9ED6F1" w14:textId="5FB7CE64" w:rsidR="00222CC3" w:rsidRPr="00222CC3" w:rsidRDefault="00222CC3" w:rsidP="00222CC3">
    <w:pPr>
      <w:rPr>
        <w:sz w:val="18"/>
        <w:szCs w:val="18"/>
      </w:rPr>
    </w:pPr>
    <w:r w:rsidRPr="00222CC3">
      <w:rPr>
        <w:sz w:val="18"/>
        <w:szCs w:val="18"/>
      </w:rPr>
      <w:t>SED – Socioeconomically Disadvantaged; SWD – Students with Disabilities; EL – English Learners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DCF04" w14:textId="77777777" w:rsidR="00F573F6" w:rsidRDefault="00F573F6" w:rsidP="00222CC3">
      <w:r>
        <w:separator/>
      </w:r>
    </w:p>
  </w:footnote>
  <w:footnote w:type="continuationSeparator" w:id="0">
    <w:p w14:paraId="66A2CBEB" w14:textId="77777777" w:rsidR="00F573F6" w:rsidRDefault="00F573F6" w:rsidP="0022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4F452" w14:textId="1018EEEC" w:rsidR="00526647" w:rsidRPr="00903277" w:rsidRDefault="00526647" w:rsidP="00526647">
    <w:pPr>
      <w:jc w:val="center"/>
    </w:pPr>
    <w:r w:rsidRPr="00903277">
      <w:t>Health Sciences High and Middle College</w:t>
    </w:r>
  </w:p>
  <w:p w14:paraId="27928A22" w14:textId="51050327" w:rsidR="00903277" w:rsidRPr="0002175A" w:rsidRDefault="00903277" w:rsidP="00526647">
    <w:pPr>
      <w:jc w:val="center"/>
      <w:rPr>
        <w:b/>
        <w:bCs/>
      </w:rPr>
    </w:pPr>
    <w:r>
      <w:rPr>
        <w:b/>
        <w:bCs/>
      </w:rPr>
      <w:t xml:space="preserve">LCAP Mid-Year Annual Update for 2023-24 </w:t>
    </w:r>
  </w:p>
  <w:p w14:paraId="0940520C" w14:textId="77777777" w:rsidR="00526647" w:rsidRDefault="00526647" w:rsidP="0052664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27C4"/>
    <w:multiLevelType w:val="hybridMultilevel"/>
    <w:tmpl w:val="8D60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1EC3"/>
    <w:multiLevelType w:val="hybridMultilevel"/>
    <w:tmpl w:val="6D98D0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FC043E"/>
    <w:multiLevelType w:val="hybridMultilevel"/>
    <w:tmpl w:val="C230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94"/>
    <w:rsid w:val="0002175A"/>
    <w:rsid w:val="000507D4"/>
    <w:rsid w:val="00055CE8"/>
    <w:rsid w:val="000B7EA8"/>
    <w:rsid w:val="0010250E"/>
    <w:rsid w:val="00110847"/>
    <w:rsid w:val="00166726"/>
    <w:rsid w:val="00187005"/>
    <w:rsid w:val="001C6702"/>
    <w:rsid w:val="00214D43"/>
    <w:rsid w:val="00222CC3"/>
    <w:rsid w:val="002C215A"/>
    <w:rsid w:val="003012E2"/>
    <w:rsid w:val="00365661"/>
    <w:rsid w:val="00393736"/>
    <w:rsid w:val="003F6969"/>
    <w:rsid w:val="00453F43"/>
    <w:rsid w:val="00526647"/>
    <w:rsid w:val="00553E17"/>
    <w:rsid w:val="00595690"/>
    <w:rsid w:val="005B0894"/>
    <w:rsid w:val="005F17DA"/>
    <w:rsid w:val="00624AE2"/>
    <w:rsid w:val="0064553F"/>
    <w:rsid w:val="006713B1"/>
    <w:rsid w:val="00681B97"/>
    <w:rsid w:val="006B10DA"/>
    <w:rsid w:val="006E1407"/>
    <w:rsid w:val="006F3911"/>
    <w:rsid w:val="006F525A"/>
    <w:rsid w:val="006F75B1"/>
    <w:rsid w:val="007029B7"/>
    <w:rsid w:val="00722507"/>
    <w:rsid w:val="00783EAA"/>
    <w:rsid w:val="00841CCC"/>
    <w:rsid w:val="00861C21"/>
    <w:rsid w:val="008853B3"/>
    <w:rsid w:val="008E5D7D"/>
    <w:rsid w:val="00903277"/>
    <w:rsid w:val="009E5A78"/>
    <w:rsid w:val="00AA2B97"/>
    <w:rsid w:val="00B229D7"/>
    <w:rsid w:val="00B3782C"/>
    <w:rsid w:val="00B52E1E"/>
    <w:rsid w:val="00BA10EF"/>
    <w:rsid w:val="00BB668E"/>
    <w:rsid w:val="00BD4DF1"/>
    <w:rsid w:val="00C118E9"/>
    <w:rsid w:val="00CF095A"/>
    <w:rsid w:val="00D05BF2"/>
    <w:rsid w:val="00D454B0"/>
    <w:rsid w:val="00DF1039"/>
    <w:rsid w:val="00E56A26"/>
    <w:rsid w:val="00E852D6"/>
    <w:rsid w:val="00EE5AC6"/>
    <w:rsid w:val="00EE689E"/>
    <w:rsid w:val="00F5176D"/>
    <w:rsid w:val="00F573F6"/>
    <w:rsid w:val="00F941B3"/>
    <w:rsid w:val="00F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4884E"/>
  <w15:chartTrackingRefBased/>
  <w15:docId w15:val="{6208B638-25C4-4947-A12D-A367E58C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4DF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F51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CC3"/>
  </w:style>
  <w:style w:type="paragraph" w:styleId="Footer">
    <w:name w:val="footer"/>
    <w:basedOn w:val="Normal"/>
    <w:link w:val="FooterChar"/>
    <w:uiPriority w:val="99"/>
    <w:unhideWhenUsed/>
    <w:rsid w:val="00222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nlsedgwick</dc:creator>
  <cp:keywords/>
  <dc:description/>
  <cp:lastModifiedBy>Microsoft Office User</cp:lastModifiedBy>
  <cp:revision>2</cp:revision>
  <cp:lastPrinted>2023-03-03T01:27:00Z</cp:lastPrinted>
  <dcterms:created xsi:type="dcterms:W3CDTF">2024-01-21T16:33:00Z</dcterms:created>
  <dcterms:modified xsi:type="dcterms:W3CDTF">2024-01-21T16:33:00Z</dcterms:modified>
</cp:coreProperties>
</file>