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98EC" w14:textId="77777777" w:rsidR="009F0DAC" w:rsidRPr="009F0DAC" w:rsidRDefault="009F0DAC" w:rsidP="009F0DAC">
      <w:pPr>
        <w:jc w:val="center"/>
        <w:rPr>
          <w:rFonts w:ascii="Nirmala UI" w:hAnsi="Nirmala UI" w:cs="Nirmala UI"/>
          <w:b/>
          <w:bCs/>
        </w:rPr>
      </w:pPr>
      <w:r w:rsidRPr="009F0DAC">
        <w:rPr>
          <w:rFonts w:ascii="Nirmala UI" w:hAnsi="Nirmala UI" w:cs="Nirmala UI"/>
          <w:b/>
          <w:bCs/>
        </w:rPr>
        <w:t>PROCEDURE for POLICY #2162</w:t>
      </w:r>
    </w:p>
    <w:p w14:paraId="012E719A" w14:textId="1306B4BB" w:rsidR="009F0DAC" w:rsidRPr="009F0DAC" w:rsidRDefault="009F0DAC" w:rsidP="009F0DAC">
      <w:pPr>
        <w:spacing w:line="240" w:lineRule="auto"/>
        <w:jc w:val="center"/>
        <w:rPr>
          <w:rFonts w:ascii="Nirmala UI" w:hAnsi="Nirmala UI" w:cs="Nirmala UI"/>
          <w:b/>
          <w:bCs/>
        </w:rPr>
      </w:pPr>
      <w:r w:rsidRPr="009F0DAC">
        <w:rPr>
          <w:rFonts w:ascii="Nirmala UI" w:hAnsi="Nirmala UI" w:cs="Nirmala UI"/>
          <w:b/>
          <w:bCs/>
        </w:rPr>
        <w:t xml:space="preserve">Education of Students </w:t>
      </w:r>
      <w:r>
        <w:rPr>
          <w:rFonts w:ascii="Nirmala UI" w:hAnsi="Nirmala UI" w:cs="Nirmala UI"/>
          <w:b/>
          <w:bCs/>
        </w:rPr>
        <w:t>w</w:t>
      </w:r>
      <w:r w:rsidRPr="009F0DAC">
        <w:rPr>
          <w:rFonts w:ascii="Nirmala UI" w:hAnsi="Nirmala UI" w:cs="Nirmala UI"/>
          <w:b/>
          <w:bCs/>
        </w:rPr>
        <w:t>ith Disabilities Under Section 504 of the Rehabilitation Act of 1973</w:t>
      </w:r>
    </w:p>
    <w:p w14:paraId="6DC8C894" w14:textId="77777777" w:rsidR="009F0DAC" w:rsidRPr="009F0DAC" w:rsidRDefault="009F0DAC" w:rsidP="009F0DAC">
      <w:pPr>
        <w:spacing w:line="240" w:lineRule="auto"/>
        <w:jc w:val="center"/>
        <w:rPr>
          <w:rFonts w:ascii="Nirmala UI" w:eastAsia="Times New Roman" w:hAnsi="Nirmala UI" w:cs="Nirmala UI"/>
        </w:rPr>
      </w:pPr>
    </w:p>
    <w:p w14:paraId="4AC3D957" w14:textId="2690D97B" w:rsidR="009F0DAC" w:rsidRPr="009F0DAC" w:rsidRDefault="009F0DAC" w:rsidP="009F0DAC">
      <w:pPr>
        <w:spacing w:before="80" w:after="80" w:line="240" w:lineRule="auto"/>
        <w:rPr>
          <w:rFonts w:ascii="Nirmala UI" w:eastAsia="Verdana" w:hAnsi="Nirmala UI" w:cs="Nirmala UI"/>
        </w:rPr>
      </w:pPr>
      <w:r w:rsidRPr="009F0DAC">
        <w:rPr>
          <w:rFonts w:ascii="Nirmala UI" w:eastAsia="Verdana" w:hAnsi="Nirmala UI" w:cs="Nirmala UI"/>
          <w:b/>
          <w:bCs/>
        </w:rPr>
        <w:t>Adopted</w:t>
      </w:r>
      <w:r w:rsidRPr="009F0DAC">
        <w:rPr>
          <w:rFonts w:ascii="Nirmala UI" w:eastAsia="Verdana" w:hAnsi="Nirmala UI" w:cs="Nirmala UI"/>
        </w:rPr>
        <w:t xml:space="preserve"> – </w:t>
      </w:r>
      <w:r w:rsidR="00706C4B">
        <w:rPr>
          <w:rFonts w:ascii="Nirmala UI" w:eastAsia="Verdana" w:hAnsi="Nirmala UI" w:cs="Nirmala UI"/>
        </w:rPr>
        <w:t>11/2023</w:t>
      </w:r>
    </w:p>
    <w:p w14:paraId="5675C27C" w14:textId="02DB2101" w:rsidR="009F0DAC" w:rsidRPr="009F0DAC" w:rsidRDefault="009F0DAC" w:rsidP="009F0DAC">
      <w:pPr>
        <w:spacing w:before="80" w:after="80" w:line="240" w:lineRule="auto"/>
        <w:rPr>
          <w:rFonts w:ascii="Nirmala UI" w:eastAsia="Verdana" w:hAnsi="Nirmala UI" w:cs="Nirmala UI"/>
          <w:highlight w:val="white"/>
        </w:rPr>
      </w:pPr>
      <w:r w:rsidRPr="009F0DAC">
        <w:rPr>
          <w:rFonts w:ascii="Nirmala UI" w:eastAsia="Verdana" w:hAnsi="Nirmala UI" w:cs="Nirmala UI"/>
          <w:b/>
          <w:bCs/>
        </w:rPr>
        <w:t>Last Revised</w:t>
      </w:r>
      <w:r w:rsidRPr="009F0DAC">
        <w:rPr>
          <w:rFonts w:ascii="Nirmala UI" w:eastAsia="Verdana" w:hAnsi="Nirmala UI" w:cs="Nirmala UI"/>
        </w:rPr>
        <w:t xml:space="preserve"> – PCM: </w:t>
      </w:r>
      <w:r w:rsidR="00706C4B">
        <w:rPr>
          <w:rFonts w:ascii="Nirmala UI" w:eastAsia="Verdana" w:hAnsi="Nirmala UI" w:cs="Nirmala UI"/>
        </w:rPr>
        <w:t xml:space="preserve">11/2023, </w:t>
      </w:r>
      <w:r w:rsidR="00C83CAB">
        <w:rPr>
          <w:rFonts w:ascii="Nirmala UI" w:eastAsia="Verdana" w:hAnsi="Nirmala UI" w:cs="Nirmala UI"/>
        </w:rPr>
        <w:t>6</w:t>
      </w:r>
      <w:r w:rsidRPr="009F0DAC">
        <w:rPr>
          <w:rFonts w:ascii="Nirmala UI" w:eastAsia="Verdana" w:hAnsi="Nirmala UI" w:cs="Nirmala UI"/>
        </w:rPr>
        <w:t xml:space="preserve">/2021, WSSDA: </w:t>
      </w:r>
      <w:r w:rsidR="00706C4B">
        <w:rPr>
          <w:rFonts w:ascii="Nirmala UI" w:eastAsia="Verdana" w:hAnsi="Nirmala UI" w:cs="Nirmala UI"/>
        </w:rPr>
        <w:t>7/2023</w:t>
      </w:r>
    </w:p>
    <w:p w14:paraId="7EB2EDC1" w14:textId="2D51F9BF" w:rsidR="009F0DAC" w:rsidRPr="009F0DAC" w:rsidRDefault="009F0DAC" w:rsidP="009F0DAC">
      <w:pPr>
        <w:tabs>
          <w:tab w:val="center" w:pos="5040"/>
        </w:tabs>
        <w:spacing w:before="80" w:after="80" w:line="240" w:lineRule="auto"/>
        <w:rPr>
          <w:rFonts w:ascii="Nirmala UI" w:eastAsia="Verdana" w:hAnsi="Nirmala UI" w:cs="Nirmala UI"/>
        </w:rPr>
      </w:pPr>
      <w:r w:rsidRPr="009F0DAC">
        <w:rPr>
          <w:rFonts w:ascii="Nirmala UI" w:eastAsia="Verdana" w:hAnsi="Nirmala UI" w:cs="Nirmala UI"/>
          <w:b/>
          <w:bCs/>
        </w:rPr>
        <w:t>Prior Revised Dates</w:t>
      </w:r>
      <w:r w:rsidRPr="009F0DAC">
        <w:rPr>
          <w:rFonts w:ascii="Nirmala UI" w:eastAsia="Verdana" w:hAnsi="Nirmala UI" w:cs="Nirmala UI"/>
        </w:rPr>
        <w:t xml:space="preserve"> – WSSDA: 6/1997, 6/2011, 4/</w:t>
      </w:r>
      <w:r w:rsidR="00706C4B">
        <w:rPr>
          <w:rFonts w:ascii="Nirmala UI" w:eastAsia="Verdana" w:hAnsi="Nirmala UI" w:cs="Nirmala UI"/>
        </w:rPr>
        <w:t>2015, 11/2016</w:t>
      </w:r>
      <w:r w:rsidRPr="009F0DAC">
        <w:rPr>
          <w:rFonts w:ascii="Nirmala UI" w:eastAsia="Verdana" w:hAnsi="Nirmala UI" w:cs="Nirmala UI"/>
        </w:rPr>
        <w:tab/>
      </w:r>
    </w:p>
    <w:p w14:paraId="3157F5BB" w14:textId="77777777" w:rsidR="009F0DAC" w:rsidRPr="009F0DAC" w:rsidRDefault="009F0DAC" w:rsidP="009F0DAC">
      <w:pPr>
        <w:rPr>
          <w:rFonts w:ascii="Nirmala UI" w:hAnsi="Nirmala UI" w:cs="Nirmala UI"/>
        </w:rPr>
      </w:pPr>
    </w:p>
    <w:p w14:paraId="167AE113" w14:textId="77777777" w:rsidR="009F0DAC" w:rsidRPr="009F0DAC" w:rsidRDefault="009F0DAC" w:rsidP="009F0DAC">
      <w:pPr>
        <w:rPr>
          <w:rFonts w:ascii="Nirmala UI" w:hAnsi="Nirmala UI" w:cs="Nirmala UI"/>
          <w:b/>
          <w:bCs/>
        </w:rPr>
      </w:pPr>
      <w:r w:rsidRPr="009F0DAC">
        <w:rPr>
          <w:rFonts w:ascii="Nirmala UI" w:hAnsi="Nirmala UI" w:cs="Nirmala UI"/>
          <w:b/>
          <w:bCs/>
        </w:rPr>
        <w:t>A.</w:t>
      </w:r>
      <w:r w:rsidRPr="009F0DAC">
        <w:rPr>
          <w:rFonts w:ascii="Nirmala UI" w:hAnsi="Nirmala UI" w:cs="Nirmala UI"/>
          <w:b/>
          <w:bCs/>
        </w:rPr>
        <w:tab/>
        <w:t>Free Appropriate Public Education</w:t>
      </w:r>
    </w:p>
    <w:p w14:paraId="7F14DDE5" w14:textId="77777777" w:rsidR="009F0DAC" w:rsidRPr="009F0DAC" w:rsidRDefault="009F0DAC" w:rsidP="009F0DAC">
      <w:pPr>
        <w:rPr>
          <w:rFonts w:ascii="Nirmala UI" w:hAnsi="Nirmala UI" w:cs="Nirmala UI"/>
        </w:rPr>
      </w:pPr>
      <w:r w:rsidRPr="009F0DAC">
        <w:rPr>
          <w:rFonts w:ascii="Nirmala UI" w:hAnsi="Nirmala UI" w:cs="Nirmala UI"/>
        </w:rPr>
        <w:t>Pullman Community Montessori (PCM) will provide a free appropriate public education to school-age children with disabilities in PCM’s jurisdiction.</w:t>
      </w:r>
    </w:p>
    <w:p w14:paraId="5E919047" w14:textId="77777777" w:rsidR="009F0DAC" w:rsidRPr="009F0DAC" w:rsidRDefault="009F0DAC" w:rsidP="009F0DAC">
      <w:pPr>
        <w:rPr>
          <w:rFonts w:ascii="Nirmala UI" w:hAnsi="Nirmala UI" w:cs="Nirmala UI"/>
        </w:rPr>
      </w:pPr>
    </w:p>
    <w:p w14:paraId="1158EEE7" w14:textId="77777777" w:rsidR="009F0DAC" w:rsidRPr="009F0DAC" w:rsidRDefault="009F0DAC" w:rsidP="009F0DAC">
      <w:pPr>
        <w:rPr>
          <w:rFonts w:ascii="Nirmala UI" w:hAnsi="Nirmala UI" w:cs="Nirmala UI"/>
          <w:b/>
          <w:bCs/>
        </w:rPr>
      </w:pPr>
      <w:r w:rsidRPr="009F0DAC">
        <w:rPr>
          <w:rFonts w:ascii="Nirmala UI" w:hAnsi="Nirmala UI" w:cs="Nirmala UI"/>
          <w:b/>
          <w:bCs/>
        </w:rPr>
        <w:t>B.</w:t>
      </w:r>
      <w:r w:rsidRPr="009F0DAC">
        <w:rPr>
          <w:rFonts w:ascii="Nirmala UI" w:hAnsi="Nirmala UI" w:cs="Nirmala UI"/>
          <w:b/>
          <w:bCs/>
        </w:rPr>
        <w:tab/>
        <w:t>Child Find</w:t>
      </w:r>
    </w:p>
    <w:p w14:paraId="5C5C4286" w14:textId="77777777" w:rsidR="009F0DAC" w:rsidRPr="009F0DAC" w:rsidRDefault="009F0DAC" w:rsidP="009F0DAC">
      <w:pPr>
        <w:rPr>
          <w:rFonts w:ascii="Nirmala UI" w:hAnsi="Nirmala UI" w:cs="Nirmala UI"/>
        </w:rPr>
      </w:pPr>
      <w:r w:rsidRPr="009F0DAC">
        <w:rPr>
          <w:rFonts w:ascii="Nirmala UI" w:hAnsi="Nirmala UI" w:cs="Nirmala UI"/>
        </w:rPr>
        <w:t>PCM will annually undertake to identify and locate every qualified disabled student residing in PCM’s jurisdiction who is not receiving a public education and take appropriate steps to notify disabled children and their parents or guardians of PCM’s responsibilities under Section 504.</w:t>
      </w:r>
    </w:p>
    <w:p w14:paraId="5A70E9CB" w14:textId="77777777" w:rsidR="009F0DAC" w:rsidRPr="009F0DAC" w:rsidRDefault="009F0DAC" w:rsidP="009F0DAC">
      <w:pPr>
        <w:rPr>
          <w:rFonts w:ascii="Nirmala UI" w:hAnsi="Nirmala UI" w:cs="Nirmala UI"/>
        </w:rPr>
      </w:pPr>
    </w:p>
    <w:p w14:paraId="38C5E5CA" w14:textId="77777777" w:rsidR="009F0DAC" w:rsidRPr="009F0DAC" w:rsidRDefault="009F0DAC" w:rsidP="009F0DAC">
      <w:pPr>
        <w:rPr>
          <w:rFonts w:ascii="Nirmala UI" w:hAnsi="Nirmala UI" w:cs="Nirmala UI"/>
          <w:b/>
          <w:bCs/>
        </w:rPr>
      </w:pPr>
      <w:r w:rsidRPr="009F0DAC">
        <w:rPr>
          <w:rFonts w:ascii="Nirmala UI" w:hAnsi="Nirmala UI" w:cs="Nirmala UI"/>
          <w:b/>
          <w:bCs/>
        </w:rPr>
        <w:t>C.</w:t>
      </w:r>
      <w:r w:rsidRPr="009F0DAC">
        <w:rPr>
          <w:rFonts w:ascii="Nirmala UI" w:hAnsi="Nirmala UI" w:cs="Nirmala UI"/>
          <w:b/>
          <w:bCs/>
        </w:rPr>
        <w:tab/>
        <w:t>Equal Educational Opportunity</w:t>
      </w:r>
    </w:p>
    <w:p w14:paraId="69BA01A5" w14:textId="77777777" w:rsidR="009F0DAC" w:rsidRPr="009F0DAC" w:rsidRDefault="009F0DAC" w:rsidP="009F0DAC">
      <w:pPr>
        <w:rPr>
          <w:rFonts w:ascii="Nirmala UI" w:hAnsi="Nirmala UI" w:cs="Nirmala UI"/>
        </w:rPr>
      </w:pPr>
      <w:r w:rsidRPr="009F0DAC">
        <w:rPr>
          <w:rFonts w:ascii="Nirmala UI" w:hAnsi="Nirmala UI" w:cs="Nirmala UI"/>
        </w:rPr>
        <w:t>PCM will provide students with disabilities an equal opportunity to participate in and benefit from the educational services it provides to non-disabled students. The teachers of disabled students will meet comparable standards for certification that teachers of non-disabled students meet. Facilities will be of comparable quality and appropriate materials and equipment will be available.</w:t>
      </w:r>
    </w:p>
    <w:p w14:paraId="1FDDF38E" w14:textId="77777777" w:rsidR="009F0DAC" w:rsidRPr="009F0DAC" w:rsidRDefault="009F0DAC" w:rsidP="009F0DAC">
      <w:pPr>
        <w:rPr>
          <w:rFonts w:ascii="Nirmala UI" w:hAnsi="Nirmala UI" w:cs="Nirmala UI"/>
        </w:rPr>
      </w:pPr>
    </w:p>
    <w:p w14:paraId="20D5558C" w14:textId="77777777" w:rsidR="009F0DAC" w:rsidRPr="009F0DAC" w:rsidRDefault="009F0DAC" w:rsidP="009F0DAC">
      <w:pPr>
        <w:rPr>
          <w:rFonts w:ascii="Nirmala UI" w:hAnsi="Nirmala UI" w:cs="Nirmala UI"/>
          <w:b/>
          <w:bCs/>
        </w:rPr>
      </w:pPr>
      <w:r w:rsidRPr="009F0DAC">
        <w:rPr>
          <w:rFonts w:ascii="Nirmala UI" w:hAnsi="Nirmala UI" w:cs="Nirmala UI"/>
          <w:b/>
          <w:bCs/>
        </w:rPr>
        <w:t>D.</w:t>
      </w:r>
      <w:r w:rsidRPr="009F0DAC">
        <w:rPr>
          <w:rFonts w:ascii="Nirmala UI" w:hAnsi="Nirmala UI" w:cs="Nirmala UI"/>
          <w:b/>
          <w:bCs/>
        </w:rPr>
        <w:tab/>
        <w:t>Confidentiality of Information</w:t>
      </w:r>
    </w:p>
    <w:p w14:paraId="287EC703" w14:textId="77777777" w:rsidR="009F0DAC" w:rsidRPr="009F0DAC" w:rsidRDefault="009F0DAC" w:rsidP="009F0DAC">
      <w:pPr>
        <w:rPr>
          <w:rFonts w:ascii="Nirmala UI" w:hAnsi="Nirmala UI" w:cs="Nirmala UI"/>
        </w:rPr>
      </w:pPr>
      <w:r w:rsidRPr="009F0DAC">
        <w:rPr>
          <w:rFonts w:ascii="Nirmala UI" w:hAnsi="Nirmala UI" w:cs="Nirmala UI"/>
        </w:rPr>
        <w:t>The confidentiality of student records will be maintained throughout the period of time when such records are collected, stored, disclosed or destroyed by PCM.</w:t>
      </w:r>
    </w:p>
    <w:p w14:paraId="22A57AA2" w14:textId="77777777" w:rsidR="009F0DAC" w:rsidRPr="009F0DAC" w:rsidRDefault="009F0DAC" w:rsidP="009F0DAC">
      <w:pPr>
        <w:rPr>
          <w:rFonts w:ascii="Nirmala UI" w:hAnsi="Nirmala UI" w:cs="Nirmala UI"/>
        </w:rPr>
      </w:pPr>
    </w:p>
    <w:p w14:paraId="415E69B3" w14:textId="77777777" w:rsidR="009F0DAC" w:rsidRPr="009F0DAC" w:rsidRDefault="009F0DAC" w:rsidP="009F0DAC">
      <w:pPr>
        <w:rPr>
          <w:rFonts w:ascii="Nirmala UI" w:hAnsi="Nirmala UI" w:cs="Nirmala UI"/>
          <w:b/>
          <w:bCs/>
        </w:rPr>
      </w:pPr>
      <w:r w:rsidRPr="009F0DAC">
        <w:rPr>
          <w:rFonts w:ascii="Nirmala UI" w:hAnsi="Nirmala UI" w:cs="Nirmala UI"/>
          <w:b/>
          <w:bCs/>
        </w:rPr>
        <w:t>E.</w:t>
      </w:r>
      <w:r w:rsidRPr="009F0DAC">
        <w:rPr>
          <w:rFonts w:ascii="Nirmala UI" w:hAnsi="Nirmala UI" w:cs="Nirmala UI"/>
          <w:b/>
          <w:bCs/>
        </w:rPr>
        <w:tab/>
        <w:t>Parent Involvement</w:t>
      </w:r>
    </w:p>
    <w:p w14:paraId="2EBD28BA" w14:textId="235D5CC6" w:rsidR="009F0DAC" w:rsidRPr="00CD482A" w:rsidRDefault="009F0DAC" w:rsidP="00CD482A">
      <w:pPr>
        <w:pStyle w:val="ListParagraph"/>
        <w:numPr>
          <w:ilvl w:val="0"/>
          <w:numId w:val="17"/>
        </w:numPr>
        <w:ind w:hanging="360"/>
        <w:rPr>
          <w:rFonts w:ascii="Nirmala UI" w:hAnsi="Nirmala UI" w:cs="Nirmala UI"/>
        </w:rPr>
      </w:pPr>
      <w:r w:rsidRPr="009F0DAC">
        <w:rPr>
          <w:rFonts w:ascii="Nirmala UI" w:hAnsi="Nirmala UI" w:cs="Nirmala UI"/>
          <w:b/>
          <w:bCs/>
        </w:rPr>
        <w:t>Initial Evaluation.</w:t>
      </w:r>
      <w:r w:rsidRPr="009F0DAC">
        <w:rPr>
          <w:rFonts w:ascii="Nirmala UI" w:hAnsi="Nirmala UI" w:cs="Nirmala UI"/>
        </w:rPr>
        <w:t xml:space="preserve"> PCM will obtain the consent of parents or guardians before conducting an initial evaluation of a student. PCM will notify parents or guardians of the evaluation results.</w:t>
      </w:r>
    </w:p>
    <w:p w14:paraId="3364C219" w14:textId="61B82958" w:rsidR="009F0DAC" w:rsidRPr="00CD482A" w:rsidRDefault="009F0DAC" w:rsidP="00CD482A">
      <w:pPr>
        <w:pStyle w:val="ListParagraph"/>
        <w:numPr>
          <w:ilvl w:val="0"/>
          <w:numId w:val="17"/>
        </w:numPr>
        <w:ind w:hanging="360"/>
        <w:rPr>
          <w:rFonts w:ascii="Nirmala UI" w:hAnsi="Nirmala UI" w:cs="Nirmala UI"/>
        </w:rPr>
      </w:pPr>
      <w:r w:rsidRPr="009F0DAC">
        <w:rPr>
          <w:rFonts w:ascii="Nirmala UI" w:hAnsi="Nirmala UI" w:cs="Nirmala UI"/>
          <w:b/>
          <w:bCs/>
        </w:rPr>
        <w:t>Initial Placement.</w:t>
      </w:r>
      <w:r w:rsidRPr="009F0DAC">
        <w:rPr>
          <w:rFonts w:ascii="Nirmala UI" w:hAnsi="Nirmala UI" w:cs="Nirmala UI"/>
        </w:rPr>
        <w:t xml:space="preserve"> PCM will notify parents or guardians before initially placing a disabled student.</w:t>
      </w:r>
    </w:p>
    <w:p w14:paraId="3B76F8FF" w14:textId="77777777" w:rsidR="009F0DAC" w:rsidRPr="009F0DAC" w:rsidRDefault="009F0DAC" w:rsidP="009F0DAC">
      <w:pPr>
        <w:pStyle w:val="ListParagraph"/>
        <w:numPr>
          <w:ilvl w:val="0"/>
          <w:numId w:val="17"/>
        </w:numPr>
        <w:ind w:hanging="360"/>
        <w:rPr>
          <w:rFonts w:ascii="Nirmala UI" w:hAnsi="Nirmala UI" w:cs="Nirmala UI"/>
        </w:rPr>
      </w:pPr>
      <w:r w:rsidRPr="009F0DAC">
        <w:rPr>
          <w:rFonts w:ascii="Nirmala UI" w:hAnsi="Nirmala UI" w:cs="Nirmala UI"/>
          <w:b/>
          <w:bCs/>
        </w:rPr>
        <w:t>Significant Change in Placement.</w:t>
      </w:r>
      <w:r w:rsidRPr="009F0DAC">
        <w:rPr>
          <w:rFonts w:ascii="Nirmala UI" w:hAnsi="Nirmala UI" w:cs="Nirmala UI"/>
        </w:rPr>
        <w:t xml:space="preserve"> PCM will notify parents or guardians before implementing a significant change in the student's placement.</w:t>
      </w:r>
    </w:p>
    <w:p w14:paraId="5E3B2627" w14:textId="77777777" w:rsidR="009F0DAC" w:rsidRPr="009F0DAC" w:rsidRDefault="009F0DAC" w:rsidP="009F0DAC">
      <w:pPr>
        <w:ind w:left="1080" w:hanging="360"/>
        <w:rPr>
          <w:rFonts w:ascii="Nirmala UI" w:hAnsi="Nirmala UI" w:cs="Nirmala UI"/>
        </w:rPr>
      </w:pPr>
    </w:p>
    <w:p w14:paraId="39A8940E" w14:textId="789E1A8B" w:rsidR="009F0DAC" w:rsidRPr="00CD482A" w:rsidRDefault="009F0DAC" w:rsidP="00CD482A">
      <w:pPr>
        <w:pStyle w:val="ListParagraph"/>
        <w:numPr>
          <w:ilvl w:val="0"/>
          <w:numId w:val="17"/>
        </w:numPr>
        <w:ind w:hanging="360"/>
        <w:rPr>
          <w:rFonts w:ascii="Nirmala UI" w:hAnsi="Nirmala UI" w:cs="Nirmala UI"/>
        </w:rPr>
      </w:pPr>
      <w:r w:rsidRPr="009F0DAC">
        <w:rPr>
          <w:rFonts w:ascii="Nirmala UI" w:hAnsi="Nirmala UI" w:cs="Nirmala UI"/>
          <w:b/>
          <w:bCs/>
        </w:rPr>
        <w:t>Right to Challenge.</w:t>
      </w:r>
      <w:r w:rsidRPr="009F0DAC">
        <w:rPr>
          <w:rFonts w:ascii="Nirmala UI" w:hAnsi="Nirmala UI" w:cs="Nirmala UI"/>
        </w:rPr>
        <w:t xml:space="preserve"> PCM will notify parents or guardians of their right to review and challenge PCM’s program and placement decisions if they disagree with them.</w:t>
      </w:r>
    </w:p>
    <w:p w14:paraId="13449FB3" w14:textId="77777777" w:rsidR="009F0DAC" w:rsidRPr="009F0DAC" w:rsidRDefault="009F0DAC" w:rsidP="009F0DAC">
      <w:pPr>
        <w:pStyle w:val="ListParagraph"/>
        <w:numPr>
          <w:ilvl w:val="0"/>
          <w:numId w:val="17"/>
        </w:numPr>
        <w:ind w:hanging="360"/>
        <w:rPr>
          <w:rFonts w:ascii="Nirmala UI" w:hAnsi="Nirmala UI" w:cs="Nirmala UI"/>
        </w:rPr>
      </w:pPr>
      <w:r w:rsidRPr="009F0DAC">
        <w:rPr>
          <w:rFonts w:ascii="Nirmala UI" w:hAnsi="Nirmala UI" w:cs="Nirmala UI"/>
          <w:b/>
          <w:bCs/>
        </w:rPr>
        <w:t>Meetings.</w:t>
      </w:r>
      <w:r w:rsidRPr="009F0DAC">
        <w:rPr>
          <w:rFonts w:ascii="Nirmala UI" w:hAnsi="Nirmala UI" w:cs="Nirmala UI"/>
        </w:rPr>
        <w:t xml:space="preserve"> Section 504 does not give parents or guardians the right to participate in a meeting during which their child’s program is designed and placement is determined, as does the IDEA. However, this practice is recommended.</w:t>
      </w:r>
    </w:p>
    <w:p w14:paraId="4AAF5BDC" w14:textId="77777777" w:rsidR="009F0DAC" w:rsidRPr="009F0DAC" w:rsidRDefault="009F0DAC" w:rsidP="009F0DAC">
      <w:pPr>
        <w:rPr>
          <w:rFonts w:ascii="Nirmala UI" w:hAnsi="Nirmala UI" w:cs="Nirmala UI"/>
        </w:rPr>
      </w:pPr>
    </w:p>
    <w:p w14:paraId="4463EBDA" w14:textId="77777777" w:rsidR="009F0DAC" w:rsidRPr="009F0DAC" w:rsidRDefault="009F0DAC" w:rsidP="009F0DAC">
      <w:pPr>
        <w:rPr>
          <w:rFonts w:ascii="Nirmala UI" w:hAnsi="Nirmala UI" w:cs="Nirmala UI"/>
          <w:b/>
          <w:bCs/>
        </w:rPr>
      </w:pPr>
      <w:r w:rsidRPr="009F0DAC">
        <w:rPr>
          <w:rFonts w:ascii="Nirmala UI" w:hAnsi="Nirmala UI" w:cs="Nirmala UI"/>
          <w:b/>
          <w:bCs/>
        </w:rPr>
        <w:t>F.</w:t>
      </w:r>
      <w:r w:rsidRPr="009F0DAC">
        <w:rPr>
          <w:rFonts w:ascii="Nirmala UI" w:hAnsi="Nirmala UI" w:cs="Nirmala UI"/>
          <w:b/>
          <w:bCs/>
        </w:rPr>
        <w:tab/>
        <w:t>Participation in the Least Restrictive Environment</w:t>
      </w:r>
    </w:p>
    <w:p w14:paraId="0090556C" w14:textId="6BAF6985" w:rsidR="009F0DAC" w:rsidRPr="00CD482A" w:rsidRDefault="009F0DAC" w:rsidP="00CD482A">
      <w:pPr>
        <w:pStyle w:val="ListParagraph"/>
        <w:numPr>
          <w:ilvl w:val="0"/>
          <w:numId w:val="18"/>
        </w:numPr>
        <w:ind w:hanging="360"/>
        <w:rPr>
          <w:rFonts w:ascii="Nirmala UI" w:hAnsi="Nirmala UI" w:cs="Nirmala UI"/>
        </w:rPr>
      </w:pPr>
      <w:r w:rsidRPr="009F0DAC">
        <w:rPr>
          <w:rFonts w:ascii="Nirmala UI" w:hAnsi="Nirmala UI" w:cs="Nirmala UI"/>
          <w:b/>
          <w:bCs/>
        </w:rPr>
        <w:t>Academic setting.</w:t>
      </w:r>
      <w:r w:rsidRPr="009F0DAC">
        <w:rPr>
          <w:rFonts w:ascii="Nirmala UI" w:hAnsi="Nirmala UI" w:cs="Nirmala UI"/>
        </w:rPr>
        <w:t xml:space="preserve"> To the maximum extent appropriate, PCM will educate disabled students with non-disabled students. In order to remove a child from the regular educational environment, PCM must demonstrate that education of the student in the regular environment with the use of supplementary aids and services cannot be achieved satisfactorily for the disabled student. Whenever PCM places a student in a setting other than the regular education environment, it will take into account the proximity of the alternate setting to the student’s home.</w:t>
      </w:r>
    </w:p>
    <w:p w14:paraId="3C29C582" w14:textId="2EA67DEC" w:rsidR="009F0DAC" w:rsidRPr="009F0DAC" w:rsidRDefault="009F0DAC" w:rsidP="009F0DAC">
      <w:pPr>
        <w:pStyle w:val="ListParagraph"/>
        <w:numPr>
          <w:ilvl w:val="0"/>
          <w:numId w:val="18"/>
        </w:numPr>
        <w:ind w:hanging="360"/>
        <w:rPr>
          <w:rFonts w:ascii="Nirmala UI" w:hAnsi="Nirmala UI" w:cs="Nirmala UI"/>
        </w:rPr>
      </w:pPr>
      <w:r w:rsidRPr="009F0DAC">
        <w:rPr>
          <w:rFonts w:ascii="Nirmala UI" w:hAnsi="Nirmala UI" w:cs="Nirmala UI"/>
          <w:b/>
          <w:bCs/>
        </w:rPr>
        <w:t>Non-academic setting.</w:t>
      </w:r>
      <w:r w:rsidRPr="009F0DAC">
        <w:rPr>
          <w:rFonts w:ascii="Nirmala UI" w:hAnsi="Nirmala UI" w:cs="Nirmala UI"/>
        </w:rPr>
        <w:t xml:space="preserve"> In providing or arranging for the provision of non-academic and extra-curricular services and activities, including meals, recess periods</w:t>
      </w:r>
      <w:r w:rsidR="00CD482A">
        <w:rPr>
          <w:rFonts w:ascii="Nirmala UI" w:hAnsi="Nirmala UI" w:cs="Nirmala UI"/>
        </w:rPr>
        <w:t>,</w:t>
      </w:r>
      <w:r w:rsidRPr="009F0DAC">
        <w:rPr>
          <w:rFonts w:ascii="Nirmala UI" w:hAnsi="Nirmala UI" w:cs="Nirmala UI"/>
        </w:rPr>
        <w:t xml:space="preserve"> and the services and activities, PCM will ensure that disabled students participate with non-disabled students in such activities and services to the maximum extent appropriate.</w:t>
      </w:r>
    </w:p>
    <w:p w14:paraId="298AEBB0" w14:textId="77777777" w:rsidR="009F0DAC" w:rsidRPr="009F0DAC" w:rsidRDefault="009F0DAC" w:rsidP="009F0DAC">
      <w:pPr>
        <w:rPr>
          <w:rFonts w:ascii="Nirmala UI" w:hAnsi="Nirmala UI" w:cs="Nirmala UI"/>
        </w:rPr>
      </w:pPr>
    </w:p>
    <w:p w14:paraId="4BC58F3C" w14:textId="2095C166" w:rsidR="009F0DAC" w:rsidRPr="009F0DAC" w:rsidRDefault="009F0DAC" w:rsidP="009F0DAC">
      <w:pPr>
        <w:rPr>
          <w:rFonts w:ascii="Nirmala UI" w:hAnsi="Nirmala UI" w:cs="Nirmala UI"/>
          <w:b/>
          <w:bCs/>
        </w:rPr>
      </w:pPr>
      <w:r w:rsidRPr="009F0DAC">
        <w:rPr>
          <w:rFonts w:ascii="Nirmala UI" w:hAnsi="Nirmala UI" w:cs="Nirmala UI"/>
          <w:b/>
          <w:bCs/>
        </w:rPr>
        <w:t>G.</w:t>
      </w:r>
      <w:r w:rsidRPr="009F0DAC">
        <w:rPr>
          <w:rFonts w:ascii="Nirmala UI" w:hAnsi="Nirmala UI" w:cs="Nirmala UI"/>
          <w:b/>
          <w:bCs/>
        </w:rPr>
        <w:tab/>
        <w:t>Referral and Screening</w:t>
      </w:r>
    </w:p>
    <w:p w14:paraId="39A60146" w14:textId="252E8A81" w:rsidR="009F0DAC" w:rsidRPr="00CD482A" w:rsidRDefault="009F0DAC">
      <w:pPr>
        <w:pStyle w:val="ListParagraph"/>
        <w:numPr>
          <w:ilvl w:val="0"/>
          <w:numId w:val="19"/>
        </w:numPr>
        <w:ind w:hanging="360"/>
        <w:rPr>
          <w:rFonts w:ascii="Nirmala UI" w:hAnsi="Nirmala UI" w:cs="Nirmala UI"/>
        </w:rPr>
      </w:pPr>
      <w:r w:rsidRPr="00CD482A">
        <w:rPr>
          <w:rFonts w:ascii="Nirmala UI" w:hAnsi="Nirmala UI" w:cs="Nirmala UI"/>
          <w:b/>
          <w:bCs/>
        </w:rPr>
        <w:t>Referral.</w:t>
      </w:r>
      <w:r w:rsidRPr="00CD482A">
        <w:rPr>
          <w:rFonts w:ascii="Nirmala UI" w:hAnsi="Nirmala UI" w:cs="Nirmala UI"/>
        </w:rPr>
        <w:t xml:space="preserve"> If a student, parent or guardian, teacher, counselor or administrator believe they are observing in a student substantially limited performance in one or more major life activities that is believed to be caused by a physical or mental impairment, the concerned individual should complete a referral form </w:t>
      </w:r>
      <w:r w:rsidR="00CD482A" w:rsidRPr="00CD482A">
        <w:rPr>
          <w:rFonts w:ascii="Nirmala UI" w:hAnsi="Nirmala UI" w:cs="Nirmala UI"/>
        </w:rPr>
        <w:t>which should be submitted to the 504 Coordinator (</w:t>
      </w:r>
      <w:hyperlink r:id="rId7" w:history="1">
        <w:r w:rsidR="00CD482A" w:rsidRPr="00CD482A">
          <w:rPr>
            <w:rStyle w:val="Hyperlink"/>
            <w:rFonts w:ascii="Nirmala UI" w:hAnsi="Nirmala UI" w:cs="Nirmala UI"/>
          </w:rPr>
          <w:t>EmilyK@myPCM.org</w:t>
        </w:r>
      </w:hyperlink>
      <w:r w:rsidR="00CD482A" w:rsidRPr="00CD482A">
        <w:rPr>
          <w:rFonts w:ascii="Nirmala UI" w:hAnsi="Nirmala UI" w:cs="Nirmala UI"/>
        </w:rPr>
        <w:t>)</w:t>
      </w:r>
      <w:r w:rsidR="00CD482A">
        <w:rPr>
          <w:rFonts w:ascii="Nirmala UI" w:hAnsi="Nirmala UI" w:cs="Nirmala UI"/>
        </w:rPr>
        <w:t>.</w:t>
      </w:r>
    </w:p>
    <w:p w14:paraId="308BC042" w14:textId="6530A732" w:rsidR="009F0DAC" w:rsidRPr="009F0DAC" w:rsidRDefault="009F0DAC" w:rsidP="009F0DAC">
      <w:pPr>
        <w:pStyle w:val="ListParagraph"/>
        <w:numPr>
          <w:ilvl w:val="0"/>
          <w:numId w:val="19"/>
        </w:numPr>
        <w:ind w:hanging="360"/>
        <w:rPr>
          <w:rFonts w:ascii="Nirmala UI" w:hAnsi="Nirmala UI" w:cs="Nirmala UI"/>
        </w:rPr>
      </w:pPr>
      <w:r w:rsidRPr="009F0DAC">
        <w:rPr>
          <w:rFonts w:ascii="Nirmala UI" w:hAnsi="Nirmala UI" w:cs="Nirmala UI"/>
          <w:b/>
          <w:bCs/>
        </w:rPr>
        <w:t>Screening.</w:t>
      </w:r>
      <w:r w:rsidRPr="009F0DAC">
        <w:rPr>
          <w:rFonts w:ascii="Nirmala UI" w:hAnsi="Nirmala UI" w:cs="Nirmala UI"/>
        </w:rPr>
        <w:t xml:space="preserve"> A designated building team will review referrals to determine if an evaluation is appropriate. If an evaluation appears to be necessary, PCM will obtain written consent from parents or guardians to perform an evaluation and/or gather additional information and will provide parents with a written statement of their rights under Section 504. If the </w:t>
      </w:r>
      <w:r w:rsidR="00CD482A">
        <w:rPr>
          <w:rFonts w:ascii="Nirmala UI" w:hAnsi="Nirmala UI" w:cs="Nirmala UI"/>
        </w:rPr>
        <w:t>504 Team determines</w:t>
      </w:r>
      <w:r w:rsidRPr="009F0DAC">
        <w:rPr>
          <w:rFonts w:ascii="Nirmala UI" w:hAnsi="Nirmala UI" w:cs="Nirmala UI"/>
        </w:rPr>
        <w:t xml:space="preserve"> that an evaluation is not necessary, it will provide written notice to parents/guardians, and forward the results of the screening to the source of the referral.</w:t>
      </w:r>
    </w:p>
    <w:p w14:paraId="7C5B780B" w14:textId="77777777" w:rsidR="009F0DAC" w:rsidRPr="009F0DAC" w:rsidRDefault="009F0DAC" w:rsidP="009F0DAC">
      <w:pPr>
        <w:rPr>
          <w:rFonts w:ascii="Nirmala UI" w:hAnsi="Nirmala UI" w:cs="Nirmala UI"/>
        </w:rPr>
      </w:pPr>
    </w:p>
    <w:p w14:paraId="4E4EC977" w14:textId="0322689E" w:rsidR="009F0DAC" w:rsidRPr="009F0DAC" w:rsidRDefault="009F0DAC" w:rsidP="009F0DAC">
      <w:pPr>
        <w:rPr>
          <w:rFonts w:ascii="Nirmala UI" w:hAnsi="Nirmala UI" w:cs="Nirmala UI"/>
          <w:b/>
          <w:bCs/>
        </w:rPr>
      </w:pPr>
      <w:r w:rsidRPr="009F0DAC">
        <w:rPr>
          <w:rFonts w:ascii="Nirmala UI" w:hAnsi="Nirmala UI" w:cs="Nirmala UI"/>
          <w:b/>
          <w:bCs/>
        </w:rPr>
        <w:t>H.</w:t>
      </w:r>
      <w:r w:rsidRPr="009F0DAC">
        <w:rPr>
          <w:rFonts w:ascii="Nirmala UI" w:hAnsi="Nirmala UI" w:cs="Nirmala UI"/>
          <w:b/>
          <w:bCs/>
        </w:rPr>
        <w:tab/>
        <w:t>Evaluations</w:t>
      </w:r>
    </w:p>
    <w:p w14:paraId="3F93B8F1" w14:textId="77777777" w:rsidR="009F0DAC" w:rsidRPr="009F0DAC" w:rsidRDefault="009F0DAC" w:rsidP="009F0DAC">
      <w:pPr>
        <w:pStyle w:val="ListParagraph"/>
        <w:numPr>
          <w:ilvl w:val="0"/>
          <w:numId w:val="20"/>
        </w:numPr>
        <w:ind w:left="990" w:hanging="360"/>
        <w:rPr>
          <w:rFonts w:ascii="Nirmala UI" w:hAnsi="Nirmala UI" w:cs="Nirmala UI"/>
        </w:rPr>
      </w:pPr>
      <w:r w:rsidRPr="009F0DAC">
        <w:rPr>
          <w:rFonts w:ascii="Nirmala UI" w:hAnsi="Nirmala UI" w:cs="Nirmala UI"/>
          <w:b/>
          <w:bCs/>
        </w:rPr>
        <w:t>Significant Change in Placement.</w:t>
      </w:r>
      <w:r w:rsidRPr="009F0DAC">
        <w:rPr>
          <w:rFonts w:ascii="Nirmala UI" w:hAnsi="Nirmala UI" w:cs="Nirmala UI"/>
        </w:rPr>
        <w:t xml:space="preserve"> If a student is believed to be disabled and needs, or is believed to need, special education or related services, PCM will evaluate the student prior to placement and before any subsequent “significant change in that placement.” An evaluation need not include formal or written assessments but may involve, in appropriate circumstances, a review and consideration of existing information.</w:t>
      </w:r>
    </w:p>
    <w:p w14:paraId="212ABFCF" w14:textId="77777777" w:rsidR="009F0DAC" w:rsidRPr="009F0DAC" w:rsidRDefault="009F0DAC" w:rsidP="009F0DAC">
      <w:pPr>
        <w:ind w:left="990" w:hanging="360"/>
        <w:rPr>
          <w:rFonts w:ascii="Nirmala UI" w:hAnsi="Nirmala UI" w:cs="Nirmala UI"/>
        </w:rPr>
      </w:pPr>
    </w:p>
    <w:p w14:paraId="11F42D22" w14:textId="0F602A20" w:rsidR="009F0DAC" w:rsidRPr="009F0DAC" w:rsidRDefault="009F0DAC" w:rsidP="009F0DAC">
      <w:pPr>
        <w:pStyle w:val="ListParagraph"/>
        <w:ind w:left="990" w:hanging="360"/>
        <w:rPr>
          <w:rFonts w:ascii="Nirmala UI" w:hAnsi="Nirmala UI" w:cs="Nirmala UI"/>
        </w:rPr>
      </w:pPr>
      <w:r w:rsidRPr="009F0DAC">
        <w:rPr>
          <w:rFonts w:ascii="Nirmala UI" w:hAnsi="Nirmala UI" w:cs="Nirmala UI"/>
        </w:rPr>
        <w:t>Examples of significant changes in placement include:</w:t>
      </w:r>
    </w:p>
    <w:p w14:paraId="0989EC3F" w14:textId="1EB458C3" w:rsidR="009F0DAC" w:rsidRPr="009F0DAC" w:rsidRDefault="009F0DAC" w:rsidP="009F0DAC">
      <w:pPr>
        <w:pStyle w:val="ListParagraph"/>
        <w:numPr>
          <w:ilvl w:val="1"/>
          <w:numId w:val="21"/>
        </w:numPr>
        <w:ind w:left="1350"/>
        <w:rPr>
          <w:rFonts w:ascii="Nirmala UI" w:hAnsi="Nirmala UI" w:cs="Nirmala UI"/>
        </w:rPr>
      </w:pPr>
      <w:r w:rsidRPr="009F0DAC">
        <w:rPr>
          <w:rFonts w:ascii="Nirmala UI" w:hAnsi="Nirmala UI" w:cs="Nirmala UI"/>
        </w:rPr>
        <w:t>Expulsion;</w:t>
      </w:r>
    </w:p>
    <w:p w14:paraId="213A937E" w14:textId="62750529" w:rsidR="009F0DAC" w:rsidRPr="009F0DAC" w:rsidRDefault="009F0DAC" w:rsidP="009F0DAC">
      <w:pPr>
        <w:pStyle w:val="ListParagraph"/>
        <w:numPr>
          <w:ilvl w:val="1"/>
          <w:numId w:val="21"/>
        </w:numPr>
        <w:ind w:left="1350"/>
        <w:rPr>
          <w:rFonts w:ascii="Nirmala UI" w:hAnsi="Nirmala UI" w:cs="Nirmala UI"/>
        </w:rPr>
      </w:pPr>
      <w:r w:rsidRPr="009F0DAC">
        <w:rPr>
          <w:rFonts w:ascii="Nirmala UI" w:hAnsi="Nirmala UI" w:cs="Nirmala UI"/>
        </w:rPr>
        <w:t>Suspensions which exceed ten consecutive days in a school year;</w:t>
      </w:r>
    </w:p>
    <w:p w14:paraId="2A6B1B51" w14:textId="4D3A04EF" w:rsidR="009F0DAC" w:rsidRPr="009F0DAC" w:rsidRDefault="009F0DAC" w:rsidP="009F0DAC">
      <w:pPr>
        <w:pStyle w:val="ListParagraph"/>
        <w:numPr>
          <w:ilvl w:val="1"/>
          <w:numId w:val="21"/>
        </w:numPr>
        <w:ind w:left="1350"/>
        <w:rPr>
          <w:rFonts w:ascii="Nirmala UI" w:hAnsi="Nirmala UI" w:cs="Nirmala UI"/>
        </w:rPr>
      </w:pPr>
      <w:r w:rsidRPr="009F0DAC">
        <w:rPr>
          <w:rFonts w:ascii="Nirmala UI" w:hAnsi="Nirmala UI" w:cs="Nirmala UI"/>
        </w:rPr>
        <w:t>Cumulative short-term suspensions which create a pattern of exclusion;</w:t>
      </w:r>
    </w:p>
    <w:p w14:paraId="2D223100" w14:textId="231FF306" w:rsidR="009F0DAC" w:rsidRPr="009F0DAC" w:rsidRDefault="009F0DAC" w:rsidP="009F0DAC">
      <w:pPr>
        <w:pStyle w:val="ListParagraph"/>
        <w:numPr>
          <w:ilvl w:val="1"/>
          <w:numId w:val="21"/>
        </w:numPr>
        <w:ind w:left="1350"/>
        <w:rPr>
          <w:rFonts w:ascii="Nirmala UI" w:hAnsi="Nirmala UI" w:cs="Nirmala UI"/>
        </w:rPr>
      </w:pPr>
      <w:r w:rsidRPr="009F0DAC">
        <w:rPr>
          <w:rFonts w:ascii="Nirmala UI" w:hAnsi="Nirmala UI" w:cs="Nirmala UI"/>
        </w:rPr>
        <w:t>Transferring a student to home instruction; and/or</w:t>
      </w:r>
    </w:p>
    <w:p w14:paraId="13BE9203" w14:textId="77777777" w:rsidR="009F0DAC" w:rsidRPr="009F0DAC" w:rsidRDefault="009F0DAC" w:rsidP="009F0DAC">
      <w:pPr>
        <w:pStyle w:val="ListParagraph"/>
        <w:numPr>
          <w:ilvl w:val="1"/>
          <w:numId w:val="21"/>
        </w:numPr>
        <w:ind w:left="1350"/>
        <w:rPr>
          <w:rFonts w:ascii="Nirmala UI" w:hAnsi="Nirmala UI" w:cs="Nirmala UI"/>
        </w:rPr>
      </w:pPr>
      <w:r w:rsidRPr="009F0DAC">
        <w:rPr>
          <w:rFonts w:ascii="Nirmala UI" w:hAnsi="Nirmala UI" w:cs="Nirmala UI"/>
        </w:rPr>
        <w:t>Graduation from high school.</w:t>
      </w:r>
    </w:p>
    <w:p w14:paraId="10F43BBC" w14:textId="77777777" w:rsidR="009F0DAC" w:rsidRPr="009F0DAC" w:rsidRDefault="009F0DAC" w:rsidP="009F0DAC">
      <w:pPr>
        <w:ind w:left="990" w:hanging="360"/>
        <w:rPr>
          <w:rFonts w:ascii="Nirmala UI" w:hAnsi="Nirmala UI" w:cs="Nirmala UI"/>
        </w:rPr>
      </w:pPr>
    </w:p>
    <w:p w14:paraId="2D945D6F" w14:textId="78FB85B4" w:rsidR="009F0DAC" w:rsidRPr="009F0DAC" w:rsidRDefault="009F0DAC" w:rsidP="009F0DAC">
      <w:pPr>
        <w:pStyle w:val="ListParagraph"/>
        <w:numPr>
          <w:ilvl w:val="0"/>
          <w:numId w:val="20"/>
        </w:numPr>
        <w:ind w:left="990" w:hanging="360"/>
        <w:rPr>
          <w:rFonts w:ascii="Nirmala UI" w:hAnsi="Nirmala UI" w:cs="Nirmala UI"/>
        </w:rPr>
      </w:pPr>
      <w:r w:rsidRPr="009F0DAC">
        <w:rPr>
          <w:rFonts w:ascii="Nirmala UI" w:hAnsi="Nirmala UI" w:cs="Nirmala UI"/>
          <w:b/>
          <w:bCs/>
        </w:rPr>
        <w:t xml:space="preserve">Tests and Evaluation Materials. </w:t>
      </w:r>
      <w:r w:rsidRPr="009F0DAC">
        <w:rPr>
          <w:rFonts w:ascii="Nirmala UI" w:hAnsi="Nirmala UI" w:cs="Nirmala UI"/>
        </w:rPr>
        <w:t>PCM will establish procedures for evaluation and placement which assure that tests and other evaluation materials:</w:t>
      </w:r>
    </w:p>
    <w:p w14:paraId="0577A610" w14:textId="40BDDF72" w:rsidR="009F0DAC" w:rsidRPr="009F0DAC" w:rsidRDefault="009F0DAC" w:rsidP="009F0DAC">
      <w:pPr>
        <w:pStyle w:val="ListParagraph"/>
        <w:numPr>
          <w:ilvl w:val="1"/>
          <w:numId w:val="22"/>
        </w:numPr>
        <w:ind w:left="1350"/>
        <w:rPr>
          <w:rFonts w:ascii="Nirmala UI" w:hAnsi="Nirmala UI" w:cs="Nirmala UI"/>
        </w:rPr>
      </w:pPr>
      <w:r w:rsidRPr="009F0DAC">
        <w:rPr>
          <w:rFonts w:ascii="Nirmala UI" w:hAnsi="Nirmala UI" w:cs="Nirmala UI"/>
        </w:rPr>
        <w:t>Have been validated and are administered by trained personnel;</w:t>
      </w:r>
    </w:p>
    <w:p w14:paraId="258A6D6C" w14:textId="3FA66110" w:rsidR="009F0DAC" w:rsidRPr="009F0DAC" w:rsidRDefault="009F0DAC" w:rsidP="009F0DAC">
      <w:pPr>
        <w:pStyle w:val="ListParagraph"/>
        <w:numPr>
          <w:ilvl w:val="1"/>
          <w:numId w:val="22"/>
        </w:numPr>
        <w:ind w:left="1350"/>
        <w:rPr>
          <w:rFonts w:ascii="Nirmala UI" w:hAnsi="Nirmala UI" w:cs="Nirmala UI"/>
        </w:rPr>
      </w:pPr>
      <w:r w:rsidRPr="009F0DAC">
        <w:rPr>
          <w:rFonts w:ascii="Nirmala UI" w:hAnsi="Nirmala UI" w:cs="Nirmala UI"/>
        </w:rPr>
        <w:t>Are tailored to assess educational need and are not merely based on IQ scores; and</w:t>
      </w:r>
    </w:p>
    <w:p w14:paraId="4A948DD8" w14:textId="77777777" w:rsidR="009F0DAC" w:rsidRPr="009F0DAC" w:rsidRDefault="009F0DAC" w:rsidP="009F0DAC">
      <w:pPr>
        <w:pStyle w:val="ListParagraph"/>
        <w:numPr>
          <w:ilvl w:val="1"/>
          <w:numId w:val="22"/>
        </w:numPr>
        <w:ind w:left="1350"/>
        <w:rPr>
          <w:rFonts w:ascii="Nirmala UI" w:hAnsi="Nirmala UI" w:cs="Nirmala UI"/>
        </w:rPr>
      </w:pPr>
      <w:r w:rsidRPr="009F0DAC">
        <w:rPr>
          <w:rFonts w:ascii="Nirmala UI" w:hAnsi="Nirmala UI" w:cs="Nirmala UI"/>
        </w:rPr>
        <w:t>Reflect aptitude or achievement or whatever else the tests purport to measure and do not reflect the student’s impaired sensory, manual or speaking skills (unless the test is designed to measure these particular deficits).</w:t>
      </w:r>
    </w:p>
    <w:p w14:paraId="4012677E" w14:textId="77777777" w:rsidR="009F0DAC" w:rsidRPr="009F0DAC" w:rsidRDefault="009F0DAC" w:rsidP="009F0DAC">
      <w:pPr>
        <w:ind w:left="990" w:hanging="360"/>
        <w:rPr>
          <w:rFonts w:ascii="Nirmala UI" w:hAnsi="Nirmala UI" w:cs="Nirmala UI"/>
        </w:rPr>
      </w:pPr>
    </w:p>
    <w:p w14:paraId="1D192651" w14:textId="77777777" w:rsidR="009F0DAC" w:rsidRPr="009F0DAC" w:rsidRDefault="009F0DAC" w:rsidP="009F0DAC">
      <w:pPr>
        <w:pStyle w:val="ListParagraph"/>
        <w:numPr>
          <w:ilvl w:val="0"/>
          <w:numId w:val="20"/>
        </w:numPr>
        <w:ind w:left="990" w:hanging="360"/>
        <w:rPr>
          <w:rFonts w:ascii="Nirmala UI" w:hAnsi="Nirmala UI" w:cs="Nirmala UI"/>
        </w:rPr>
      </w:pPr>
      <w:r w:rsidRPr="009F0DAC">
        <w:rPr>
          <w:rFonts w:ascii="Nirmala UI" w:hAnsi="Nirmala UI" w:cs="Nirmala UI"/>
          <w:b/>
          <w:bCs/>
        </w:rPr>
        <w:t>Mitigating Measures.</w:t>
      </w:r>
      <w:r w:rsidRPr="009F0DAC">
        <w:rPr>
          <w:rFonts w:ascii="Nirmala UI" w:hAnsi="Nirmala UI" w:cs="Nirmala UI"/>
        </w:rPr>
        <w:t xml:space="preserve"> The determination of whether a student is substantially limited in one or more major life activities will be made without regard to any ameliorative effects of mitigating measures which include, but are not limited to: medication, medical supplies, equipment, low-vision devices, prosthetics, hearing aids and cochlear implants or other implantable hearing devices, mobility devices, oxygen therapy equipment and supplies, assistive technology, reasonable accommodations, auxiliary aids or services; or learned behavioral or adaptive neurological modifications. However, ameliorative effects of mitigating measures may be relevant as to whether a student needs any specific accommodation or a 504 accommodation plan.</w:t>
      </w:r>
    </w:p>
    <w:p w14:paraId="68DFA739" w14:textId="77777777" w:rsidR="009F0DAC" w:rsidRPr="009F0DAC" w:rsidRDefault="009F0DAC" w:rsidP="009F0DAC">
      <w:pPr>
        <w:ind w:left="990" w:hanging="360"/>
        <w:rPr>
          <w:rFonts w:ascii="Nirmala UI" w:hAnsi="Nirmala UI" w:cs="Nirmala UI"/>
        </w:rPr>
      </w:pPr>
    </w:p>
    <w:p w14:paraId="671F1F94" w14:textId="77777777" w:rsidR="009F0DAC" w:rsidRPr="009F0DAC" w:rsidRDefault="009F0DAC" w:rsidP="009F0DAC">
      <w:pPr>
        <w:pStyle w:val="ListParagraph"/>
        <w:ind w:left="990" w:hanging="360"/>
        <w:rPr>
          <w:rFonts w:ascii="Nirmala UI" w:hAnsi="Nirmala UI" w:cs="Nirmala UI"/>
        </w:rPr>
      </w:pPr>
      <w:r w:rsidRPr="009F0DAC">
        <w:rPr>
          <w:rFonts w:ascii="Nirmala UI" w:hAnsi="Nirmala UI" w:cs="Nirmala UI"/>
          <w:b/>
          <w:bCs/>
        </w:rPr>
        <w:t>Low vision devices do not include ordinary eyeglasses or contact lenses.</w:t>
      </w:r>
      <w:r w:rsidRPr="009F0DAC">
        <w:rPr>
          <w:rFonts w:ascii="Nirmala UI" w:hAnsi="Nirmala UI" w:cs="Nirmala UI"/>
        </w:rPr>
        <w:t xml:space="preserve"> The ameliorative effects of ordinary eyeglasses or contact lenses may be considered in determining whether the impairment substantially limits a major life activity.</w:t>
      </w:r>
    </w:p>
    <w:p w14:paraId="300B63DB" w14:textId="77777777" w:rsidR="009F0DAC" w:rsidRPr="009F0DAC" w:rsidRDefault="009F0DAC" w:rsidP="009F0DAC">
      <w:pPr>
        <w:ind w:left="990" w:hanging="360"/>
        <w:rPr>
          <w:rFonts w:ascii="Nirmala UI" w:hAnsi="Nirmala UI" w:cs="Nirmala UI"/>
        </w:rPr>
      </w:pPr>
    </w:p>
    <w:p w14:paraId="4002A266" w14:textId="77777777" w:rsidR="009F0DAC" w:rsidRPr="009F0DAC" w:rsidRDefault="009F0DAC" w:rsidP="009F0DAC">
      <w:pPr>
        <w:pStyle w:val="ListParagraph"/>
        <w:numPr>
          <w:ilvl w:val="0"/>
          <w:numId w:val="20"/>
        </w:numPr>
        <w:ind w:left="990" w:hanging="360"/>
        <w:rPr>
          <w:rFonts w:ascii="Nirmala UI" w:hAnsi="Nirmala UI" w:cs="Nirmala UI"/>
        </w:rPr>
      </w:pPr>
      <w:r w:rsidRPr="009F0DAC">
        <w:rPr>
          <w:rFonts w:ascii="Nirmala UI" w:hAnsi="Nirmala UI" w:cs="Nirmala UI"/>
          <w:b/>
          <w:bCs/>
        </w:rPr>
        <w:t>Temporary Impairments.</w:t>
      </w:r>
      <w:r w:rsidRPr="009F0DAC">
        <w:rPr>
          <w:rFonts w:ascii="Nirmala UI" w:hAnsi="Nirmala UI" w:cs="Nirmala UI"/>
        </w:rPr>
        <w:t xml:space="preserve"> A student with a temporary impairment falls within the scope of Section 504 if the temporary impairment is severe enough that it substantially limits one or more of the student’s major life activities. A temporary impairment is one with an actual or expected duration of six months or less. For example, pregnancy is not generally regarded as a disability under Section 504; however, if a student was put on bed rest or otherwise limited due to pregnancy complications, this would be a temporary impairment that would qualify the student as disabled under Section 504.</w:t>
      </w:r>
    </w:p>
    <w:p w14:paraId="401CF4BA" w14:textId="77777777" w:rsidR="009F0DAC" w:rsidRPr="009F0DAC" w:rsidRDefault="009F0DAC" w:rsidP="009F0DAC">
      <w:pPr>
        <w:ind w:left="990" w:hanging="360"/>
        <w:rPr>
          <w:rFonts w:ascii="Nirmala UI" w:hAnsi="Nirmala UI" w:cs="Nirmala UI"/>
        </w:rPr>
      </w:pPr>
    </w:p>
    <w:p w14:paraId="31E55CF6" w14:textId="77777777" w:rsidR="009F0DAC" w:rsidRPr="009F0DAC" w:rsidRDefault="009F0DAC" w:rsidP="009F0DAC">
      <w:pPr>
        <w:pStyle w:val="ListParagraph"/>
        <w:ind w:left="630"/>
        <w:rPr>
          <w:rFonts w:ascii="Nirmala UI" w:hAnsi="Nirmala UI" w:cs="Nirmala UI"/>
        </w:rPr>
      </w:pPr>
      <w:r w:rsidRPr="009F0DAC">
        <w:rPr>
          <w:rFonts w:ascii="Nirmala UI" w:hAnsi="Nirmala UI" w:cs="Nirmala UI"/>
        </w:rPr>
        <w:t>A student with an episodic impairment or a disease in remission qualifies as disabled under Section 504 if the impairment would substantially limit a major life activity when active (e.g. a student whose cancer is in remission).</w:t>
      </w:r>
    </w:p>
    <w:p w14:paraId="472C1798" w14:textId="77777777" w:rsidR="009F0DAC" w:rsidRPr="009F0DAC" w:rsidRDefault="009F0DAC" w:rsidP="009F0DAC">
      <w:pPr>
        <w:rPr>
          <w:rFonts w:ascii="Nirmala UI" w:hAnsi="Nirmala UI" w:cs="Nirmala UI"/>
        </w:rPr>
      </w:pPr>
    </w:p>
    <w:p w14:paraId="5663356F" w14:textId="2235A912" w:rsidR="009F0DAC" w:rsidRPr="009F0DAC" w:rsidRDefault="009F0DAC" w:rsidP="009F0DAC">
      <w:pPr>
        <w:rPr>
          <w:rFonts w:ascii="Nirmala UI" w:hAnsi="Nirmala UI" w:cs="Nirmala UI"/>
          <w:b/>
          <w:bCs/>
        </w:rPr>
      </w:pPr>
      <w:r w:rsidRPr="009F0DAC">
        <w:rPr>
          <w:rFonts w:ascii="Nirmala UI" w:hAnsi="Nirmala UI" w:cs="Nirmala UI"/>
          <w:b/>
          <w:bCs/>
        </w:rPr>
        <w:t>I.</w:t>
      </w:r>
      <w:r w:rsidRPr="009F0DAC">
        <w:rPr>
          <w:rFonts w:ascii="Nirmala UI" w:hAnsi="Nirmala UI" w:cs="Nirmala UI"/>
          <w:b/>
          <w:bCs/>
        </w:rPr>
        <w:tab/>
        <w:t>Placement Procedures</w:t>
      </w:r>
    </w:p>
    <w:p w14:paraId="3705C435" w14:textId="77777777" w:rsidR="009F0DAC" w:rsidRPr="009F0DAC" w:rsidRDefault="009F0DAC" w:rsidP="009F0DAC">
      <w:pPr>
        <w:rPr>
          <w:rFonts w:ascii="Nirmala UI" w:hAnsi="Nirmala UI" w:cs="Nirmala UI"/>
        </w:rPr>
      </w:pPr>
      <w:r w:rsidRPr="009F0DAC">
        <w:rPr>
          <w:rFonts w:ascii="Nirmala UI" w:hAnsi="Nirmala UI" w:cs="Nirmala UI"/>
        </w:rPr>
        <w:t>The Section 504 team will convene to review all evaluation results, determine eligibility as a student with a disability under Section 504 and document the meeting in writing. The team composition may vary according to the needs of the student.</w:t>
      </w:r>
    </w:p>
    <w:p w14:paraId="7345053C" w14:textId="77777777" w:rsidR="009F0DAC" w:rsidRPr="009F0DAC" w:rsidRDefault="009F0DAC" w:rsidP="009F0DAC">
      <w:pPr>
        <w:rPr>
          <w:rFonts w:ascii="Nirmala UI" w:hAnsi="Nirmala UI" w:cs="Nirmala UI"/>
        </w:rPr>
      </w:pPr>
    </w:p>
    <w:p w14:paraId="39E6C2C9" w14:textId="77777777" w:rsidR="009F0DAC" w:rsidRPr="009F0DAC" w:rsidRDefault="009F0DAC" w:rsidP="009F0DAC">
      <w:pPr>
        <w:rPr>
          <w:rFonts w:ascii="Nirmala UI" w:hAnsi="Nirmala UI" w:cs="Nirmala UI"/>
        </w:rPr>
      </w:pPr>
      <w:r w:rsidRPr="009F0DAC">
        <w:rPr>
          <w:rFonts w:ascii="Nirmala UI" w:hAnsi="Nirmala UI" w:cs="Nirmala UI"/>
        </w:rPr>
        <w:t xml:space="preserve">In interpreting evaluation data and in making placement decisions, PCM will </w:t>
      </w:r>
    </w:p>
    <w:p w14:paraId="64CB79C0" w14:textId="77777777" w:rsidR="009F0DAC" w:rsidRPr="009F0DAC" w:rsidRDefault="009F0DAC" w:rsidP="009F0DAC">
      <w:pPr>
        <w:pStyle w:val="ListParagraph"/>
        <w:numPr>
          <w:ilvl w:val="0"/>
          <w:numId w:val="23"/>
        </w:numPr>
        <w:rPr>
          <w:rFonts w:ascii="Nirmala UI" w:hAnsi="Nirmala UI" w:cs="Nirmala UI"/>
        </w:rPr>
      </w:pPr>
      <w:r w:rsidRPr="009F0DAC">
        <w:rPr>
          <w:rFonts w:ascii="Nirmala UI" w:hAnsi="Nirmala UI" w:cs="Nirmala UI"/>
        </w:rPr>
        <w:t xml:space="preserve">draw upon information from a variety of sources, including aptitude and achievement tests, teacher recommendations, physical condition, social or cultural background and adaptive behavior; </w:t>
      </w:r>
    </w:p>
    <w:p w14:paraId="6D0AA7B1" w14:textId="77777777" w:rsidR="009F0DAC" w:rsidRPr="009F0DAC" w:rsidRDefault="009F0DAC" w:rsidP="009F0DAC">
      <w:pPr>
        <w:pStyle w:val="ListParagraph"/>
        <w:numPr>
          <w:ilvl w:val="0"/>
          <w:numId w:val="23"/>
        </w:numPr>
        <w:rPr>
          <w:rFonts w:ascii="Nirmala UI" w:hAnsi="Nirmala UI" w:cs="Nirmala UI"/>
        </w:rPr>
      </w:pPr>
      <w:r w:rsidRPr="009F0DAC">
        <w:rPr>
          <w:rFonts w:ascii="Nirmala UI" w:hAnsi="Nirmala UI" w:cs="Nirmala UI"/>
        </w:rPr>
        <w:t xml:space="preserve">establish procedures to ensure that information obtained from all such sources is documented and carefully considered; </w:t>
      </w:r>
    </w:p>
    <w:p w14:paraId="4CD0358C" w14:textId="77777777" w:rsidR="009F0DAC" w:rsidRPr="009F0DAC" w:rsidRDefault="009F0DAC" w:rsidP="009F0DAC">
      <w:pPr>
        <w:pStyle w:val="ListParagraph"/>
        <w:numPr>
          <w:ilvl w:val="0"/>
          <w:numId w:val="23"/>
        </w:numPr>
        <w:rPr>
          <w:rFonts w:ascii="Nirmala UI" w:hAnsi="Nirmala UI" w:cs="Nirmala UI"/>
        </w:rPr>
      </w:pPr>
      <w:r w:rsidRPr="009F0DAC">
        <w:rPr>
          <w:rFonts w:ascii="Nirmala UI" w:hAnsi="Nirmala UI" w:cs="Nirmala UI"/>
        </w:rPr>
        <w:t xml:space="preserve">ensure that the placement decision is made by a group of persons, including persons knowledgeable about the student, the meaning of the evaluation data, and the placements options; and </w:t>
      </w:r>
    </w:p>
    <w:p w14:paraId="6AA32CA0" w14:textId="77777777" w:rsidR="009F0DAC" w:rsidRPr="009F0DAC" w:rsidRDefault="009F0DAC" w:rsidP="009F0DAC">
      <w:pPr>
        <w:pStyle w:val="ListParagraph"/>
        <w:numPr>
          <w:ilvl w:val="0"/>
          <w:numId w:val="23"/>
        </w:numPr>
        <w:rPr>
          <w:rFonts w:ascii="Nirmala UI" w:hAnsi="Nirmala UI" w:cs="Nirmala UI"/>
        </w:rPr>
      </w:pPr>
      <w:r w:rsidRPr="009F0DAC">
        <w:rPr>
          <w:rFonts w:ascii="Nirmala UI" w:hAnsi="Nirmala UI" w:cs="Nirmala UI"/>
        </w:rPr>
        <w:t>ensure that the student is educated with his/her non-disabled peers to the maximum extent appropriate.</w:t>
      </w:r>
    </w:p>
    <w:p w14:paraId="10F3DE21" w14:textId="77777777" w:rsidR="009F0DAC" w:rsidRPr="009F0DAC" w:rsidRDefault="009F0DAC" w:rsidP="009F0DAC">
      <w:pPr>
        <w:rPr>
          <w:rFonts w:ascii="Nirmala UI" w:hAnsi="Nirmala UI" w:cs="Nirmala UI"/>
        </w:rPr>
      </w:pPr>
    </w:p>
    <w:p w14:paraId="769D4FF5" w14:textId="77777777" w:rsidR="009F0DAC" w:rsidRPr="009F0DAC" w:rsidRDefault="009F0DAC" w:rsidP="009F0DAC">
      <w:pPr>
        <w:rPr>
          <w:rFonts w:ascii="Nirmala UI" w:hAnsi="Nirmala UI" w:cs="Nirmala UI"/>
        </w:rPr>
      </w:pPr>
      <w:r w:rsidRPr="009F0DAC">
        <w:rPr>
          <w:rFonts w:ascii="Nirmala UI" w:hAnsi="Nirmala UI" w:cs="Nirmala UI"/>
        </w:rPr>
        <w:t>Parents and guardians of students who have a plan developed under Section 504 will be provided a copy of PCM policy (see Policy 3246) on the use of isolation and restraint at the time that the plan is created.</w:t>
      </w:r>
    </w:p>
    <w:p w14:paraId="0C115E25" w14:textId="77777777" w:rsidR="009F0DAC" w:rsidRPr="009F0DAC" w:rsidRDefault="009F0DAC" w:rsidP="009F0DAC">
      <w:pPr>
        <w:rPr>
          <w:rFonts w:ascii="Nirmala UI" w:hAnsi="Nirmala UI" w:cs="Nirmala UI"/>
        </w:rPr>
      </w:pPr>
    </w:p>
    <w:p w14:paraId="115579E6" w14:textId="77777777" w:rsidR="009F0DAC" w:rsidRPr="009F0DAC" w:rsidRDefault="009F0DAC" w:rsidP="009F0DAC">
      <w:pPr>
        <w:rPr>
          <w:rFonts w:ascii="Nirmala UI" w:hAnsi="Nirmala UI" w:cs="Nirmala UI"/>
        </w:rPr>
      </w:pPr>
      <w:r w:rsidRPr="009F0DAC">
        <w:rPr>
          <w:rFonts w:ascii="Nirmala UI" w:hAnsi="Nirmala UI" w:cs="Nirmala UI"/>
        </w:rPr>
        <w:t>If PCM affords a free appropriate education to a student but the parent chooses to place the child elsewhere, PCM is not responsible to pay for the out-of-district placement.</w:t>
      </w:r>
    </w:p>
    <w:p w14:paraId="173238D6" w14:textId="77777777" w:rsidR="009F0DAC" w:rsidRPr="009F0DAC" w:rsidRDefault="009F0DAC" w:rsidP="009F0DAC">
      <w:pPr>
        <w:rPr>
          <w:rFonts w:ascii="Nirmala UI" w:hAnsi="Nirmala UI" w:cs="Nirmala UI"/>
        </w:rPr>
      </w:pPr>
    </w:p>
    <w:p w14:paraId="30D884F7" w14:textId="0982DA1A" w:rsidR="009F0DAC" w:rsidRPr="009F0DAC" w:rsidRDefault="009F0DAC" w:rsidP="009F0DAC">
      <w:pPr>
        <w:rPr>
          <w:rFonts w:ascii="Nirmala UI" w:hAnsi="Nirmala UI" w:cs="Nirmala UI"/>
          <w:b/>
          <w:bCs/>
        </w:rPr>
      </w:pPr>
      <w:r w:rsidRPr="009F0DAC">
        <w:rPr>
          <w:rFonts w:ascii="Nirmala UI" w:hAnsi="Nirmala UI" w:cs="Nirmala UI"/>
          <w:b/>
          <w:bCs/>
        </w:rPr>
        <w:t>J.</w:t>
      </w:r>
      <w:r w:rsidRPr="009F0DAC">
        <w:rPr>
          <w:rFonts w:ascii="Nirmala UI" w:hAnsi="Nirmala UI" w:cs="Nirmala UI"/>
          <w:b/>
          <w:bCs/>
        </w:rPr>
        <w:tab/>
        <w:t>Reevaluations</w:t>
      </w:r>
    </w:p>
    <w:p w14:paraId="7D71CEDE" w14:textId="77777777" w:rsidR="009F0DAC" w:rsidRPr="009F0DAC" w:rsidRDefault="009F0DAC" w:rsidP="009F0DAC">
      <w:pPr>
        <w:rPr>
          <w:rFonts w:ascii="Nirmala UI" w:hAnsi="Nirmala UI" w:cs="Nirmala UI"/>
        </w:rPr>
      </w:pPr>
      <w:r w:rsidRPr="009F0DAC">
        <w:rPr>
          <w:rFonts w:ascii="Nirmala UI" w:hAnsi="Nirmala UI" w:cs="Nirmala UI"/>
        </w:rPr>
        <w:t>PCM will provide for periodic reevaluation of disabled students. No time frame is specified in Section 504; however, re-evaluating students every three years in accordance with the requirements of the IDEA will satisfy Section 504 requirements as well. A reevaluation is also required before any “significant change of placement,” as defined above in Part “H.”</w:t>
      </w:r>
    </w:p>
    <w:p w14:paraId="121A245F" w14:textId="77777777" w:rsidR="009F0DAC" w:rsidRPr="009F0DAC" w:rsidRDefault="009F0DAC" w:rsidP="009F0DAC">
      <w:pPr>
        <w:rPr>
          <w:rFonts w:ascii="Nirmala UI" w:hAnsi="Nirmala UI" w:cs="Nirmala UI"/>
        </w:rPr>
      </w:pPr>
    </w:p>
    <w:p w14:paraId="51C0DBE5" w14:textId="54CE0FDE" w:rsidR="009F0DAC" w:rsidRPr="009F0DAC" w:rsidRDefault="009F0DAC" w:rsidP="009F0DAC">
      <w:pPr>
        <w:rPr>
          <w:rFonts w:ascii="Nirmala UI" w:hAnsi="Nirmala UI" w:cs="Nirmala UI"/>
          <w:b/>
          <w:bCs/>
        </w:rPr>
      </w:pPr>
      <w:r w:rsidRPr="009F0DAC">
        <w:rPr>
          <w:rFonts w:ascii="Nirmala UI" w:hAnsi="Nirmala UI" w:cs="Nirmala UI"/>
          <w:b/>
          <w:bCs/>
        </w:rPr>
        <w:t>K.</w:t>
      </w:r>
      <w:r w:rsidRPr="009F0DAC">
        <w:rPr>
          <w:rFonts w:ascii="Nirmala UI" w:hAnsi="Nirmala UI" w:cs="Nirmala UI"/>
          <w:b/>
          <w:bCs/>
        </w:rPr>
        <w:tab/>
        <w:t>Programming to Meet Individual Needs</w:t>
      </w:r>
    </w:p>
    <w:p w14:paraId="6EC0AF63" w14:textId="77777777" w:rsidR="009F0DAC" w:rsidRPr="009F0DAC" w:rsidRDefault="009F0DAC" w:rsidP="009F0DAC">
      <w:pPr>
        <w:rPr>
          <w:rFonts w:ascii="Nirmala UI" w:hAnsi="Nirmala UI" w:cs="Nirmala UI"/>
        </w:rPr>
      </w:pPr>
      <w:r w:rsidRPr="009F0DAC">
        <w:rPr>
          <w:rFonts w:ascii="Nirmala UI" w:hAnsi="Nirmala UI" w:cs="Nirmala UI"/>
        </w:rPr>
        <w:t>PCM recognizes that to be appropriate, educational programs for students with disabilities must be designed to meet their individual needs to the same extent that the needs of non-disabled students are met. A documented procedure, such as the development of an individualized accommodation plan by a knowledgeable team of educational professionals, may be appropriate.</w:t>
      </w:r>
    </w:p>
    <w:p w14:paraId="711568F1" w14:textId="77777777" w:rsidR="009F0DAC" w:rsidRPr="009F0DAC" w:rsidRDefault="009F0DAC" w:rsidP="009F0DAC">
      <w:pPr>
        <w:rPr>
          <w:rFonts w:ascii="Nirmala UI" w:hAnsi="Nirmala UI" w:cs="Nirmala UI"/>
        </w:rPr>
      </w:pPr>
    </w:p>
    <w:p w14:paraId="718AA109" w14:textId="280C31DC" w:rsidR="009F0DAC" w:rsidRPr="009F0DAC" w:rsidRDefault="009F0DAC" w:rsidP="009F0DAC">
      <w:pPr>
        <w:rPr>
          <w:rFonts w:ascii="Nirmala UI" w:hAnsi="Nirmala UI" w:cs="Nirmala UI"/>
          <w:b/>
          <w:bCs/>
        </w:rPr>
      </w:pPr>
      <w:r w:rsidRPr="009F0DAC">
        <w:rPr>
          <w:rFonts w:ascii="Nirmala UI" w:hAnsi="Nirmala UI" w:cs="Nirmala UI"/>
          <w:b/>
          <w:bCs/>
        </w:rPr>
        <w:t>L.</w:t>
      </w:r>
      <w:r w:rsidRPr="009F0DAC">
        <w:rPr>
          <w:rFonts w:ascii="Nirmala UI" w:hAnsi="Nirmala UI" w:cs="Nirmala UI"/>
          <w:b/>
          <w:bCs/>
        </w:rPr>
        <w:tab/>
        <w:t>Non-Academic Services</w:t>
      </w:r>
    </w:p>
    <w:p w14:paraId="2D635BBD" w14:textId="1196220D" w:rsidR="009F0DAC" w:rsidRPr="009F0DAC" w:rsidRDefault="009F0DAC" w:rsidP="009F0DAC">
      <w:pPr>
        <w:rPr>
          <w:rFonts w:ascii="Nirmala UI" w:hAnsi="Nirmala UI" w:cs="Nirmala UI"/>
        </w:rPr>
      </w:pPr>
      <w:r w:rsidRPr="009F0DAC">
        <w:rPr>
          <w:rFonts w:ascii="Nirmala UI" w:hAnsi="Nirmala UI" w:cs="Nirmala UI"/>
        </w:rPr>
        <w:t>PCM will provide nonacademic and extracurricular services and activities in such a manner as is necessary to afford disabled students an equal opportunity for participation in such services and activities. Nonacademic and extracurricular services and activities may include counseling services, physical recreation athletics, transportation, health services, recreational activities, interest groups or clubs sponsored by PCM, referrals to agencies which provide assistance to disabled persons and employment of students, including both employment by PCM and assistance in making available outside employment. PCM will observe reasonable health and safety standards for all students.</w:t>
      </w:r>
    </w:p>
    <w:p w14:paraId="75A68800" w14:textId="7273CE08" w:rsidR="009F0DAC" w:rsidRPr="00CD482A" w:rsidRDefault="009F0DAC" w:rsidP="009F0DAC">
      <w:pPr>
        <w:pStyle w:val="ListParagraph"/>
        <w:numPr>
          <w:ilvl w:val="3"/>
          <w:numId w:val="22"/>
        </w:numPr>
        <w:ind w:left="1080" w:hanging="360"/>
        <w:rPr>
          <w:rFonts w:ascii="Nirmala UI" w:hAnsi="Nirmala UI" w:cs="Nirmala UI"/>
        </w:rPr>
      </w:pPr>
      <w:r w:rsidRPr="00CD482A">
        <w:rPr>
          <w:rFonts w:ascii="Nirmala UI" w:hAnsi="Nirmala UI" w:cs="Nirmala UI"/>
          <w:b/>
          <w:bCs/>
        </w:rPr>
        <w:t>Counseling Services.</w:t>
      </w:r>
      <w:r w:rsidRPr="009F0DAC">
        <w:rPr>
          <w:rFonts w:ascii="Nirmala UI" w:hAnsi="Nirmala UI" w:cs="Nirmala UI"/>
        </w:rPr>
        <w:t xml:space="preserve"> In providing personal, academic or vocational counseling, guidance or placement services to its students, PCM will provide these services without discrimination on the basis of disability. PCM will ensure that qualified students with disabilities are not counseled toward more restrictive career objectives than are non-disabled students with similar interests and abilities.</w:t>
      </w:r>
    </w:p>
    <w:p w14:paraId="10BC595F" w14:textId="77777777" w:rsidR="009F0DAC" w:rsidRPr="009F0DAC" w:rsidRDefault="009F0DAC" w:rsidP="009F0DAC">
      <w:pPr>
        <w:pStyle w:val="ListParagraph"/>
        <w:numPr>
          <w:ilvl w:val="3"/>
          <w:numId w:val="22"/>
        </w:numPr>
        <w:ind w:left="1080" w:hanging="360"/>
        <w:rPr>
          <w:rFonts w:ascii="Nirmala UI" w:hAnsi="Nirmala UI" w:cs="Nirmala UI"/>
        </w:rPr>
      </w:pPr>
      <w:r w:rsidRPr="00CD482A">
        <w:rPr>
          <w:rFonts w:ascii="Nirmala UI" w:hAnsi="Nirmala UI" w:cs="Nirmala UI"/>
          <w:b/>
          <w:bCs/>
        </w:rPr>
        <w:t>Physical Education and Athletics.</w:t>
      </w:r>
      <w:r w:rsidRPr="009F0DAC">
        <w:rPr>
          <w:rFonts w:ascii="Nirmala UI" w:hAnsi="Nirmala UI" w:cs="Nirmala UI"/>
        </w:rPr>
        <w:t xml:space="preserve"> In providing physical education courses and athletics and similar programs and activities to any of its students, PCM will not discriminate on the basis of disability. If PCM offers physical education courses and operates or supports interscholastic, club or intramural athletics, it will provide an equal opportunity for qualified students with disabilities to participate in these activities consistent with their abilities and needs.</w:t>
      </w:r>
    </w:p>
    <w:p w14:paraId="472FB50A" w14:textId="77777777" w:rsidR="009F0DAC" w:rsidRPr="009F0DAC" w:rsidRDefault="009F0DAC" w:rsidP="009F0DAC">
      <w:pPr>
        <w:rPr>
          <w:rFonts w:ascii="Nirmala UI" w:hAnsi="Nirmala UI" w:cs="Nirmala UI"/>
          <w:b/>
          <w:bCs/>
        </w:rPr>
      </w:pPr>
    </w:p>
    <w:p w14:paraId="3C49B87F" w14:textId="77777777" w:rsidR="001560A9" w:rsidRDefault="001560A9" w:rsidP="009F0DAC">
      <w:pPr>
        <w:rPr>
          <w:rFonts w:ascii="Nirmala UI" w:hAnsi="Nirmala UI" w:cs="Nirmala UI"/>
          <w:b/>
          <w:bCs/>
        </w:rPr>
      </w:pPr>
    </w:p>
    <w:p w14:paraId="3C92F5BC" w14:textId="460DB885" w:rsidR="001560A9" w:rsidRDefault="009F0DAC" w:rsidP="009F0DAC">
      <w:pPr>
        <w:rPr>
          <w:rFonts w:ascii="Nirmala UI" w:hAnsi="Nirmala UI" w:cs="Nirmala UI"/>
          <w:b/>
          <w:bCs/>
        </w:rPr>
      </w:pPr>
      <w:r>
        <w:rPr>
          <w:rFonts w:ascii="Nirmala UI" w:hAnsi="Nirmala UI" w:cs="Nirmala UI"/>
          <w:b/>
          <w:bCs/>
        </w:rPr>
        <w:t>M</w:t>
      </w:r>
      <w:r w:rsidRPr="009F0DAC">
        <w:rPr>
          <w:rFonts w:ascii="Nirmala UI" w:hAnsi="Nirmala UI" w:cs="Nirmala UI"/>
          <w:b/>
          <w:bCs/>
        </w:rPr>
        <w:t>.</w:t>
      </w:r>
      <w:r w:rsidRPr="009F0DAC">
        <w:rPr>
          <w:rFonts w:ascii="Nirmala UI" w:hAnsi="Nirmala UI" w:cs="Nirmala UI"/>
          <w:b/>
          <w:bCs/>
        </w:rPr>
        <w:tab/>
      </w:r>
      <w:r w:rsidR="001560A9">
        <w:rPr>
          <w:rFonts w:ascii="Nirmala UI" w:hAnsi="Nirmala UI" w:cs="Nirmala UI"/>
          <w:b/>
          <w:bCs/>
        </w:rPr>
        <w:t>Preschool and Adult Education Programs</w:t>
      </w:r>
    </w:p>
    <w:p w14:paraId="3B54C6B5" w14:textId="6ED3EBB2" w:rsidR="001560A9" w:rsidRPr="001560A9" w:rsidRDefault="001560A9" w:rsidP="009F0DAC">
      <w:pPr>
        <w:rPr>
          <w:rFonts w:ascii="Nirmala UI" w:hAnsi="Nirmala UI" w:cs="Nirmala UI"/>
        </w:rPr>
      </w:pPr>
      <w:r>
        <w:rPr>
          <w:rFonts w:ascii="Nirmala UI" w:hAnsi="Nirmala UI" w:cs="Nirmala UI"/>
        </w:rPr>
        <w:t xml:space="preserve">In the operation of a preschool education, or daycare program or activity, or adult education program or activity, the school will not, on the basis of disability, exclude qualified students with disabilities from the program or activity and will take into account the needs of such persons in determining the aid, benefits or services to be provided under the program or activity. </w:t>
      </w:r>
    </w:p>
    <w:p w14:paraId="6685B963" w14:textId="77777777" w:rsidR="001560A9" w:rsidRDefault="001560A9" w:rsidP="009F0DAC">
      <w:pPr>
        <w:rPr>
          <w:rFonts w:ascii="Nirmala UI" w:hAnsi="Nirmala UI" w:cs="Nirmala UI"/>
          <w:b/>
          <w:bCs/>
        </w:rPr>
      </w:pPr>
    </w:p>
    <w:p w14:paraId="3884A6EC" w14:textId="35F84285" w:rsidR="009F0DAC" w:rsidRPr="009F0DAC" w:rsidRDefault="001560A9" w:rsidP="009F0DAC">
      <w:pPr>
        <w:rPr>
          <w:rFonts w:ascii="Nirmala UI" w:hAnsi="Nirmala UI" w:cs="Nirmala UI"/>
          <w:b/>
          <w:bCs/>
        </w:rPr>
      </w:pPr>
      <w:r>
        <w:rPr>
          <w:rFonts w:ascii="Nirmala UI" w:hAnsi="Nirmala UI" w:cs="Nirmala UI"/>
          <w:b/>
          <w:bCs/>
        </w:rPr>
        <w:t xml:space="preserve">N. </w:t>
      </w:r>
      <w:r>
        <w:rPr>
          <w:rFonts w:ascii="Nirmala UI" w:hAnsi="Nirmala UI" w:cs="Nirmala UI"/>
          <w:b/>
          <w:bCs/>
        </w:rPr>
        <w:tab/>
      </w:r>
      <w:r w:rsidR="009F0DAC" w:rsidRPr="009F0DAC">
        <w:rPr>
          <w:rFonts w:ascii="Nirmala UI" w:hAnsi="Nirmala UI" w:cs="Nirmala UI"/>
          <w:b/>
          <w:bCs/>
        </w:rPr>
        <w:t>Disciplinary Exclusion</w:t>
      </w:r>
    </w:p>
    <w:p w14:paraId="21BE6C85" w14:textId="0F84E1F6" w:rsidR="009F0DAC" w:rsidRPr="001560A9" w:rsidRDefault="009F0DAC" w:rsidP="001560A9">
      <w:pPr>
        <w:pStyle w:val="ListParagraph"/>
        <w:numPr>
          <w:ilvl w:val="0"/>
          <w:numId w:val="28"/>
        </w:numPr>
        <w:rPr>
          <w:rFonts w:ascii="Nirmala UI" w:hAnsi="Nirmala UI" w:cs="Nirmala UI"/>
        </w:rPr>
      </w:pPr>
      <w:r w:rsidRPr="001560A9">
        <w:rPr>
          <w:rFonts w:ascii="Nirmala UI" w:hAnsi="Nirmala UI" w:cs="Nirmala UI"/>
          <w:b/>
          <w:bCs/>
        </w:rPr>
        <w:t>Exclusions.</w:t>
      </w:r>
      <w:r w:rsidRPr="001560A9">
        <w:rPr>
          <w:rFonts w:ascii="Nirmala UI" w:hAnsi="Nirmala UI" w:cs="Nirmala UI"/>
        </w:rPr>
        <w:t xml:space="preserve"> Students with disabilities are protected from being improperly excluded from school for disciplinary reasons. Certain disciplinary exclusions of disabled students from school constitute a significant change in the student’s educational placement. A disciplinary change in the student’s educational placement occurs if the student has been suspended for more than ten consecutive days or if the disciplinary exclusions constitute a “pattern of exclusion” (defined below). Such disciplinary exclusions, which are change of placement, cannot be implemented unless PCM first determines that the student's misconduct which led to the disciplinary exclusion was not a manifestation of the student's disability.</w:t>
      </w:r>
      <w:r w:rsidR="001560A9">
        <w:rPr>
          <w:rFonts w:ascii="Nirmala UI" w:hAnsi="Nirmala UI" w:cs="Nirmala UI"/>
        </w:rPr>
        <w:br/>
      </w:r>
      <w:r w:rsidR="001560A9">
        <w:rPr>
          <w:rFonts w:ascii="Nirmala UI" w:hAnsi="Nirmala UI" w:cs="Nirmala UI"/>
        </w:rPr>
        <w:br/>
      </w:r>
      <w:r w:rsidRPr="001560A9">
        <w:rPr>
          <w:rFonts w:ascii="Nirmala UI" w:hAnsi="Nirmala UI" w:cs="Nirmala UI"/>
          <w:b/>
          <w:bCs/>
        </w:rPr>
        <w:t>Manifestation Determinations.</w:t>
      </w:r>
      <w:r w:rsidRPr="001560A9">
        <w:rPr>
          <w:rFonts w:ascii="Nirmala UI" w:hAnsi="Nirmala UI" w:cs="Nirmala UI"/>
        </w:rPr>
        <w:t xml:space="preserve"> If a disciplinary exclusion (suspension or expulsion) which constitutes a change in placement is implemented, the school principal or educational staff person responsible for the imposition of discipline must ensure that a group of qualified professionals (the student's Section 504 team) determine whether or not the misconduct is a manifestation of the student's disability.</w:t>
      </w:r>
      <w:r w:rsidR="001560A9">
        <w:rPr>
          <w:rFonts w:ascii="Nirmala UI" w:hAnsi="Nirmala UI" w:cs="Nirmala UI"/>
        </w:rPr>
        <w:br/>
      </w:r>
      <w:r w:rsidR="001560A9">
        <w:rPr>
          <w:rFonts w:ascii="Nirmala UI" w:hAnsi="Nirmala UI" w:cs="Nirmala UI"/>
        </w:rPr>
        <w:br/>
      </w:r>
      <w:r w:rsidRPr="001560A9">
        <w:rPr>
          <w:rFonts w:ascii="Nirmala UI" w:hAnsi="Nirmala UI" w:cs="Nirmala UI"/>
        </w:rPr>
        <w:t>The misconduct is considered a manifestation of the disability if the conduct was caused by, or had a direct and substantial relationship to the student's disability. This manifestation determination will take into account the student’s current evaluation and individualized accommodation plan under Section 504.</w:t>
      </w:r>
    </w:p>
    <w:p w14:paraId="2155EF1A" w14:textId="77777777" w:rsidR="009F0DAC" w:rsidRPr="009F0DAC" w:rsidRDefault="009F0DAC" w:rsidP="009F0DAC">
      <w:pPr>
        <w:ind w:left="1080" w:hanging="360"/>
        <w:rPr>
          <w:rFonts w:ascii="Nirmala UI" w:hAnsi="Nirmala UI" w:cs="Nirmala UI"/>
        </w:rPr>
      </w:pPr>
    </w:p>
    <w:p w14:paraId="1FE02ED0" w14:textId="77777777" w:rsidR="001560A9" w:rsidRDefault="009F0DAC" w:rsidP="001560A9">
      <w:pPr>
        <w:pStyle w:val="ListParagraph"/>
        <w:numPr>
          <w:ilvl w:val="0"/>
          <w:numId w:val="28"/>
        </w:numPr>
        <w:rPr>
          <w:rFonts w:ascii="Nirmala UI" w:hAnsi="Nirmala UI" w:cs="Nirmala UI"/>
        </w:rPr>
      </w:pPr>
      <w:r w:rsidRPr="001560A9">
        <w:rPr>
          <w:rFonts w:ascii="Nirmala UI" w:hAnsi="Nirmala UI" w:cs="Nirmala UI"/>
        </w:rPr>
        <w:t>Under Section 504, there is no obligation to provide educational services during periods of long-term suspension or expulsion when the student’s misconduct has been properly determined not to be disability-related. However, Washington state law requires PCM to provide educational services to all students during a period of suspension or expulsion (See Policy/Procedure 3241).</w:t>
      </w:r>
    </w:p>
    <w:p w14:paraId="7670A991" w14:textId="77777777" w:rsidR="001560A9" w:rsidRPr="001560A9" w:rsidRDefault="001560A9" w:rsidP="001560A9">
      <w:pPr>
        <w:pStyle w:val="ListParagraph"/>
        <w:rPr>
          <w:rFonts w:ascii="Nirmala UI" w:hAnsi="Nirmala UI" w:cs="Nirmala UI"/>
        </w:rPr>
      </w:pPr>
    </w:p>
    <w:p w14:paraId="5E35CCFC" w14:textId="77777777" w:rsidR="001560A9" w:rsidRDefault="009F0DAC" w:rsidP="001560A9">
      <w:pPr>
        <w:pStyle w:val="ListParagraph"/>
        <w:rPr>
          <w:rFonts w:ascii="Nirmala UI" w:hAnsi="Nirmala UI" w:cs="Nirmala UI"/>
        </w:rPr>
      </w:pPr>
      <w:r w:rsidRPr="001560A9">
        <w:rPr>
          <w:rFonts w:ascii="Nirmala UI" w:hAnsi="Nirmala UI" w:cs="Nirmala UI"/>
        </w:rPr>
        <w:t>If a student’s misconduct is determined to be a manifestation of his/her disability, procedures in #3 below will be instituted in lieu of either long-term suspension or expulsion.</w:t>
      </w:r>
    </w:p>
    <w:p w14:paraId="676E910D" w14:textId="77777777" w:rsidR="001560A9" w:rsidRDefault="001560A9" w:rsidP="001560A9">
      <w:pPr>
        <w:pStyle w:val="ListParagraph"/>
        <w:rPr>
          <w:rFonts w:ascii="Nirmala UI" w:hAnsi="Nirmala UI" w:cs="Nirmala UI"/>
        </w:rPr>
      </w:pPr>
    </w:p>
    <w:p w14:paraId="363B6344" w14:textId="77777777" w:rsidR="001560A9" w:rsidRDefault="009F0DAC" w:rsidP="001560A9">
      <w:pPr>
        <w:pStyle w:val="ListParagraph"/>
        <w:rPr>
          <w:rFonts w:ascii="Nirmala UI" w:hAnsi="Nirmala UI" w:cs="Nirmala UI"/>
        </w:rPr>
      </w:pPr>
      <w:r w:rsidRPr="001560A9">
        <w:rPr>
          <w:rFonts w:ascii="Nirmala UI" w:hAnsi="Nirmala UI" w:cs="Nirmala UI"/>
          <w:b/>
          <w:bCs/>
        </w:rPr>
        <w:t>Conduct That Is a Manifestation of a Disability.</w:t>
      </w:r>
      <w:r w:rsidRPr="001560A9">
        <w:rPr>
          <w:rFonts w:ascii="Nirmala UI" w:hAnsi="Nirmala UI" w:cs="Nirmala UI"/>
        </w:rPr>
        <w:t xml:space="preserve"> When a student has engaged in misconduct which is a manifestation of to his or her disability, expulsion and/or long</w:t>
      </w:r>
      <w:r w:rsidR="00650B3C" w:rsidRPr="001560A9">
        <w:rPr>
          <w:rFonts w:ascii="Nirmala UI" w:hAnsi="Nirmala UI" w:cs="Nirmala UI"/>
        </w:rPr>
        <w:t>-</w:t>
      </w:r>
      <w:r w:rsidRPr="001560A9">
        <w:rPr>
          <w:rFonts w:ascii="Nirmala UI" w:hAnsi="Nirmala UI" w:cs="Nirmala UI"/>
        </w:rPr>
        <w:t>term suspension should not be imposed if it would result in a change in educational placement (a disciplinary exclusion from school of over ten consecutive days or exclusions which constitutes a pattern of exclusion). Days will be measured cumulatively over the period of the entire school year, with any short-term suspensions as counting toward the cumulative total</w:t>
      </w:r>
      <w:r w:rsidR="001560A9">
        <w:rPr>
          <w:rFonts w:ascii="Nirmala UI" w:hAnsi="Nirmala UI" w:cs="Nirmala UI"/>
        </w:rPr>
        <w:t>.</w:t>
      </w:r>
    </w:p>
    <w:p w14:paraId="52880F75" w14:textId="67EFAA24" w:rsidR="001560A9" w:rsidRDefault="001560A9" w:rsidP="001560A9">
      <w:pPr>
        <w:pStyle w:val="ListParagraph"/>
        <w:rPr>
          <w:rFonts w:ascii="Nirmala UI" w:hAnsi="Nirmala UI" w:cs="Nirmala UI"/>
        </w:rPr>
      </w:pPr>
    </w:p>
    <w:p w14:paraId="51F4E436" w14:textId="77777777" w:rsidR="001560A9" w:rsidRDefault="009F0DAC" w:rsidP="001560A9">
      <w:pPr>
        <w:pStyle w:val="ListParagraph"/>
        <w:numPr>
          <w:ilvl w:val="0"/>
          <w:numId w:val="28"/>
        </w:numPr>
        <w:rPr>
          <w:rFonts w:ascii="Nirmala UI" w:hAnsi="Nirmala UI" w:cs="Nirmala UI"/>
        </w:rPr>
      </w:pPr>
      <w:r w:rsidRPr="001560A9">
        <w:rPr>
          <w:rFonts w:ascii="Nirmala UI" w:hAnsi="Nirmala UI" w:cs="Nirmala UI"/>
        </w:rPr>
        <w:t>When a student’s misconduct is related to a disability, additional evaluations and/or a change of placement should be considered. In this circumstance, the Section 504 team will meet to determine if there is a need for further evaluation or a change of program. If further evaluation is recommended, it will be conducted as soon as reasonably possible.</w:t>
      </w:r>
    </w:p>
    <w:p w14:paraId="503D3E1D" w14:textId="77777777" w:rsidR="001560A9" w:rsidRPr="001560A9" w:rsidRDefault="001560A9" w:rsidP="001560A9">
      <w:pPr>
        <w:rPr>
          <w:rFonts w:ascii="Nirmala UI" w:hAnsi="Nirmala UI" w:cs="Nirmala UI"/>
        </w:rPr>
      </w:pPr>
    </w:p>
    <w:p w14:paraId="37404485" w14:textId="3AE3CD06" w:rsidR="009F0DAC" w:rsidRPr="001560A9" w:rsidRDefault="009F0DAC" w:rsidP="001560A9">
      <w:pPr>
        <w:pStyle w:val="ListParagraph"/>
        <w:numPr>
          <w:ilvl w:val="0"/>
          <w:numId w:val="28"/>
        </w:numPr>
        <w:rPr>
          <w:rFonts w:ascii="Nirmala UI" w:hAnsi="Nirmala UI" w:cs="Nirmala UI"/>
        </w:rPr>
      </w:pPr>
      <w:r w:rsidRPr="001560A9">
        <w:rPr>
          <w:rFonts w:ascii="Nirmala UI" w:hAnsi="Nirmala UI" w:cs="Nirmala UI"/>
          <w:b/>
          <w:bCs/>
        </w:rPr>
        <w:t>Pattern of Exclusion.</w:t>
      </w:r>
      <w:r w:rsidRPr="001560A9">
        <w:rPr>
          <w:rFonts w:ascii="Nirmala UI" w:hAnsi="Nirmala UI" w:cs="Nirmala UI"/>
        </w:rPr>
        <w:t xml:space="preserve"> Suspension or emergency expulsion of a disabled student may occur, without the need to determine if there is a causal connection with the disability, if the suspension or emergency expulsion is ten consecutive days or less, or if more than ten cumulative days is not a pattern of exclusion. A pattern of exclusion occurs if:</w:t>
      </w:r>
    </w:p>
    <w:p w14:paraId="379162FB" w14:textId="77777777" w:rsidR="009F0DAC" w:rsidRPr="009F0DAC" w:rsidRDefault="009F0DAC" w:rsidP="009F0DAC">
      <w:pPr>
        <w:pStyle w:val="ListParagraph"/>
        <w:numPr>
          <w:ilvl w:val="0"/>
          <w:numId w:val="27"/>
        </w:numPr>
        <w:rPr>
          <w:rFonts w:ascii="Nirmala UI" w:hAnsi="Nirmala UI" w:cs="Nirmala UI"/>
        </w:rPr>
      </w:pPr>
      <w:r w:rsidRPr="009F0DAC">
        <w:rPr>
          <w:rFonts w:ascii="Nirmala UI" w:hAnsi="Nirmala UI" w:cs="Nirmala UI"/>
        </w:rPr>
        <w:t>The removal is for more than ten school days in a year; and</w:t>
      </w:r>
    </w:p>
    <w:p w14:paraId="5F8F07A8" w14:textId="77777777" w:rsidR="009F0DAC" w:rsidRPr="009F0DAC" w:rsidRDefault="009F0DAC" w:rsidP="009F0DAC">
      <w:pPr>
        <w:pStyle w:val="ListParagraph"/>
        <w:numPr>
          <w:ilvl w:val="0"/>
          <w:numId w:val="27"/>
        </w:numPr>
        <w:rPr>
          <w:rFonts w:ascii="Nirmala UI" w:hAnsi="Nirmala UI" w:cs="Nirmala UI"/>
        </w:rPr>
      </w:pPr>
      <w:r w:rsidRPr="009F0DAC">
        <w:rPr>
          <w:rFonts w:ascii="Nirmala UI" w:hAnsi="Nirmala UI" w:cs="Nirmala UI"/>
        </w:rPr>
        <w:t>The student's behavior is substantially similar to the behavior that he/she was previously removed for.</w:t>
      </w:r>
    </w:p>
    <w:p w14:paraId="0D259505" w14:textId="77777777" w:rsidR="009F0DAC" w:rsidRPr="009F0DAC" w:rsidRDefault="009F0DAC" w:rsidP="009F0DAC">
      <w:pPr>
        <w:pStyle w:val="ListParagraph"/>
        <w:ind w:left="1080" w:hanging="360"/>
        <w:rPr>
          <w:rFonts w:ascii="Nirmala UI" w:hAnsi="Nirmala UI" w:cs="Nirmala UI"/>
        </w:rPr>
      </w:pPr>
    </w:p>
    <w:p w14:paraId="75D2A440" w14:textId="77777777" w:rsidR="009F0DAC" w:rsidRPr="009F0DAC" w:rsidRDefault="009F0DAC" w:rsidP="009F0DAC">
      <w:pPr>
        <w:ind w:left="1080"/>
        <w:rPr>
          <w:rFonts w:ascii="Nirmala UI" w:hAnsi="Nirmala UI" w:cs="Nirmala UI"/>
        </w:rPr>
      </w:pPr>
      <w:r w:rsidRPr="009F0DAC">
        <w:rPr>
          <w:rFonts w:ascii="Nirmala UI" w:hAnsi="Nirmala UI" w:cs="Nirmala UI"/>
        </w:rPr>
        <w:t>Additional factors to consider are the length of each removal (the total amount of time the student has been removed, and the proximity of the removals to one another), and the school must determine on a case-by-case basis whether a pattern of removals is significant enough to constitute a change in placement.</w:t>
      </w:r>
    </w:p>
    <w:p w14:paraId="2CF4175F" w14:textId="77777777" w:rsidR="009F0DAC" w:rsidRPr="009F0DAC" w:rsidRDefault="009F0DAC" w:rsidP="009F0DAC">
      <w:pPr>
        <w:ind w:left="1080" w:hanging="360"/>
        <w:rPr>
          <w:rFonts w:ascii="Nirmala UI" w:hAnsi="Nirmala UI" w:cs="Nirmala UI"/>
        </w:rPr>
      </w:pPr>
    </w:p>
    <w:p w14:paraId="3998F652" w14:textId="77777777" w:rsidR="001560A9" w:rsidRDefault="009F0DAC" w:rsidP="001560A9">
      <w:pPr>
        <w:pStyle w:val="ListParagraph"/>
        <w:numPr>
          <w:ilvl w:val="0"/>
          <w:numId w:val="28"/>
        </w:numPr>
        <w:rPr>
          <w:rFonts w:ascii="Nirmala UI" w:hAnsi="Nirmala UI" w:cs="Nirmala UI"/>
        </w:rPr>
      </w:pPr>
      <w:r w:rsidRPr="001560A9">
        <w:rPr>
          <w:rFonts w:ascii="Nirmala UI" w:hAnsi="Nirmala UI" w:cs="Nirmala UI"/>
          <w:b/>
          <w:bCs/>
        </w:rPr>
        <w:t>Right to Challenge.</w:t>
      </w:r>
      <w:r w:rsidRPr="001560A9">
        <w:rPr>
          <w:rFonts w:ascii="Nirmala UI" w:hAnsi="Nirmala UI" w:cs="Nirmala UI"/>
        </w:rPr>
        <w:t xml:space="preserve"> Students and their parent/guardian will be notified of the results of the manifestation decision and of their right under the law to challenge this decision.</w:t>
      </w:r>
    </w:p>
    <w:p w14:paraId="5FD0C7EB" w14:textId="77777777" w:rsidR="001560A9" w:rsidRPr="001560A9" w:rsidRDefault="001560A9" w:rsidP="001560A9">
      <w:pPr>
        <w:pStyle w:val="ListParagraph"/>
        <w:rPr>
          <w:rFonts w:ascii="Nirmala UI" w:hAnsi="Nirmala UI" w:cs="Nirmala UI"/>
        </w:rPr>
      </w:pPr>
    </w:p>
    <w:p w14:paraId="33E3286B" w14:textId="3C2E85D3" w:rsidR="009F0DAC" w:rsidRPr="001560A9" w:rsidRDefault="009F0DAC" w:rsidP="001560A9">
      <w:pPr>
        <w:pStyle w:val="ListParagraph"/>
        <w:numPr>
          <w:ilvl w:val="0"/>
          <w:numId w:val="28"/>
        </w:numPr>
        <w:rPr>
          <w:rFonts w:ascii="Nirmala UI" w:hAnsi="Nirmala UI" w:cs="Nirmala UI"/>
        </w:rPr>
      </w:pPr>
      <w:r w:rsidRPr="001560A9">
        <w:rPr>
          <w:rFonts w:ascii="Nirmala UI" w:hAnsi="Nirmala UI" w:cs="Nirmala UI"/>
          <w:b/>
          <w:bCs/>
        </w:rPr>
        <w:t>Drugs or Alcohol.</w:t>
      </w:r>
      <w:r w:rsidRPr="001560A9">
        <w:rPr>
          <w:rFonts w:ascii="Nirmala UI" w:hAnsi="Nirmala UI" w:cs="Nirmala UI"/>
        </w:rPr>
        <w:t xml:space="preserve"> Students who are considered disabled under Section 504 are subject to the same disciplinary processes and results as non-disabled students for misconduct regarding the use, sale or possession of drugs or alcohol at school.</w:t>
      </w:r>
    </w:p>
    <w:p w14:paraId="2C924DB7" w14:textId="77777777" w:rsidR="009F0DAC" w:rsidRPr="009F0DAC" w:rsidRDefault="009F0DAC" w:rsidP="009F0DAC">
      <w:pPr>
        <w:pStyle w:val="ListParagraph"/>
        <w:ind w:left="1080" w:hanging="360"/>
        <w:rPr>
          <w:rFonts w:ascii="Nirmala UI" w:hAnsi="Nirmala UI" w:cs="Nirmala UI"/>
          <w:b/>
          <w:bCs/>
        </w:rPr>
      </w:pPr>
    </w:p>
    <w:p w14:paraId="03BC2BD8" w14:textId="77777777" w:rsidR="009F0DAC" w:rsidRPr="001560A9" w:rsidRDefault="009F0DAC" w:rsidP="001560A9">
      <w:pPr>
        <w:rPr>
          <w:rFonts w:ascii="Nirmala UI" w:hAnsi="Nirmala UI" w:cs="Nirmala UI"/>
        </w:rPr>
      </w:pPr>
      <w:r w:rsidRPr="001560A9">
        <w:rPr>
          <w:rFonts w:ascii="Nirmala UI" w:hAnsi="Nirmala UI" w:cs="Nirmala UI"/>
          <w:b/>
          <w:bCs/>
        </w:rPr>
        <w:t xml:space="preserve">Restraint or Isolation. </w:t>
      </w:r>
      <w:r w:rsidRPr="001560A9">
        <w:rPr>
          <w:rFonts w:ascii="Nirmala UI" w:hAnsi="Nirmala UI" w:cs="Nirmala UI"/>
        </w:rPr>
        <w:t>Restraint or isolation of students who have a Section 504 plan will be authorized only under the limited circumstances specified in Policy/Procedure 3247 and each incident will require reporting and parent/guardian notification as specified in that policy and procedure.</w:t>
      </w:r>
    </w:p>
    <w:p w14:paraId="64EAA015" w14:textId="77777777" w:rsidR="009F0DAC" w:rsidRPr="009F0DAC" w:rsidRDefault="009F0DAC" w:rsidP="009F0DAC">
      <w:pPr>
        <w:rPr>
          <w:rFonts w:ascii="Nirmala UI" w:hAnsi="Nirmala UI" w:cs="Nirmala UI"/>
        </w:rPr>
      </w:pPr>
    </w:p>
    <w:p w14:paraId="180C42B0" w14:textId="7416EF98" w:rsidR="009F0DAC" w:rsidRPr="009F0DAC" w:rsidRDefault="009F0DAC" w:rsidP="009F0DAC">
      <w:pPr>
        <w:rPr>
          <w:rFonts w:ascii="Nirmala UI" w:hAnsi="Nirmala UI" w:cs="Nirmala UI"/>
          <w:b/>
          <w:bCs/>
        </w:rPr>
      </w:pPr>
      <w:r w:rsidRPr="009F0DAC">
        <w:rPr>
          <w:rFonts w:ascii="Nirmala UI" w:hAnsi="Nirmala UI" w:cs="Nirmala UI"/>
          <w:b/>
          <w:bCs/>
        </w:rPr>
        <w:t>Transportation</w:t>
      </w:r>
    </w:p>
    <w:p w14:paraId="726342B4" w14:textId="77777777" w:rsidR="009F0DAC" w:rsidRPr="009F0DAC" w:rsidRDefault="009F0DAC" w:rsidP="009F0DAC">
      <w:pPr>
        <w:rPr>
          <w:rFonts w:ascii="Nirmala UI" w:hAnsi="Nirmala UI" w:cs="Nirmala UI"/>
        </w:rPr>
      </w:pPr>
      <w:r w:rsidRPr="009F0DAC">
        <w:rPr>
          <w:rFonts w:ascii="Nirmala UI" w:hAnsi="Nirmala UI" w:cs="Nirmala UI"/>
        </w:rPr>
        <w:t>If PCM places a student in a program not operated by PCM, PCM will assure that adequate transportation to and from the program is provided at no cost to the parent.</w:t>
      </w:r>
    </w:p>
    <w:p w14:paraId="6502D83E" w14:textId="77777777" w:rsidR="009F0DAC" w:rsidRPr="009F0DAC" w:rsidRDefault="009F0DAC" w:rsidP="009F0DAC">
      <w:pPr>
        <w:rPr>
          <w:rFonts w:ascii="Nirmala UI" w:hAnsi="Nirmala UI" w:cs="Nirmala UI"/>
        </w:rPr>
      </w:pPr>
    </w:p>
    <w:p w14:paraId="392EAF3F" w14:textId="77777777" w:rsidR="009F0DAC" w:rsidRPr="009F0DAC" w:rsidRDefault="009F0DAC" w:rsidP="009F0DAC">
      <w:pPr>
        <w:rPr>
          <w:rFonts w:ascii="Nirmala UI" w:hAnsi="Nirmala UI" w:cs="Nirmala UI"/>
        </w:rPr>
      </w:pPr>
      <w:r w:rsidRPr="009F0DAC">
        <w:rPr>
          <w:rFonts w:ascii="Nirmala UI" w:hAnsi="Nirmala UI" w:cs="Nirmala UI"/>
        </w:rPr>
        <w:t>Because PCM provides transportation to all its students within a certain geographic area, it will not discriminate in its provision of transportation to students with disabilities.</w:t>
      </w:r>
    </w:p>
    <w:p w14:paraId="4F05CCDE" w14:textId="77777777" w:rsidR="009F0DAC" w:rsidRPr="009F0DAC" w:rsidRDefault="009F0DAC" w:rsidP="009F0DAC">
      <w:pPr>
        <w:rPr>
          <w:rFonts w:ascii="Nirmala UI" w:hAnsi="Nirmala UI" w:cs="Nirmala UI"/>
        </w:rPr>
      </w:pPr>
    </w:p>
    <w:p w14:paraId="2C913758" w14:textId="77777777" w:rsidR="009F0DAC" w:rsidRPr="009F0DAC" w:rsidRDefault="009F0DAC" w:rsidP="009F0DAC">
      <w:pPr>
        <w:rPr>
          <w:rFonts w:ascii="Nirmala UI" w:hAnsi="Nirmala UI" w:cs="Nirmala UI"/>
        </w:rPr>
      </w:pPr>
      <w:r w:rsidRPr="009F0DAC">
        <w:rPr>
          <w:rFonts w:ascii="Nirmala UI" w:hAnsi="Nirmala UI" w:cs="Nirmala UI"/>
        </w:rPr>
        <w:t>If PCM proposes to terminate a qualified disabled student’s bus transportation for inappropriate bus behavior, PCM will first determine the relationship between the student’s behavior and his or her disabling condition. The parent or guardian will be provided with notice of the results of such determinations and of their right to challenge such determinations.</w:t>
      </w:r>
    </w:p>
    <w:p w14:paraId="56C10B56" w14:textId="0E16D4F4" w:rsidR="001560A9" w:rsidRDefault="001560A9" w:rsidP="009F0DAC">
      <w:pPr>
        <w:rPr>
          <w:rFonts w:ascii="Nirmala UI" w:hAnsi="Nirmala UI" w:cs="Nirmala UI"/>
          <w:b/>
          <w:bCs/>
        </w:rPr>
      </w:pPr>
    </w:p>
    <w:p w14:paraId="3136DF87" w14:textId="0C5C94B1" w:rsidR="009F0DAC" w:rsidRPr="009F0DAC" w:rsidRDefault="009F0DAC" w:rsidP="009F0DAC">
      <w:pPr>
        <w:rPr>
          <w:rFonts w:ascii="Nirmala UI" w:hAnsi="Nirmala UI" w:cs="Nirmala UI"/>
          <w:b/>
          <w:bCs/>
        </w:rPr>
      </w:pPr>
      <w:r w:rsidRPr="009F0DAC">
        <w:rPr>
          <w:rFonts w:ascii="Nirmala UI" w:hAnsi="Nirmala UI" w:cs="Nirmala UI"/>
          <w:b/>
          <w:bCs/>
        </w:rPr>
        <w:t>Procedural Requirements</w:t>
      </w:r>
    </w:p>
    <w:p w14:paraId="212A0441" w14:textId="77777777" w:rsidR="009F0DAC" w:rsidRPr="009F0DAC" w:rsidRDefault="009F0DAC" w:rsidP="009F0DAC">
      <w:pPr>
        <w:rPr>
          <w:rFonts w:ascii="Nirmala UI" w:hAnsi="Nirmala UI" w:cs="Nirmala UI"/>
        </w:rPr>
      </w:pPr>
      <w:r w:rsidRPr="009F0DAC">
        <w:rPr>
          <w:rFonts w:ascii="Nirmala UI" w:hAnsi="Nirmala UI" w:cs="Nirmala UI"/>
        </w:rPr>
        <w:t>PCM will ensure compliance with the requirements of Section 504 by doing the following:</w:t>
      </w:r>
    </w:p>
    <w:p w14:paraId="63F1ECA8" w14:textId="77777777" w:rsidR="009F0DAC" w:rsidRPr="009F0DAC" w:rsidRDefault="009F0DAC" w:rsidP="009F0DAC">
      <w:pPr>
        <w:rPr>
          <w:rFonts w:ascii="Nirmala UI" w:hAnsi="Nirmala UI" w:cs="Nirmala UI"/>
        </w:rPr>
      </w:pPr>
    </w:p>
    <w:p w14:paraId="45D42DE4" w14:textId="57CD9EEE" w:rsidR="009F0DAC" w:rsidRPr="00650B3C" w:rsidRDefault="009F0DAC" w:rsidP="00650B3C">
      <w:pPr>
        <w:pStyle w:val="ListParagraph"/>
        <w:numPr>
          <w:ilvl w:val="0"/>
          <w:numId w:val="25"/>
        </w:numPr>
        <w:ind w:hanging="360"/>
        <w:rPr>
          <w:rFonts w:ascii="Nirmala UI" w:hAnsi="Nirmala UI" w:cs="Nirmala UI"/>
        </w:rPr>
      </w:pPr>
      <w:r w:rsidRPr="009F0DAC">
        <w:rPr>
          <w:rFonts w:ascii="Nirmala UI" w:hAnsi="Nirmala UI" w:cs="Nirmala UI"/>
          <w:b/>
          <w:bCs/>
        </w:rPr>
        <w:t>Assurance.</w:t>
      </w:r>
      <w:r w:rsidRPr="009F0DAC">
        <w:rPr>
          <w:rFonts w:ascii="Nirmala UI" w:hAnsi="Nirmala UI" w:cs="Nirmala UI"/>
        </w:rPr>
        <w:t xml:space="preserve"> Provide written assurance of non-discrimination whenever PCM receives federal money;</w:t>
      </w:r>
    </w:p>
    <w:p w14:paraId="7FD18FBD" w14:textId="6D4C22A6" w:rsidR="009F0DAC" w:rsidRPr="00650B3C" w:rsidRDefault="009F0DAC" w:rsidP="00650B3C">
      <w:pPr>
        <w:pStyle w:val="ListParagraph"/>
        <w:numPr>
          <w:ilvl w:val="0"/>
          <w:numId w:val="25"/>
        </w:numPr>
        <w:ind w:hanging="360"/>
        <w:rPr>
          <w:rFonts w:ascii="Nirmala UI" w:hAnsi="Nirmala UI" w:cs="Nirmala UI"/>
        </w:rPr>
      </w:pPr>
      <w:r w:rsidRPr="009F0DAC">
        <w:rPr>
          <w:rFonts w:ascii="Nirmala UI" w:hAnsi="Nirmala UI" w:cs="Nirmala UI"/>
          <w:b/>
          <w:bCs/>
        </w:rPr>
        <w:t>Designation of Employee.</w:t>
      </w:r>
      <w:r w:rsidRPr="009F0DAC">
        <w:rPr>
          <w:rFonts w:ascii="Nirmala UI" w:hAnsi="Nirmala UI" w:cs="Nirmala UI"/>
        </w:rPr>
        <w:t xml:space="preserve"> Designate an employee to coordinate PCM’s Section 504 compliance activities. The Section 504 Coordinator for PCM is </w:t>
      </w:r>
      <w:r w:rsidR="00650B3C">
        <w:rPr>
          <w:rFonts w:ascii="Nirmala UI" w:hAnsi="Nirmala UI" w:cs="Nirmala UI"/>
        </w:rPr>
        <w:t>Emily Klein (</w:t>
      </w:r>
      <w:hyperlink r:id="rId8" w:history="1">
        <w:r w:rsidR="00650B3C" w:rsidRPr="00B310C5">
          <w:rPr>
            <w:rStyle w:val="Hyperlink"/>
            <w:rFonts w:ascii="Nirmala UI" w:hAnsi="Nirmala UI" w:cs="Nirmala UI"/>
          </w:rPr>
          <w:t>EmilyK@myPCM.org</w:t>
        </w:r>
      </w:hyperlink>
      <w:r w:rsidR="00650B3C">
        <w:rPr>
          <w:rFonts w:ascii="Nirmala UI" w:hAnsi="Nirmala UI" w:cs="Nirmala UI"/>
        </w:rPr>
        <w:t>)</w:t>
      </w:r>
      <w:r w:rsidRPr="009F0DAC">
        <w:rPr>
          <w:rFonts w:ascii="Nirmala UI" w:hAnsi="Nirmala UI" w:cs="Nirmala UI"/>
        </w:rPr>
        <w:t>;</w:t>
      </w:r>
    </w:p>
    <w:p w14:paraId="60B7E72A" w14:textId="5952E1E6" w:rsidR="009F0DAC" w:rsidRPr="00650B3C" w:rsidRDefault="009F0DAC" w:rsidP="00650B3C">
      <w:pPr>
        <w:pStyle w:val="ListParagraph"/>
        <w:numPr>
          <w:ilvl w:val="0"/>
          <w:numId w:val="25"/>
        </w:numPr>
        <w:ind w:hanging="360"/>
        <w:rPr>
          <w:rFonts w:ascii="Nirmala UI" w:hAnsi="Nirmala UI" w:cs="Nirmala UI"/>
        </w:rPr>
      </w:pPr>
      <w:r w:rsidRPr="009F0DAC">
        <w:rPr>
          <w:rFonts w:ascii="Nirmala UI" w:hAnsi="Nirmala UI" w:cs="Nirmala UI"/>
          <w:b/>
          <w:bCs/>
        </w:rPr>
        <w:t>Grievance Procedures.</w:t>
      </w:r>
      <w:r w:rsidRPr="009F0DAC">
        <w:rPr>
          <w:rFonts w:ascii="Nirmala UI" w:hAnsi="Nirmala UI" w:cs="Nirmala UI"/>
        </w:rPr>
        <w:t xml:space="preserve"> Provide grievance procedures to resolve complaints of discrimination. Students, parents or employees are entitled to file grievances. The grievance procedures for PCM are set out in the Procedure for Policy 3210, Nondiscrimination;</w:t>
      </w:r>
    </w:p>
    <w:p w14:paraId="5B63535C" w14:textId="1C5CF17D" w:rsidR="009F0DAC" w:rsidRPr="00650B3C" w:rsidRDefault="009F0DAC" w:rsidP="00650B3C">
      <w:pPr>
        <w:pStyle w:val="ListParagraph"/>
        <w:numPr>
          <w:ilvl w:val="0"/>
          <w:numId w:val="25"/>
        </w:numPr>
        <w:ind w:hanging="360"/>
        <w:rPr>
          <w:rFonts w:ascii="Nirmala UI" w:hAnsi="Nirmala UI" w:cs="Nirmala UI"/>
        </w:rPr>
      </w:pPr>
      <w:r w:rsidRPr="009F0DAC">
        <w:rPr>
          <w:rFonts w:ascii="Nirmala UI" w:hAnsi="Nirmala UI" w:cs="Nirmala UI"/>
          <w:b/>
          <w:bCs/>
        </w:rPr>
        <w:t>Notice.</w:t>
      </w:r>
      <w:r w:rsidRPr="009F0DAC">
        <w:rPr>
          <w:rFonts w:ascii="Nirmala UI" w:hAnsi="Nirmala UI" w:cs="Nirmala UI"/>
        </w:rPr>
        <w:t xml:space="preserve"> Provide notice to students, parents/guardians, employees, unions and professional organizations of PCM’s nondiscrimination policy in admission and access to programs and activities, and in treatment and employment. Notice will also specify the Section 504 coordinator for PCM;</w:t>
      </w:r>
    </w:p>
    <w:p w14:paraId="0C81D521" w14:textId="77777777" w:rsidR="009F0DAC" w:rsidRPr="009F0DAC" w:rsidRDefault="009F0DAC" w:rsidP="009F0DAC">
      <w:pPr>
        <w:pStyle w:val="ListParagraph"/>
        <w:numPr>
          <w:ilvl w:val="0"/>
          <w:numId w:val="25"/>
        </w:numPr>
        <w:ind w:hanging="360"/>
        <w:rPr>
          <w:rFonts w:ascii="Nirmala UI" w:hAnsi="Nirmala UI" w:cs="Nirmala UI"/>
        </w:rPr>
      </w:pPr>
      <w:r w:rsidRPr="009F0DAC">
        <w:rPr>
          <w:rFonts w:ascii="Nirmala UI" w:hAnsi="Nirmala UI" w:cs="Nirmala UI"/>
          <w:b/>
          <w:bCs/>
        </w:rPr>
        <w:t>Locate.</w:t>
      </w:r>
      <w:r w:rsidRPr="009F0DAC">
        <w:rPr>
          <w:rFonts w:ascii="Nirmala UI" w:hAnsi="Nirmala UI" w:cs="Nirmala UI"/>
        </w:rPr>
        <w:t xml:space="preserve"> Annually undertake to identify and locate all Section 504 qualified disabled children in PCM’s jurisdiction who are not receiving a public education;</w:t>
      </w:r>
    </w:p>
    <w:p w14:paraId="26EECCA1" w14:textId="77777777" w:rsidR="009F0DAC" w:rsidRPr="009F0DAC" w:rsidRDefault="009F0DAC" w:rsidP="009F0DAC">
      <w:pPr>
        <w:pStyle w:val="ListParagraph"/>
        <w:numPr>
          <w:ilvl w:val="0"/>
          <w:numId w:val="25"/>
        </w:numPr>
        <w:ind w:hanging="360"/>
        <w:rPr>
          <w:rFonts w:ascii="Nirmala UI" w:hAnsi="Nirmala UI" w:cs="Nirmala UI"/>
        </w:rPr>
      </w:pPr>
      <w:r w:rsidRPr="009F0DAC">
        <w:rPr>
          <w:rFonts w:ascii="Nirmala UI" w:hAnsi="Nirmala UI" w:cs="Nirmala UI"/>
          <w:b/>
          <w:bCs/>
        </w:rPr>
        <w:t>Annual Notification.</w:t>
      </w:r>
      <w:r w:rsidRPr="009F0DAC">
        <w:rPr>
          <w:rFonts w:ascii="Nirmala UI" w:hAnsi="Nirmala UI" w:cs="Nirmala UI"/>
        </w:rPr>
        <w:t xml:space="preserve"> Annually take appropriate steps to notify disabled persons and their parents/guardians of PCM’s responsibilities under Section 504; and</w:t>
      </w:r>
    </w:p>
    <w:p w14:paraId="01AB20A6" w14:textId="77777777" w:rsidR="009F0DAC" w:rsidRPr="009F0DAC" w:rsidRDefault="009F0DAC" w:rsidP="009F0DAC">
      <w:pPr>
        <w:pStyle w:val="ListParagraph"/>
        <w:numPr>
          <w:ilvl w:val="0"/>
          <w:numId w:val="25"/>
        </w:numPr>
        <w:ind w:hanging="360"/>
        <w:rPr>
          <w:rFonts w:ascii="Nirmala UI" w:hAnsi="Nirmala UI" w:cs="Nirmala UI"/>
        </w:rPr>
      </w:pPr>
      <w:r w:rsidRPr="009F0DAC">
        <w:rPr>
          <w:rFonts w:ascii="Nirmala UI" w:hAnsi="Nirmala UI" w:cs="Nirmala UI"/>
          <w:b/>
          <w:bCs/>
        </w:rPr>
        <w:t>Procedural Safeguards.</w:t>
      </w:r>
      <w:r w:rsidRPr="009F0DAC">
        <w:rPr>
          <w:rFonts w:ascii="Nirmala UI" w:hAnsi="Nirmala UI" w:cs="Nirmala UI"/>
        </w:rPr>
        <w:t xml:space="preserve"> Establish and implement procedural safeguards to be provided to parents/guardians with respect to actions regarding the identification, evaluation or educational placement of persons who, because of disability, need, or are believed to need, special instruction or related services. Procedural safeguards will include:</w:t>
      </w:r>
    </w:p>
    <w:p w14:paraId="0EFEAF99" w14:textId="77777777" w:rsidR="009F0DAC" w:rsidRPr="009F0DAC" w:rsidRDefault="009F0DAC" w:rsidP="009F0DAC">
      <w:pPr>
        <w:pStyle w:val="ListParagraph"/>
        <w:numPr>
          <w:ilvl w:val="1"/>
          <w:numId w:val="25"/>
        </w:numPr>
        <w:ind w:left="1800"/>
        <w:rPr>
          <w:rFonts w:ascii="Nirmala UI" w:hAnsi="Nirmala UI" w:cs="Nirmala UI"/>
        </w:rPr>
      </w:pPr>
      <w:r w:rsidRPr="009F0DAC">
        <w:rPr>
          <w:rFonts w:ascii="Nirmala UI" w:hAnsi="Nirmala UI" w:cs="Nirmala UI"/>
        </w:rPr>
        <w:t>Notice of parental/guardian rights;</w:t>
      </w:r>
    </w:p>
    <w:p w14:paraId="1D7BA75C" w14:textId="77777777" w:rsidR="009F0DAC" w:rsidRPr="009F0DAC" w:rsidRDefault="009F0DAC" w:rsidP="009F0DAC">
      <w:pPr>
        <w:pStyle w:val="ListParagraph"/>
        <w:numPr>
          <w:ilvl w:val="1"/>
          <w:numId w:val="25"/>
        </w:numPr>
        <w:ind w:left="1800"/>
        <w:rPr>
          <w:rFonts w:ascii="Nirmala UI" w:hAnsi="Nirmala UI" w:cs="Nirmala UI"/>
        </w:rPr>
      </w:pPr>
      <w:r w:rsidRPr="009F0DAC">
        <w:rPr>
          <w:rFonts w:ascii="Nirmala UI" w:hAnsi="Nirmala UI" w:cs="Nirmala UI"/>
        </w:rPr>
        <w:t>An opportunity for parents/guardians to examine relevant records;</w:t>
      </w:r>
    </w:p>
    <w:p w14:paraId="6C5DCB4D" w14:textId="77777777" w:rsidR="009F0DAC" w:rsidRPr="009F0DAC" w:rsidRDefault="009F0DAC" w:rsidP="009F0DAC">
      <w:pPr>
        <w:pStyle w:val="ListParagraph"/>
        <w:numPr>
          <w:ilvl w:val="1"/>
          <w:numId w:val="25"/>
        </w:numPr>
        <w:ind w:left="1800"/>
        <w:rPr>
          <w:rFonts w:ascii="Nirmala UI" w:hAnsi="Nirmala UI" w:cs="Nirmala UI"/>
        </w:rPr>
      </w:pPr>
      <w:r w:rsidRPr="009F0DAC">
        <w:rPr>
          <w:rFonts w:ascii="Nirmala UI" w:hAnsi="Nirmala UI" w:cs="Nirmala UI"/>
        </w:rPr>
        <w:t>An impartial hearing, initiated by either the parents/guardian or PCM, with opportunity for participation by the student’s parents/guardians and representation by legal counsel; and</w:t>
      </w:r>
    </w:p>
    <w:p w14:paraId="5E8D513B" w14:textId="77777777" w:rsidR="009F0DAC" w:rsidRPr="009F0DAC" w:rsidRDefault="009F0DAC" w:rsidP="009F0DAC">
      <w:pPr>
        <w:ind w:left="1800" w:hanging="360"/>
        <w:rPr>
          <w:rFonts w:ascii="Nirmala UI" w:hAnsi="Nirmala UI" w:cs="Nirmala UI"/>
        </w:rPr>
      </w:pPr>
      <w:r w:rsidRPr="009F0DAC">
        <w:rPr>
          <w:rFonts w:ascii="Nirmala UI" w:hAnsi="Nirmala UI" w:cs="Nirmala UI"/>
        </w:rPr>
        <w:t>d.</w:t>
      </w:r>
      <w:r w:rsidRPr="009F0DAC">
        <w:rPr>
          <w:rFonts w:ascii="Nirmala UI" w:hAnsi="Nirmala UI" w:cs="Nirmala UI"/>
        </w:rPr>
        <w:tab/>
        <w:t>A review procedure.</w:t>
      </w:r>
    </w:p>
    <w:p w14:paraId="6E7237AC" w14:textId="77777777" w:rsidR="009F0DAC" w:rsidRPr="009F0DAC" w:rsidRDefault="009F0DAC" w:rsidP="009F0DAC">
      <w:pPr>
        <w:rPr>
          <w:rFonts w:ascii="Nirmala UI" w:hAnsi="Nirmala UI" w:cs="Nirmala UI"/>
        </w:rPr>
      </w:pPr>
    </w:p>
    <w:p w14:paraId="494038D8" w14:textId="5AAAAACF" w:rsidR="009F0DAC" w:rsidRPr="009F0DAC" w:rsidRDefault="009F0DAC" w:rsidP="009F0DAC">
      <w:pPr>
        <w:rPr>
          <w:rFonts w:ascii="Nirmala UI" w:hAnsi="Nirmala UI" w:cs="Nirmala UI"/>
          <w:b/>
          <w:bCs/>
        </w:rPr>
      </w:pPr>
      <w:r w:rsidRPr="009F0DAC">
        <w:rPr>
          <w:rFonts w:ascii="Nirmala UI" w:hAnsi="Nirmala UI" w:cs="Nirmala UI"/>
          <w:b/>
          <w:bCs/>
        </w:rPr>
        <w:t>Appropriate Funding</w:t>
      </w:r>
    </w:p>
    <w:p w14:paraId="3FD19793" w14:textId="77777777" w:rsidR="009F0DAC" w:rsidRPr="009F0DAC" w:rsidRDefault="009F0DAC" w:rsidP="009F0DAC">
      <w:pPr>
        <w:rPr>
          <w:rFonts w:ascii="Nirmala UI" w:hAnsi="Nirmala UI" w:cs="Nirmala UI"/>
        </w:rPr>
      </w:pPr>
      <w:r w:rsidRPr="009F0DAC">
        <w:rPr>
          <w:rFonts w:ascii="Nirmala UI" w:hAnsi="Nirmala UI" w:cs="Nirmala UI"/>
        </w:rPr>
        <w:t>PCM recognizes that the regular education funding of PCM is the funding source for serving students who are qualified as disabled under Section 504 only. However, if students are dual identified as Section 504 and IDEA eligible, state and federal special education funds can be used. PCM will not use money appropriated by the IDEA to serve students found disabled under Section 504 but not the IDEA. PCM may use the IDEA money to evaluate a student if PCM believes that the student may also be eligible under the IDEA.</w:t>
      </w:r>
    </w:p>
    <w:p w14:paraId="66B0CBD3" w14:textId="77777777" w:rsidR="009F0DAC" w:rsidRPr="009F0DAC" w:rsidRDefault="009F0DAC" w:rsidP="009F0DAC">
      <w:pPr>
        <w:rPr>
          <w:rFonts w:ascii="Nirmala UI" w:hAnsi="Nirmala UI" w:cs="Nirmala UI"/>
        </w:rPr>
      </w:pPr>
    </w:p>
    <w:p w14:paraId="330A28D0" w14:textId="49253492" w:rsidR="009F0DAC" w:rsidRPr="009F0DAC" w:rsidRDefault="009F0DAC" w:rsidP="009F0DAC">
      <w:pPr>
        <w:rPr>
          <w:rFonts w:ascii="Nirmala UI" w:hAnsi="Nirmala UI" w:cs="Nirmala UI"/>
          <w:b/>
          <w:bCs/>
        </w:rPr>
      </w:pPr>
      <w:r w:rsidRPr="009F0DAC">
        <w:rPr>
          <w:rFonts w:ascii="Nirmala UI" w:hAnsi="Nirmala UI" w:cs="Nirmala UI"/>
          <w:b/>
          <w:bCs/>
        </w:rPr>
        <w:t>Accessibility</w:t>
      </w:r>
    </w:p>
    <w:p w14:paraId="27CC82FD" w14:textId="26182386" w:rsidR="009F0DAC" w:rsidRDefault="009F0DAC" w:rsidP="00650B3C">
      <w:pPr>
        <w:pStyle w:val="ListParagraph"/>
        <w:numPr>
          <w:ilvl w:val="0"/>
          <w:numId w:val="26"/>
        </w:numPr>
        <w:ind w:left="1080"/>
        <w:rPr>
          <w:rFonts w:ascii="Nirmala UI" w:hAnsi="Nirmala UI" w:cs="Nirmala UI"/>
        </w:rPr>
      </w:pPr>
      <w:r w:rsidRPr="009F0DAC">
        <w:rPr>
          <w:rFonts w:ascii="Nirmala UI" w:hAnsi="Nirmala UI" w:cs="Nirmala UI"/>
        </w:rPr>
        <w:t>Facilities that were constructed prior to June 3, 1977 need not necessarily be made accessible so long as the program or activity, viewed in its entirety, is readily accessible to persons with disabilities.</w:t>
      </w:r>
    </w:p>
    <w:p w14:paraId="07179D5B" w14:textId="77777777" w:rsidR="009F0DAC" w:rsidRPr="009F0DAC" w:rsidRDefault="009F0DAC" w:rsidP="00650B3C">
      <w:pPr>
        <w:pStyle w:val="ListParagraph"/>
        <w:ind w:left="1080" w:hanging="360"/>
        <w:rPr>
          <w:rFonts w:ascii="Nirmala UI" w:hAnsi="Nirmala UI" w:cs="Nirmala UI"/>
        </w:rPr>
      </w:pPr>
    </w:p>
    <w:p w14:paraId="6BC9EC10" w14:textId="5B74F2DF" w:rsidR="009F0DAC" w:rsidRDefault="009F0DAC" w:rsidP="00650B3C">
      <w:pPr>
        <w:pStyle w:val="ListParagraph"/>
        <w:numPr>
          <w:ilvl w:val="0"/>
          <w:numId w:val="26"/>
        </w:numPr>
        <w:ind w:left="1080"/>
        <w:rPr>
          <w:rFonts w:ascii="Nirmala UI" w:hAnsi="Nirmala UI" w:cs="Nirmala UI"/>
        </w:rPr>
      </w:pPr>
      <w:r w:rsidRPr="009F0DAC">
        <w:rPr>
          <w:rFonts w:ascii="Nirmala UI" w:hAnsi="Nirmala UI" w:cs="Nirmala UI"/>
        </w:rPr>
        <w:t>Facility alterations commenced after June 3, 1977, that affect or could affect the facility's usability must be accomplished so that, to the maximum extent feasible, the altered portion of the facility is readily accessible and usable by persons with disabilities.</w:t>
      </w:r>
    </w:p>
    <w:p w14:paraId="30962D34" w14:textId="77777777" w:rsidR="009F0DAC" w:rsidRPr="009F0DAC" w:rsidRDefault="009F0DAC" w:rsidP="00650B3C">
      <w:pPr>
        <w:ind w:left="1080" w:hanging="360"/>
        <w:rPr>
          <w:rFonts w:ascii="Nirmala UI" w:hAnsi="Nirmala UI" w:cs="Nirmala UI"/>
        </w:rPr>
      </w:pPr>
    </w:p>
    <w:p w14:paraId="3C721EF1" w14:textId="545CC277" w:rsidR="009F0DAC" w:rsidRDefault="009F0DAC" w:rsidP="00650B3C">
      <w:pPr>
        <w:pStyle w:val="ListParagraph"/>
        <w:numPr>
          <w:ilvl w:val="0"/>
          <w:numId w:val="26"/>
        </w:numPr>
        <w:ind w:left="1080"/>
        <w:rPr>
          <w:rFonts w:ascii="Nirmala UI" w:hAnsi="Nirmala UI" w:cs="Nirmala UI"/>
        </w:rPr>
      </w:pPr>
      <w:r w:rsidRPr="009F0DAC">
        <w:rPr>
          <w:rFonts w:ascii="Nirmala UI" w:hAnsi="Nirmala UI" w:cs="Nirmala UI"/>
        </w:rPr>
        <w:t>A district can redesign equipment, reassign classes or other services to accessible buildings, assign aides to students, deliver services at alternate accessible sites or alter existing facilities. So long as there are other methods which are as effective in achieving compliance, a district need not undertake structural changes to a building.</w:t>
      </w:r>
    </w:p>
    <w:p w14:paraId="059D42EC" w14:textId="77777777" w:rsidR="009F0DAC" w:rsidRPr="009F0DAC" w:rsidRDefault="009F0DAC" w:rsidP="00650B3C">
      <w:pPr>
        <w:ind w:left="1080" w:hanging="360"/>
        <w:rPr>
          <w:rFonts w:ascii="Nirmala UI" w:hAnsi="Nirmala UI" w:cs="Nirmala UI"/>
        </w:rPr>
      </w:pPr>
    </w:p>
    <w:p w14:paraId="0119EA95" w14:textId="77777777" w:rsidR="009F0DAC" w:rsidRPr="009F0DAC" w:rsidRDefault="009F0DAC" w:rsidP="00650B3C">
      <w:pPr>
        <w:pStyle w:val="ListParagraph"/>
        <w:numPr>
          <w:ilvl w:val="0"/>
          <w:numId w:val="26"/>
        </w:numPr>
        <w:ind w:left="1080"/>
        <w:rPr>
          <w:rFonts w:ascii="Nirmala UI" w:hAnsi="Nirmala UI" w:cs="Nirmala UI"/>
        </w:rPr>
      </w:pPr>
      <w:r w:rsidRPr="009F0DAC">
        <w:rPr>
          <w:rFonts w:ascii="Nirmala UI" w:hAnsi="Nirmala UI" w:cs="Nirmala UI"/>
        </w:rPr>
        <w:t>District recognition of the meaning of the phrase “to the maximum extent feasible.” This provision covers the instance where occasionally the nature of an existing facility is such as to make it impractical or prohibitively expensive to renovate in a manner that results in it being entirely barrier-free. However, in all of these instances, the alteration should provide the maximum amount of physical accessibility feasible.</w:t>
      </w:r>
    </w:p>
    <w:p w14:paraId="746C7278" w14:textId="77777777" w:rsidR="001560A9" w:rsidRDefault="001560A9" w:rsidP="009F0DAC">
      <w:pPr>
        <w:rPr>
          <w:rFonts w:ascii="Nirmala UI" w:hAnsi="Nirmala UI" w:cs="Nirmala UI"/>
          <w:b/>
          <w:bCs/>
        </w:rPr>
      </w:pPr>
    </w:p>
    <w:p w14:paraId="7E87DDB3" w14:textId="7B75E202" w:rsidR="009F0DAC" w:rsidRPr="009F0DAC" w:rsidRDefault="009F0DAC" w:rsidP="009F0DAC">
      <w:pPr>
        <w:rPr>
          <w:rFonts w:ascii="Nirmala UI" w:hAnsi="Nirmala UI" w:cs="Nirmala UI"/>
          <w:b/>
          <w:bCs/>
        </w:rPr>
      </w:pPr>
      <w:r w:rsidRPr="009F0DAC">
        <w:rPr>
          <w:rFonts w:ascii="Nirmala UI" w:hAnsi="Nirmala UI" w:cs="Nirmala UI"/>
          <w:b/>
          <w:bCs/>
        </w:rPr>
        <w:t>Special Considerations for ADD/ADHD Students</w:t>
      </w:r>
    </w:p>
    <w:p w14:paraId="05370E75" w14:textId="77777777" w:rsidR="00650B3C" w:rsidRDefault="009F0DAC" w:rsidP="009F0DAC">
      <w:pPr>
        <w:rPr>
          <w:rFonts w:ascii="Nirmala UI" w:hAnsi="Nirmala UI" w:cs="Nirmala UI"/>
        </w:rPr>
      </w:pPr>
      <w:r w:rsidRPr="009F0DAC">
        <w:rPr>
          <w:rFonts w:ascii="Nirmala UI" w:hAnsi="Nirmala UI" w:cs="Nirmala UI"/>
        </w:rPr>
        <w:t xml:space="preserve">Section 504 obligations apply to all students with disabilities, including students with attention deficit disorder (ADD) or attention-deficit/hyperactivity disorder (ADHD). Under federal guidance, there are three different types of ADHD, which are categorized depending upon which symptoms are the strongest: </w:t>
      </w:r>
    </w:p>
    <w:p w14:paraId="1B76F749" w14:textId="77777777" w:rsidR="00650B3C" w:rsidRDefault="009F0DAC" w:rsidP="00650B3C">
      <w:pPr>
        <w:ind w:firstLine="720"/>
        <w:rPr>
          <w:rFonts w:ascii="Nirmala UI" w:hAnsi="Nirmala UI" w:cs="Nirmala UI"/>
        </w:rPr>
      </w:pPr>
      <w:r w:rsidRPr="009F0DAC">
        <w:rPr>
          <w:rFonts w:ascii="Nirmala UI" w:hAnsi="Nirmala UI" w:cs="Nirmala UI"/>
        </w:rPr>
        <w:t xml:space="preserve">(1) predominately inattentive type; </w:t>
      </w:r>
    </w:p>
    <w:p w14:paraId="54AE3094" w14:textId="77777777" w:rsidR="00650B3C" w:rsidRDefault="009F0DAC" w:rsidP="00650B3C">
      <w:pPr>
        <w:ind w:firstLine="720"/>
        <w:rPr>
          <w:rFonts w:ascii="Nirmala UI" w:hAnsi="Nirmala UI" w:cs="Nirmala UI"/>
        </w:rPr>
      </w:pPr>
      <w:r w:rsidRPr="009F0DAC">
        <w:rPr>
          <w:rFonts w:ascii="Nirmala UI" w:hAnsi="Nirmala UI" w:cs="Nirmala UI"/>
        </w:rPr>
        <w:t xml:space="preserve">(2) predominately hyperactive-impulsive type; and </w:t>
      </w:r>
    </w:p>
    <w:p w14:paraId="06ECE459" w14:textId="77777777" w:rsidR="00650B3C" w:rsidRDefault="009F0DAC" w:rsidP="00650B3C">
      <w:pPr>
        <w:ind w:firstLine="720"/>
        <w:rPr>
          <w:rFonts w:ascii="Nirmala UI" w:hAnsi="Nirmala UI" w:cs="Nirmala UI"/>
        </w:rPr>
      </w:pPr>
      <w:r w:rsidRPr="009F0DAC">
        <w:rPr>
          <w:rFonts w:ascii="Nirmala UI" w:hAnsi="Nirmala UI" w:cs="Nirmala UI"/>
        </w:rPr>
        <w:t xml:space="preserve">(3) combined type (where symptoms of the first two types are equally present). </w:t>
      </w:r>
    </w:p>
    <w:p w14:paraId="626ED32E" w14:textId="77777777" w:rsidR="00650B3C" w:rsidRDefault="00650B3C" w:rsidP="00650B3C">
      <w:pPr>
        <w:rPr>
          <w:rFonts w:ascii="Nirmala UI" w:hAnsi="Nirmala UI" w:cs="Nirmala UI"/>
        </w:rPr>
      </w:pPr>
    </w:p>
    <w:p w14:paraId="3D51267F" w14:textId="1658A997" w:rsidR="009F0DAC" w:rsidRPr="009F0DAC" w:rsidRDefault="009F0DAC" w:rsidP="00650B3C">
      <w:pPr>
        <w:rPr>
          <w:rFonts w:ascii="Nirmala UI" w:hAnsi="Nirmala UI" w:cs="Nirmala UI"/>
        </w:rPr>
      </w:pPr>
      <w:r w:rsidRPr="009F0DAC">
        <w:rPr>
          <w:rFonts w:ascii="Nirmala UI" w:hAnsi="Nirmala UI" w:cs="Nirmala UI"/>
        </w:rPr>
        <w:t>See U.S. Department of Education, Office for Civil Rights, Students with ADHD and Section 504: A Resource Guide (July 2016) (available on the Office for Civil Rights' website at http://www2.ed.gov/about/offices/list/ocr/frontpage/faq/rr/policyguidance/disability.html).</w:t>
      </w:r>
    </w:p>
    <w:p w14:paraId="6D3EA363" w14:textId="77777777" w:rsidR="009F0DAC" w:rsidRPr="009F0DAC" w:rsidRDefault="009F0DAC" w:rsidP="009F0DAC">
      <w:pPr>
        <w:rPr>
          <w:rFonts w:ascii="Nirmala UI" w:hAnsi="Nirmala UI" w:cs="Nirmala UI"/>
        </w:rPr>
      </w:pPr>
    </w:p>
    <w:p w14:paraId="3348CCAF" w14:textId="12A48EA0" w:rsidR="009F0DAC" w:rsidRPr="009F0DAC" w:rsidRDefault="009F0DAC" w:rsidP="009F0DAC">
      <w:pPr>
        <w:rPr>
          <w:rFonts w:ascii="Nirmala UI" w:hAnsi="Nirmala UI" w:cs="Nirmala UI"/>
          <w:b/>
          <w:bCs/>
        </w:rPr>
      </w:pPr>
      <w:r w:rsidRPr="009F0DAC">
        <w:rPr>
          <w:rFonts w:ascii="Nirmala UI" w:hAnsi="Nirmala UI" w:cs="Nirmala UI"/>
          <w:b/>
          <w:bCs/>
        </w:rPr>
        <w:t>Due Process Hearing or Mediation Requests</w:t>
      </w:r>
    </w:p>
    <w:p w14:paraId="0AE1192A" w14:textId="77777777" w:rsidR="009F0DAC" w:rsidRPr="009F0DAC" w:rsidRDefault="009F0DAC" w:rsidP="009F0DAC">
      <w:pPr>
        <w:rPr>
          <w:rFonts w:ascii="Nirmala UI" w:hAnsi="Nirmala UI" w:cs="Nirmala UI"/>
        </w:rPr>
      </w:pPr>
      <w:r w:rsidRPr="009F0DAC">
        <w:rPr>
          <w:rFonts w:ascii="Nirmala UI" w:hAnsi="Nirmala UI" w:cs="Nirmala UI"/>
        </w:rPr>
        <w:t>Due process hearing or mediation requests must be made directly to PCM 504 Compliance Officer.</w:t>
      </w:r>
    </w:p>
    <w:p w14:paraId="788F0D96" w14:textId="77777777" w:rsidR="009F0DAC" w:rsidRPr="009F0DAC" w:rsidRDefault="009F0DAC" w:rsidP="009F0DAC">
      <w:pPr>
        <w:spacing w:line="240" w:lineRule="auto"/>
        <w:rPr>
          <w:rFonts w:ascii="Nirmala UI" w:eastAsia="Verdana" w:hAnsi="Nirmala UI" w:cs="Nirmala UI"/>
          <w:highlight w:val="white"/>
          <w:lang w:val="en-US"/>
        </w:rPr>
      </w:pPr>
      <w:bookmarkStart w:id="0" w:name="_Hlk75689388"/>
      <w:r w:rsidRPr="009F0DAC">
        <w:rPr>
          <w:rFonts w:ascii="Nirmala UI" w:eastAsia="Verdana" w:hAnsi="Nirmala UI" w:cs="Nirmala UI"/>
          <w:highlight w:val="white"/>
          <w:lang w:val="en-US"/>
        </w:rPr>
        <w:t> </w:t>
      </w:r>
    </w:p>
    <w:p w14:paraId="23092F93" w14:textId="39B7902A" w:rsidR="009F0DAC" w:rsidRPr="009F0DAC" w:rsidRDefault="009F0DAC" w:rsidP="009F0DAC">
      <w:pPr>
        <w:spacing w:line="240" w:lineRule="auto"/>
        <w:rPr>
          <w:rFonts w:ascii="Nirmala UI" w:eastAsia="Verdana" w:hAnsi="Nirmala UI" w:cs="Nirmala UI"/>
          <w:highlight w:val="white"/>
        </w:rPr>
      </w:pPr>
      <w:r w:rsidRPr="00C83CAB">
        <w:rPr>
          <w:rFonts w:ascii="Nirmala UI" w:eastAsia="Verdana" w:hAnsi="Nirmala UI" w:cs="Nirmala UI"/>
          <w:b/>
          <w:bCs/>
          <w:highlight w:val="white"/>
        </w:rPr>
        <w:t>Legal References:</w:t>
      </w:r>
      <w:r w:rsidRPr="009F0DAC">
        <w:rPr>
          <w:rFonts w:ascii="Nirmala UI" w:eastAsia="Verdana" w:hAnsi="Nirmala UI" w:cs="Nirmala UI"/>
          <w:highlight w:val="white"/>
        </w:rPr>
        <w:t xml:space="preserve"> </w:t>
      </w:r>
      <w:r w:rsidRPr="009F0DAC">
        <w:rPr>
          <w:rFonts w:ascii="Nirmala UI" w:eastAsia="Verdana" w:hAnsi="Nirmala UI" w:cs="Nirmala UI"/>
        </w:rPr>
        <w:tab/>
      </w:r>
      <w:r w:rsidRPr="009F0DAC">
        <w:rPr>
          <w:rFonts w:ascii="Nirmala UI" w:eastAsia="Verdana" w:hAnsi="Nirmala UI" w:cs="Nirmala UI"/>
          <w:highlight w:val="white"/>
        </w:rPr>
        <w:t>NA</w:t>
      </w:r>
    </w:p>
    <w:p w14:paraId="522272EC" w14:textId="77777777" w:rsidR="009F0DAC" w:rsidRPr="009F0DAC" w:rsidRDefault="009F0DAC" w:rsidP="009F0DAC">
      <w:pPr>
        <w:spacing w:line="240" w:lineRule="auto"/>
        <w:rPr>
          <w:rFonts w:ascii="Nirmala UI" w:eastAsia="Verdana" w:hAnsi="Nirmala UI" w:cs="Nirmala UI"/>
          <w:highlight w:val="white"/>
        </w:rPr>
      </w:pPr>
    </w:p>
    <w:p w14:paraId="615F8F89" w14:textId="0DFA63EE" w:rsidR="003D7EEB" w:rsidRPr="009F0DAC" w:rsidRDefault="009F0DAC" w:rsidP="009F0DAC">
      <w:pPr>
        <w:spacing w:line="240" w:lineRule="auto"/>
      </w:pPr>
      <w:r w:rsidRPr="00C83CAB">
        <w:rPr>
          <w:rFonts w:ascii="Nirmala UI" w:eastAsia="Verdana" w:hAnsi="Nirmala UI" w:cs="Nirmala UI"/>
          <w:b/>
          <w:bCs/>
          <w:highlight w:val="white"/>
        </w:rPr>
        <w:t>Cross References:</w:t>
      </w:r>
      <w:r w:rsidRPr="00C83CAB">
        <w:rPr>
          <w:rFonts w:ascii="Nirmala UI" w:eastAsia="Verdana" w:hAnsi="Nirmala UI" w:cs="Nirmala UI"/>
          <w:b/>
          <w:bCs/>
          <w:highlight w:val="white"/>
        </w:rPr>
        <w:tab/>
      </w:r>
      <w:r w:rsidRPr="009F0DAC">
        <w:rPr>
          <w:rFonts w:ascii="Nirmala UI" w:eastAsia="Verdana" w:hAnsi="Nirmala UI" w:cs="Nirmala UI"/>
        </w:rPr>
        <w:t>NA</w:t>
      </w:r>
      <w:bookmarkEnd w:id="0"/>
    </w:p>
    <w:sectPr w:rsidR="003D7EEB" w:rsidRPr="009F0DAC" w:rsidSect="003D7EEB">
      <w:headerReference w:type="default" r:id="rId9"/>
      <w:footerReference w:type="default" r:id="rId10"/>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7F52" w14:textId="77777777" w:rsidR="007F0D54" w:rsidRDefault="007F0D54" w:rsidP="00490488">
      <w:pPr>
        <w:spacing w:line="240" w:lineRule="auto"/>
      </w:pPr>
      <w:r>
        <w:separator/>
      </w:r>
    </w:p>
  </w:endnote>
  <w:endnote w:type="continuationSeparator" w:id="0">
    <w:p w14:paraId="122975E4" w14:textId="77777777" w:rsidR="007F0D54" w:rsidRDefault="007F0D54"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ADF8" w14:textId="77777777" w:rsidR="007F0D54" w:rsidRDefault="007F0D54" w:rsidP="00490488">
      <w:pPr>
        <w:spacing w:line="240" w:lineRule="auto"/>
      </w:pPr>
      <w:r>
        <w:separator/>
      </w:r>
    </w:p>
  </w:footnote>
  <w:footnote w:type="continuationSeparator" w:id="0">
    <w:p w14:paraId="6AA980E0" w14:textId="77777777" w:rsidR="007F0D54" w:rsidRDefault="007F0D54"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70F7EA57"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6F23D4">
      <w:rPr>
        <w:noProof/>
      </w:rPr>
      <w:pict w14:anchorId="19D99A92">
        <v:group id="Group 167" o:spid="_x0000_s1025"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0"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08CA70FE"/>
    <w:multiLevelType w:val="hybridMultilevel"/>
    <w:tmpl w:val="467C7BB8"/>
    <w:lvl w:ilvl="0" w:tplc="04090019">
      <w:start w:val="1"/>
      <w:numFmt w:val="lowerLetter"/>
      <w:lvlText w:val="%1."/>
      <w:lvlJc w:val="left"/>
      <w:pPr>
        <w:ind w:left="1440" w:hanging="360"/>
      </w:pPr>
    </w:lvl>
    <w:lvl w:ilvl="1" w:tplc="47588C72">
      <w:start w:val="1"/>
      <w:numFmt w:val="lowerLetter"/>
      <w:lvlText w:val="%2."/>
      <w:lvlJc w:val="left"/>
      <w:pPr>
        <w:ind w:left="2520" w:hanging="720"/>
      </w:pPr>
      <w:rPr>
        <w:rFonts w:hint="default"/>
      </w:rPr>
    </w:lvl>
    <w:lvl w:ilvl="2" w:tplc="633088C2">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B1A42"/>
    <w:multiLevelType w:val="hybridMultilevel"/>
    <w:tmpl w:val="E01890EE"/>
    <w:lvl w:ilvl="0" w:tplc="04090019">
      <w:start w:val="1"/>
      <w:numFmt w:val="lowerLetter"/>
      <w:lvlText w:val="%1."/>
      <w:lvlJc w:val="left"/>
      <w:pPr>
        <w:ind w:left="5040" w:hanging="360"/>
      </w:pPr>
    </w:lvl>
    <w:lvl w:ilvl="1" w:tplc="47588C72">
      <w:start w:val="1"/>
      <w:numFmt w:val="lowerLetter"/>
      <w:lvlText w:val="%2."/>
      <w:lvlJc w:val="left"/>
      <w:pPr>
        <w:ind w:left="6120" w:hanging="720"/>
      </w:pPr>
      <w:rPr>
        <w:rFonts w:hint="default"/>
      </w:rPr>
    </w:lvl>
    <w:lvl w:ilvl="2" w:tplc="633088C2">
      <w:start w:val="1"/>
      <w:numFmt w:val="decimal"/>
      <w:lvlText w:val="%3."/>
      <w:lvlJc w:val="left"/>
      <w:pPr>
        <w:ind w:left="7020" w:hanging="720"/>
      </w:pPr>
      <w:rPr>
        <w:rFonts w:hint="default"/>
      </w:r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138750BD"/>
    <w:multiLevelType w:val="hybridMultilevel"/>
    <w:tmpl w:val="DD66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B54F6"/>
    <w:multiLevelType w:val="multilevel"/>
    <w:tmpl w:val="4A180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62B5B"/>
    <w:multiLevelType w:val="hybridMultilevel"/>
    <w:tmpl w:val="DA0A3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11286"/>
    <w:multiLevelType w:val="multilevel"/>
    <w:tmpl w:val="923A4D3A"/>
    <w:lvl w:ilvl="0">
      <w:start w:val="15"/>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1BA1C65"/>
    <w:multiLevelType w:val="hybridMultilevel"/>
    <w:tmpl w:val="700E5946"/>
    <w:lvl w:ilvl="0" w:tplc="1D525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97460"/>
    <w:multiLevelType w:val="hybridMultilevel"/>
    <w:tmpl w:val="EFD205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C6A5F4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A529F"/>
    <w:multiLevelType w:val="multilevel"/>
    <w:tmpl w:val="EEFCDEA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43644"/>
    <w:multiLevelType w:val="hybridMultilevel"/>
    <w:tmpl w:val="F138BB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CC22B1C4">
      <w:start w:val="1"/>
      <w:numFmt w:val="decimal"/>
      <w:lvlText w:val="(%3)"/>
      <w:lvlJc w:val="left"/>
      <w:pPr>
        <w:ind w:left="2340" w:hanging="360"/>
      </w:pPr>
      <w:rPr>
        <w:rFonts w:hint="default"/>
      </w:rPr>
    </w:lvl>
    <w:lvl w:ilvl="3" w:tplc="3F74B8B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B427FE"/>
    <w:multiLevelType w:val="hybridMultilevel"/>
    <w:tmpl w:val="C228F428"/>
    <w:lvl w:ilvl="0" w:tplc="1D525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017E55"/>
    <w:multiLevelType w:val="hybridMultilevel"/>
    <w:tmpl w:val="909666A6"/>
    <w:lvl w:ilvl="0" w:tplc="1D525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C4D78"/>
    <w:multiLevelType w:val="hybridMultilevel"/>
    <w:tmpl w:val="9238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B2D1B"/>
    <w:multiLevelType w:val="hybridMultilevel"/>
    <w:tmpl w:val="251608A8"/>
    <w:lvl w:ilvl="0" w:tplc="1D525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37AF0"/>
    <w:multiLevelType w:val="hybridMultilevel"/>
    <w:tmpl w:val="C04821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CA642A"/>
    <w:multiLevelType w:val="hybridMultilevel"/>
    <w:tmpl w:val="5BB0CAB8"/>
    <w:lvl w:ilvl="0" w:tplc="1D525D9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524458">
    <w:abstractNumId w:val="12"/>
  </w:num>
  <w:num w:numId="2" w16cid:durableId="1023894337">
    <w:abstractNumId w:val="9"/>
  </w:num>
  <w:num w:numId="3" w16cid:durableId="983973642">
    <w:abstractNumId w:val="15"/>
  </w:num>
  <w:num w:numId="4" w16cid:durableId="720708604">
    <w:abstractNumId w:val="23"/>
  </w:num>
  <w:num w:numId="5" w16cid:durableId="2101364345">
    <w:abstractNumId w:val="20"/>
  </w:num>
  <w:num w:numId="6" w16cid:durableId="656081487">
    <w:abstractNumId w:val="18"/>
  </w:num>
  <w:num w:numId="7" w16cid:durableId="6715534">
    <w:abstractNumId w:val="5"/>
  </w:num>
  <w:num w:numId="8" w16cid:durableId="234823646">
    <w:abstractNumId w:val="6"/>
  </w:num>
  <w:num w:numId="9" w16cid:durableId="1009328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2504174">
    <w:abstractNumId w:val="0"/>
  </w:num>
  <w:num w:numId="11" w16cid:durableId="828907963">
    <w:abstractNumId w:val="16"/>
  </w:num>
  <w:num w:numId="12" w16cid:durableId="319236286">
    <w:abstractNumId w:val="14"/>
  </w:num>
  <w:num w:numId="13" w16cid:durableId="940911882">
    <w:abstractNumId w:val="14"/>
  </w:num>
  <w:num w:numId="14" w16cid:durableId="1510952365">
    <w:abstractNumId w:val="14"/>
  </w:num>
  <w:num w:numId="15" w16cid:durableId="628897914">
    <w:abstractNumId w:val="7"/>
  </w:num>
  <w:num w:numId="16" w16cid:durableId="2054890977">
    <w:abstractNumId w:val="10"/>
  </w:num>
  <w:num w:numId="17" w16cid:durableId="909928218">
    <w:abstractNumId w:val="21"/>
  </w:num>
  <w:num w:numId="18" w16cid:durableId="1107191698">
    <w:abstractNumId w:val="19"/>
  </w:num>
  <w:num w:numId="19" w16cid:durableId="1685281730">
    <w:abstractNumId w:val="24"/>
  </w:num>
  <w:num w:numId="20" w16cid:durableId="392045714">
    <w:abstractNumId w:val="11"/>
  </w:num>
  <w:num w:numId="21" w16cid:durableId="33846847">
    <w:abstractNumId w:val="13"/>
  </w:num>
  <w:num w:numId="22" w16cid:durableId="863983969">
    <w:abstractNumId w:val="17"/>
  </w:num>
  <w:num w:numId="23" w16cid:durableId="1569800589">
    <w:abstractNumId w:val="25"/>
  </w:num>
  <w:num w:numId="24" w16cid:durableId="1010642112">
    <w:abstractNumId w:val="3"/>
  </w:num>
  <w:num w:numId="25" w16cid:durableId="1498107480">
    <w:abstractNumId w:val="26"/>
  </w:num>
  <w:num w:numId="26" w16cid:durableId="1756396943">
    <w:abstractNumId w:val="8"/>
  </w:num>
  <w:num w:numId="27" w16cid:durableId="1679890327">
    <w:abstractNumId w:val="2"/>
  </w:num>
  <w:num w:numId="28" w16cid:durableId="488861760">
    <w:abstractNumId w:val="4"/>
  </w:num>
  <w:num w:numId="29" w16cid:durableId="2028380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70567"/>
    <w:rsid w:val="00032830"/>
    <w:rsid w:val="00096BA1"/>
    <w:rsid w:val="000A5CE2"/>
    <w:rsid w:val="000D41F3"/>
    <w:rsid w:val="00143388"/>
    <w:rsid w:val="001560A9"/>
    <w:rsid w:val="00164033"/>
    <w:rsid w:val="00167C8D"/>
    <w:rsid w:val="001C170F"/>
    <w:rsid w:val="001C389D"/>
    <w:rsid w:val="001C3F74"/>
    <w:rsid w:val="002A307E"/>
    <w:rsid w:val="00303BB8"/>
    <w:rsid w:val="003441F7"/>
    <w:rsid w:val="003B4B81"/>
    <w:rsid w:val="003C0C0C"/>
    <w:rsid w:val="003D23C2"/>
    <w:rsid w:val="003D7EEB"/>
    <w:rsid w:val="00441735"/>
    <w:rsid w:val="00490488"/>
    <w:rsid w:val="005637E3"/>
    <w:rsid w:val="00570567"/>
    <w:rsid w:val="0058082A"/>
    <w:rsid w:val="005E0503"/>
    <w:rsid w:val="006254BF"/>
    <w:rsid w:val="00641532"/>
    <w:rsid w:val="00650B3C"/>
    <w:rsid w:val="006800A1"/>
    <w:rsid w:val="006D76CE"/>
    <w:rsid w:val="006F0CDF"/>
    <w:rsid w:val="006F23D4"/>
    <w:rsid w:val="00706C4B"/>
    <w:rsid w:val="007700EC"/>
    <w:rsid w:val="00774942"/>
    <w:rsid w:val="007D2644"/>
    <w:rsid w:val="007F0D54"/>
    <w:rsid w:val="00804B2D"/>
    <w:rsid w:val="008B65D7"/>
    <w:rsid w:val="008F2E22"/>
    <w:rsid w:val="009007DF"/>
    <w:rsid w:val="009B2A5E"/>
    <w:rsid w:val="009C55C9"/>
    <w:rsid w:val="009F0DAC"/>
    <w:rsid w:val="00A6763F"/>
    <w:rsid w:val="00B6717B"/>
    <w:rsid w:val="00BE1F22"/>
    <w:rsid w:val="00BF4D47"/>
    <w:rsid w:val="00C83CAB"/>
    <w:rsid w:val="00C90BF2"/>
    <w:rsid w:val="00CD482A"/>
    <w:rsid w:val="00D0418B"/>
    <w:rsid w:val="00D160FD"/>
    <w:rsid w:val="00D16FC4"/>
    <w:rsid w:val="00D21508"/>
    <w:rsid w:val="00D740EE"/>
    <w:rsid w:val="00DD3573"/>
    <w:rsid w:val="00DF0C30"/>
    <w:rsid w:val="00DF6980"/>
    <w:rsid w:val="00E479FC"/>
    <w:rsid w:val="00EB6FC2"/>
    <w:rsid w:val="00EE05F0"/>
    <w:rsid w:val="00F1380C"/>
    <w:rsid w:val="00F2282C"/>
    <w:rsid w:val="00F51A91"/>
    <w:rsid w:val="00F633C0"/>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B97974C4-9CFF-4AF9-A60B-F7A77910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11779">
      <w:bodyDiv w:val="1"/>
      <w:marLeft w:val="0"/>
      <w:marRight w:val="0"/>
      <w:marTop w:val="0"/>
      <w:marBottom w:val="0"/>
      <w:divBdr>
        <w:top w:val="none" w:sz="0" w:space="0" w:color="auto"/>
        <w:left w:val="none" w:sz="0" w:space="0" w:color="auto"/>
        <w:bottom w:val="none" w:sz="0" w:space="0" w:color="auto"/>
        <w:right w:val="none" w:sz="0" w:space="0" w:color="auto"/>
      </w:divBdr>
    </w:div>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19011264">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953710010">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sChild>
        </w:div>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ilyK@myPCM.org" TargetMode="External"/><Relationship Id="rId3" Type="http://schemas.openxmlformats.org/officeDocument/2006/relationships/settings" Target="settings.xml"/><Relationship Id="rId7" Type="http://schemas.openxmlformats.org/officeDocument/2006/relationships/hyperlink" Target="mailto:EmilyK@myPC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Sullivan</dc:creator>
  <cp:keywords/>
  <dc:description/>
  <cp:lastModifiedBy>Diana Marker</cp:lastModifiedBy>
  <cp:revision>2</cp:revision>
  <dcterms:created xsi:type="dcterms:W3CDTF">2021-04-06T20:18:00Z</dcterms:created>
  <dcterms:modified xsi:type="dcterms:W3CDTF">2023-11-29T19:16:00Z</dcterms:modified>
</cp:coreProperties>
</file>