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4953" w14:textId="7EB18813" w:rsidR="003A7119" w:rsidRDefault="003A7119" w:rsidP="003A7119">
      <w:pPr>
        <w:pStyle w:val="Normal1"/>
      </w:pPr>
      <w:r>
        <w:t xml:space="preserve">Benchmark goals for </w:t>
      </w:r>
      <w:r w:rsidR="009A0526">
        <w:t>202</w:t>
      </w:r>
      <w:r w:rsidR="00C93378">
        <w:t>3-24</w:t>
      </w: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2"/>
        <w:gridCol w:w="3105"/>
        <w:gridCol w:w="2160"/>
        <w:gridCol w:w="2633"/>
      </w:tblGrid>
      <w:tr w:rsidR="003A7119" w14:paraId="0289CA88" w14:textId="77777777" w:rsidTr="00686CB1">
        <w:tc>
          <w:tcPr>
            <w:tcW w:w="10530" w:type="dxa"/>
            <w:gridSpan w:val="4"/>
            <w:shd w:val="clear" w:color="auto" w:fill="FFFFFF"/>
          </w:tcPr>
          <w:p w14:paraId="2166DF1B" w14:textId="77777777" w:rsidR="003A7119" w:rsidRDefault="003A7119" w:rsidP="0047470C">
            <w:pPr>
              <w:pStyle w:val="Normal1"/>
              <w:jc w:val="center"/>
              <w:rPr>
                <w:b/>
              </w:rPr>
            </w:pPr>
            <w:r>
              <w:rPr>
                <w:b/>
                <w:i/>
              </w:rPr>
              <w:t xml:space="preserve">The Mission: </w:t>
            </w:r>
            <w:r>
              <w:rPr>
                <w:b/>
              </w:rPr>
              <w:t xml:space="preserve">Preparing Leaders of Character </w:t>
            </w:r>
          </w:p>
        </w:tc>
      </w:tr>
      <w:tr w:rsidR="003A7119" w14:paraId="4C267D2A" w14:textId="77777777" w:rsidTr="00686CB1">
        <w:tc>
          <w:tcPr>
            <w:tcW w:w="10530" w:type="dxa"/>
            <w:gridSpan w:val="4"/>
            <w:shd w:val="clear" w:color="auto" w:fill="FFFFFF"/>
          </w:tcPr>
          <w:p w14:paraId="7B2B6DF6" w14:textId="77777777" w:rsidR="003A7119" w:rsidRDefault="003A7119" w:rsidP="00686CB1">
            <w:pPr>
              <w:pStyle w:val="Normal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Four Pillars</w:t>
            </w:r>
          </w:p>
        </w:tc>
      </w:tr>
      <w:tr w:rsidR="003A7119" w14:paraId="10C3E3ED" w14:textId="77777777" w:rsidTr="00686CB1">
        <w:tc>
          <w:tcPr>
            <w:tcW w:w="2632" w:type="dxa"/>
            <w:shd w:val="clear" w:color="auto" w:fill="FFFFFF"/>
            <w:vAlign w:val="center"/>
          </w:tcPr>
          <w:p w14:paraId="7B9C9C54" w14:textId="77777777" w:rsidR="003A7119" w:rsidRDefault="003A7119" w:rsidP="00686CB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Strong Relationships</w:t>
            </w:r>
          </w:p>
        </w:tc>
        <w:tc>
          <w:tcPr>
            <w:tcW w:w="3105" w:type="dxa"/>
            <w:shd w:val="clear" w:color="auto" w:fill="FFFFFF"/>
            <w:vAlign w:val="center"/>
          </w:tcPr>
          <w:p w14:paraId="42264E2F" w14:textId="77777777" w:rsidR="003A7119" w:rsidRDefault="003A7119" w:rsidP="00686CB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Personalized, Year-Round Academics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2922ABA" w14:textId="77777777" w:rsidR="003A7119" w:rsidRPr="00D9267A" w:rsidRDefault="003A7119" w:rsidP="00686CB1">
            <w:pPr>
              <w:pStyle w:val="Normal1"/>
              <w:jc w:val="center"/>
              <w:rPr>
                <w:b/>
              </w:rPr>
            </w:pPr>
            <w:r w:rsidRPr="00D9267A">
              <w:rPr>
                <w:b/>
              </w:rPr>
              <w:t>Career Preparation</w:t>
            </w:r>
          </w:p>
          <w:p w14:paraId="4C7E109D" w14:textId="77777777" w:rsidR="003A7119" w:rsidRDefault="003A7119" w:rsidP="00686CB1">
            <w:pPr>
              <w:pStyle w:val="Normal1"/>
              <w:jc w:val="center"/>
              <w:rPr>
                <w:b/>
                <w:i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14:paraId="1B503838" w14:textId="77777777" w:rsidR="003A7119" w:rsidRDefault="003A7119" w:rsidP="00686CB1">
            <w:pPr>
              <w:pStyle w:val="Normal1"/>
              <w:jc w:val="center"/>
              <w:rPr>
                <w:b/>
              </w:rPr>
            </w:pPr>
          </w:p>
          <w:p w14:paraId="6F89865F" w14:textId="77777777" w:rsidR="003A7119" w:rsidRDefault="003A7119" w:rsidP="00686CB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Character Education</w:t>
            </w:r>
          </w:p>
          <w:p w14:paraId="09F4D60A" w14:textId="77777777" w:rsidR="003A7119" w:rsidRDefault="003A7119" w:rsidP="00686CB1">
            <w:pPr>
              <w:pStyle w:val="Normal1"/>
              <w:jc w:val="center"/>
              <w:rPr>
                <w:b/>
              </w:rPr>
            </w:pPr>
          </w:p>
        </w:tc>
      </w:tr>
      <w:tr w:rsidR="003A7119" w14:paraId="4829BB1A" w14:textId="77777777" w:rsidTr="00686CB1">
        <w:tc>
          <w:tcPr>
            <w:tcW w:w="10530" w:type="dxa"/>
            <w:gridSpan w:val="4"/>
            <w:shd w:val="clear" w:color="auto" w:fill="FFFFFF"/>
          </w:tcPr>
          <w:p w14:paraId="460BA79B" w14:textId="77777777" w:rsidR="003A7119" w:rsidRDefault="003A7119" w:rsidP="00686CB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The Anchor Standards and </w:t>
            </w:r>
            <w:r>
              <w:rPr>
                <w:b/>
                <w:i/>
              </w:rPr>
              <w:t>Benchmark Indicators</w:t>
            </w:r>
            <w:r>
              <w:rPr>
                <w:b/>
              </w:rPr>
              <w:t xml:space="preserve"> for Each Pillar </w:t>
            </w:r>
          </w:p>
        </w:tc>
      </w:tr>
      <w:tr w:rsidR="003A7119" w14:paraId="583578B9" w14:textId="77777777" w:rsidTr="00640A37">
        <w:trPr>
          <w:trHeight w:val="8513"/>
        </w:trPr>
        <w:tc>
          <w:tcPr>
            <w:tcW w:w="2632" w:type="dxa"/>
            <w:shd w:val="clear" w:color="auto" w:fill="FFFFFF"/>
          </w:tcPr>
          <w:p w14:paraId="03FBAD77" w14:textId="77777777" w:rsidR="003A7119" w:rsidRDefault="003A7119" w:rsidP="00686CB1">
            <w:pPr>
              <w:pStyle w:val="Normal1"/>
              <w:rPr>
                <w:b/>
              </w:rPr>
            </w:pPr>
            <w:r>
              <w:rPr>
                <w:b/>
              </w:rPr>
              <w:t>Attendance</w:t>
            </w:r>
          </w:p>
          <w:p w14:paraId="693A599D" w14:textId="3FAA855E" w:rsidR="003A7119" w:rsidRDefault="00D03511" w:rsidP="003A711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color w:val="000000"/>
              </w:rPr>
            </w:pPr>
            <w:r>
              <w:rPr>
                <w:color w:val="000000"/>
              </w:rPr>
              <w:t>School attendance exceeds 85</w:t>
            </w:r>
            <w:r w:rsidR="003A7119">
              <w:rPr>
                <w:color w:val="000000"/>
              </w:rPr>
              <w:t>%</w:t>
            </w:r>
            <w:r w:rsidR="00C61EA1">
              <w:rPr>
                <w:color w:val="000000"/>
              </w:rPr>
              <w:t>.</w:t>
            </w:r>
          </w:p>
          <w:p w14:paraId="0BCB31EE" w14:textId="77777777" w:rsid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contextualSpacing/>
              <w:rPr>
                <w:color w:val="000000"/>
              </w:rPr>
            </w:pPr>
          </w:p>
          <w:p w14:paraId="7E8CBC64" w14:textId="0D473594" w:rsidR="00C61EA1" w:rsidRDefault="00C61EA1" w:rsidP="003A711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color w:val="000000"/>
              </w:rPr>
            </w:pPr>
            <w:r>
              <w:rPr>
                <w:color w:val="000000"/>
              </w:rPr>
              <w:t>A decrease in Chronic absenteeism by at least 10%.</w:t>
            </w:r>
          </w:p>
          <w:p w14:paraId="7FDF387E" w14:textId="77777777" w:rsid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contextualSpacing/>
              <w:rPr>
                <w:color w:val="000000"/>
              </w:rPr>
            </w:pPr>
          </w:p>
          <w:p w14:paraId="782438CB" w14:textId="3D96212E" w:rsidR="003A7119" w:rsidRDefault="003A7119" w:rsidP="003A711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More than 85% of families have </w:t>
            </w:r>
            <w:r w:rsidR="00C93378">
              <w:rPr>
                <w:color w:val="000000"/>
              </w:rPr>
              <w:t xml:space="preserve">in-person </w:t>
            </w:r>
            <w:r>
              <w:rPr>
                <w:color w:val="000000"/>
              </w:rPr>
              <w:t>family conferences</w:t>
            </w:r>
            <w:r w:rsidR="00C61EA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22281FD2" w14:textId="77777777" w:rsidR="00640A37" w:rsidRDefault="00640A37" w:rsidP="00686CB1">
            <w:pPr>
              <w:pStyle w:val="Normal1"/>
              <w:rPr>
                <w:b/>
              </w:rPr>
            </w:pPr>
          </w:p>
          <w:p w14:paraId="20A3B650" w14:textId="21E67BCD" w:rsidR="003A7119" w:rsidRDefault="003A7119" w:rsidP="00686CB1">
            <w:pPr>
              <w:pStyle w:val="Normal1"/>
              <w:rPr>
                <w:b/>
              </w:rPr>
            </w:pPr>
            <w:r>
              <w:rPr>
                <w:b/>
              </w:rPr>
              <w:t>Connectio</w:t>
            </w:r>
            <w:r w:rsidR="00640A37">
              <w:rPr>
                <w:b/>
              </w:rPr>
              <w:t>n</w:t>
            </w:r>
          </w:p>
          <w:p w14:paraId="4395EA90" w14:textId="7859858A" w:rsidR="003A7119" w:rsidRDefault="004F184C" w:rsidP="003A711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3A7119">
              <w:rPr>
                <w:color w:val="000000"/>
              </w:rPr>
              <w:t>% net positive responses on connection questions on student, parent</w:t>
            </w:r>
            <w:r w:rsidR="00C93378">
              <w:rPr>
                <w:color w:val="000000"/>
              </w:rPr>
              <w:t>,</w:t>
            </w:r>
            <w:r w:rsidR="003A7119">
              <w:rPr>
                <w:color w:val="000000"/>
              </w:rPr>
              <w:t xml:space="preserve"> and staff surveys</w:t>
            </w:r>
            <w:r w:rsidR="00C61EA1">
              <w:rPr>
                <w:color w:val="000000"/>
              </w:rPr>
              <w:t>.</w:t>
            </w:r>
          </w:p>
          <w:p w14:paraId="1D64FF90" w14:textId="77777777" w:rsid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contextualSpacing/>
              <w:rPr>
                <w:color w:val="000000"/>
              </w:rPr>
            </w:pPr>
          </w:p>
          <w:p w14:paraId="6954656F" w14:textId="46ACF7AD" w:rsidR="003A7119" w:rsidRPr="002439A9" w:rsidRDefault="00D03511" w:rsidP="003A711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color w:val="000000"/>
              </w:rPr>
            </w:pPr>
            <w:bookmarkStart w:id="0" w:name="_GoBack"/>
            <w:r w:rsidRPr="002439A9">
              <w:rPr>
                <w:color w:val="000000"/>
              </w:rPr>
              <w:t>Fewer than 15</w:t>
            </w:r>
            <w:r w:rsidR="003A7119" w:rsidRPr="002439A9">
              <w:rPr>
                <w:color w:val="000000"/>
              </w:rPr>
              <w:t>% of students transfe</w:t>
            </w:r>
            <w:r w:rsidRPr="002439A9">
              <w:rPr>
                <w:color w:val="000000"/>
              </w:rPr>
              <w:t>r (after BEDS day)</w:t>
            </w:r>
            <w:r w:rsidR="00C61EA1" w:rsidRPr="002439A9">
              <w:rPr>
                <w:color w:val="000000"/>
              </w:rPr>
              <w:t>.</w:t>
            </w:r>
          </w:p>
          <w:bookmarkEnd w:id="0"/>
          <w:p w14:paraId="74A682CF" w14:textId="77777777" w:rsidR="00640A37" w:rsidRP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contextualSpacing/>
              <w:rPr>
                <w:i/>
                <w:color w:val="000000"/>
              </w:rPr>
            </w:pPr>
          </w:p>
          <w:p w14:paraId="65C44C55" w14:textId="77777777" w:rsidR="00D03511" w:rsidRDefault="00D03511" w:rsidP="003A711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Less than </w:t>
            </w:r>
            <w:r w:rsidR="004F184C">
              <w:rPr>
                <w:color w:val="000000"/>
              </w:rPr>
              <w:t>6</w:t>
            </w:r>
            <w:r>
              <w:rPr>
                <w:color w:val="000000"/>
              </w:rPr>
              <w:t>% undesirable staff attrition.</w:t>
            </w:r>
          </w:p>
          <w:p w14:paraId="36B14022" w14:textId="77777777" w:rsidR="003A7119" w:rsidRDefault="003A7119" w:rsidP="00686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720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FFFFF"/>
          </w:tcPr>
          <w:p w14:paraId="48F6175E" w14:textId="77777777" w:rsidR="003A7119" w:rsidRDefault="003A7119" w:rsidP="00686CB1">
            <w:pPr>
              <w:pStyle w:val="Normal1"/>
              <w:rPr>
                <w:b/>
              </w:rPr>
            </w:pPr>
            <w:r>
              <w:rPr>
                <w:b/>
              </w:rPr>
              <w:t>Graduation Rate</w:t>
            </w:r>
          </w:p>
          <w:p w14:paraId="23EB41C6" w14:textId="4A96B707" w:rsidR="003A7119" w:rsidRPr="00640A37" w:rsidRDefault="003A7119" w:rsidP="003A7119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hanging="14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More than 80% of each graduation coho</w:t>
            </w:r>
            <w:r w:rsidR="00D03511">
              <w:rPr>
                <w:color w:val="000000"/>
              </w:rPr>
              <w:t>rt graduates within 4, 5</w:t>
            </w:r>
            <w:r w:rsidR="00130497">
              <w:rPr>
                <w:color w:val="000000"/>
              </w:rPr>
              <w:t>,</w:t>
            </w:r>
            <w:r w:rsidR="00D03511">
              <w:rPr>
                <w:color w:val="000000"/>
              </w:rPr>
              <w:t xml:space="preserve"> or 6 years</w:t>
            </w:r>
            <w:r w:rsidR="00C61EA1">
              <w:rPr>
                <w:color w:val="000000"/>
              </w:rPr>
              <w:t>.</w:t>
            </w:r>
          </w:p>
          <w:p w14:paraId="12F87278" w14:textId="77777777" w:rsid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contextualSpacing/>
              <w:rPr>
                <w:b/>
                <w:color w:val="000000"/>
              </w:rPr>
            </w:pPr>
          </w:p>
          <w:p w14:paraId="13470D7E" w14:textId="77777777" w:rsidR="003A7119" w:rsidRDefault="003A7119" w:rsidP="00686CB1">
            <w:pPr>
              <w:pStyle w:val="Normal1"/>
              <w:rPr>
                <w:b/>
              </w:rPr>
            </w:pPr>
            <w:r>
              <w:rPr>
                <w:b/>
              </w:rPr>
              <w:t>Academic Growth</w:t>
            </w:r>
          </w:p>
          <w:p w14:paraId="27DD55F8" w14:textId="604C20C9" w:rsidR="003A7119" w:rsidRDefault="009D4576" w:rsidP="003A711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contextualSpacing/>
              <w:rPr>
                <w:color w:val="000000"/>
              </w:rPr>
            </w:pPr>
            <w:r>
              <w:rPr>
                <w:color w:val="000000"/>
              </w:rPr>
              <w:t>75% of students meet or exceed their expected growth</w:t>
            </w:r>
            <w:r w:rsidR="00547F17">
              <w:rPr>
                <w:color w:val="000000"/>
              </w:rPr>
              <w:t xml:space="preserve"> in Math and Reading on the NWEA</w:t>
            </w:r>
            <w:r>
              <w:rPr>
                <w:color w:val="000000"/>
              </w:rPr>
              <w:t>.</w:t>
            </w:r>
            <w:r w:rsidR="0095643A">
              <w:rPr>
                <w:color w:val="000000"/>
              </w:rPr>
              <w:t xml:space="preserve"> </w:t>
            </w:r>
          </w:p>
          <w:p w14:paraId="6392ABE3" w14:textId="77777777" w:rsid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contextualSpacing/>
              <w:rPr>
                <w:color w:val="000000"/>
              </w:rPr>
            </w:pPr>
          </w:p>
          <w:p w14:paraId="7137D199" w14:textId="77777777" w:rsidR="003A7119" w:rsidRDefault="003A7119" w:rsidP="00686CB1">
            <w:pPr>
              <w:pStyle w:val="Normal1"/>
              <w:rPr>
                <w:b/>
              </w:rPr>
            </w:pPr>
            <w:r>
              <w:rPr>
                <w:b/>
              </w:rPr>
              <w:t>Course credits</w:t>
            </w:r>
          </w:p>
          <w:p w14:paraId="0570D7DE" w14:textId="0CD920C0" w:rsidR="003A7119" w:rsidRDefault="003A7119" w:rsidP="003A711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85% of </w:t>
            </w:r>
            <w:r w:rsidR="009B0A00">
              <w:rPr>
                <w:color w:val="000000"/>
              </w:rPr>
              <w:t>third-year</w:t>
            </w:r>
            <w:r w:rsidR="006D2C8D">
              <w:rPr>
                <w:color w:val="000000"/>
              </w:rPr>
              <w:t xml:space="preserve"> </w:t>
            </w:r>
            <w:r w:rsidR="00D03511">
              <w:rPr>
                <w:color w:val="000000"/>
              </w:rPr>
              <w:t>students have at least 16</w:t>
            </w:r>
            <w:r w:rsidR="00C93378">
              <w:rPr>
                <w:color w:val="000000"/>
              </w:rPr>
              <w:t>.5</w:t>
            </w:r>
            <w:r w:rsidR="00D03511">
              <w:rPr>
                <w:color w:val="000000"/>
              </w:rPr>
              <w:t xml:space="preserve"> credits</w:t>
            </w:r>
            <w:r w:rsidR="006D2C8D">
              <w:rPr>
                <w:color w:val="000000"/>
              </w:rPr>
              <w:t xml:space="preserve"> and three </w:t>
            </w:r>
            <w:proofErr w:type="gramStart"/>
            <w:r w:rsidR="006D2C8D">
              <w:rPr>
                <w:color w:val="000000"/>
              </w:rPr>
              <w:t>regents</w:t>
            </w:r>
            <w:proofErr w:type="gramEnd"/>
            <w:r w:rsidR="006D2C8D">
              <w:rPr>
                <w:color w:val="000000"/>
              </w:rPr>
              <w:t xml:space="preserve"> exams</w:t>
            </w:r>
            <w:r w:rsidR="00D03511">
              <w:rPr>
                <w:color w:val="000000"/>
              </w:rPr>
              <w:t xml:space="preserve">, 75% of </w:t>
            </w:r>
            <w:r w:rsidR="009B0A00">
              <w:rPr>
                <w:color w:val="000000"/>
              </w:rPr>
              <w:t>second-year</w:t>
            </w:r>
            <w:r w:rsidR="00D03511">
              <w:rPr>
                <w:color w:val="000000"/>
              </w:rPr>
              <w:t xml:space="preserve"> students have 11 credits and </w:t>
            </w:r>
            <w:r w:rsidR="006D2C8D">
              <w:rPr>
                <w:color w:val="000000"/>
              </w:rPr>
              <w:t>two regents exams</w:t>
            </w:r>
            <w:r w:rsidR="009B0A00">
              <w:rPr>
                <w:color w:val="000000"/>
              </w:rPr>
              <w:t>,</w:t>
            </w:r>
            <w:r w:rsidR="006D2C8D">
              <w:rPr>
                <w:color w:val="000000"/>
              </w:rPr>
              <w:t xml:space="preserve"> and </w:t>
            </w:r>
            <w:r w:rsidR="00D03511">
              <w:rPr>
                <w:color w:val="000000"/>
              </w:rPr>
              <w:t xml:space="preserve">55% of </w:t>
            </w:r>
            <w:r w:rsidR="006D2C8D">
              <w:rPr>
                <w:color w:val="000000"/>
              </w:rPr>
              <w:t>first</w:t>
            </w:r>
            <w:r w:rsidR="009B0A00">
              <w:rPr>
                <w:color w:val="000000"/>
              </w:rPr>
              <w:t>-</w:t>
            </w:r>
            <w:r w:rsidR="00D03511">
              <w:rPr>
                <w:color w:val="000000"/>
              </w:rPr>
              <w:t xml:space="preserve">year students have 5.5 credits </w:t>
            </w:r>
            <w:r w:rsidR="006D2C8D">
              <w:rPr>
                <w:color w:val="000000"/>
              </w:rPr>
              <w:t xml:space="preserve">and one </w:t>
            </w:r>
            <w:r w:rsidR="009B0A00">
              <w:rPr>
                <w:color w:val="000000"/>
              </w:rPr>
              <w:t>regent’s</w:t>
            </w:r>
            <w:r w:rsidR="006D2C8D">
              <w:rPr>
                <w:color w:val="000000"/>
              </w:rPr>
              <w:t xml:space="preserve"> exam </w:t>
            </w:r>
            <w:r>
              <w:rPr>
                <w:color w:val="000000"/>
              </w:rPr>
              <w:t xml:space="preserve">at the end of </w:t>
            </w:r>
            <w:r w:rsidR="006D2C8D">
              <w:rPr>
                <w:color w:val="000000"/>
              </w:rPr>
              <w:t>August,</w:t>
            </w:r>
            <w:r w:rsidR="00D03511">
              <w:rPr>
                <w:color w:val="000000"/>
              </w:rPr>
              <w:t xml:space="preserve"> meeting on-track to graduate metrics.</w:t>
            </w:r>
          </w:p>
          <w:p w14:paraId="00CA0DD7" w14:textId="77777777" w:rsidR="00640A37" w:rsidRDefault="00640A37" w:rsidP="00640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contextualSpacing/>
              <w:rPr>
                <w:color w:val="000000"/>
              </w:rPr>
            </w:pPr>
          </w:p>
          <w:p w14:paraId="551607BC" w14:textId="77777777" w:rsidR="003A7119" w:rsidRDefault="003A7119" w:rsidP="00686CB1">
            <w:pPr>
              <w:pStyle w:val="Normal1"/>
              <w:rPr>
                <w:b/>
              </w:rPr>
            </w:pPr>
            <w:r>
              <w:rPr>
                <w:b/>
              </w:rPr>
              <w:t>Regents exams</w:t>
            </w:r>
          </w:p>
          <w:p w14:paraId="0A4AE44B" w14:textId="7304D63D" w:rsidR="00C93378" w:rsidRPr="00686CB1" w:rsidRDefault="003A7119" w:rsidP="00C93378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contextualSpacing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color w:val="000000"/>
              </w:rPr>
              <w:t xml:space="preserve">The annual Regents pass rate meets or exceeds the following percentage per test: </w:t>
            </w:r>
            <w:r w:rsidR="00D03511">
              <w:rPr>
                <w:color w:val="000000"/>
              </w:rPr>
              <w:t xml:space="preserve">ELA </w:t>
            </w:r>
            <w:r w:rsidR="00C93378">
              <w:rPr>
                <w:color w:val="000000"/>
              </w:rPr>
              <w:t>80</w:t>
            </w:r>
            <w:r w:rsidR="00D03511">
              <w:rPr>
                <w:color w:val="000000"/>
              </w:rPr>
              <w:t xml:space="preserve">%, </w:t>
            </w:r>
            <w:r w:rsidR="00C93378">
              <w:rPr>
                <w:color w:val="000000"/>
              </w:rPr>
              <w:t xml:space="preserve">Earth </w:t>
            </w:r>
            <w:r w:rsidR="00D03511">
              <w:rPr>
                <w:color w:val="000000"/>
              </w:rPr>
              <w:t xml:space="preserve">Science </w:t>
            </w:r>
            <w:r w:rsidR="00C93378">
              <w:rPr>
                <w:color w:val="000000"/>
              </w:rPr>
              <w:t>65</w:t>
            </w:r>
            <w:r w:rsidR="00D03511">
              <w:rPr>
                <w:color w:val="000000"/>
              </w:rPr>
              <w:t xml:space="preserve">%, </w:t>
            </w:r>
            <w:r w:rsidR="00C93378">
              <w:rPr>
                <w:color w:val="000000"/>
              </w:rPr>
              <w:t>Living Environment 75</w:t>
            </w:r>
            <w:proofErr w:type="gramStart"/>
            <w:r w:rsidR="00C93378">
              <w:rPr>
                <w:color w:val="000000"/>
              </w:rPr>
              <w:t xml:space="preserve">%,  </w:t>
            </w:r>
            <w:r w:rsidR="00C93378">
              <w:rPr>
                <w:color w:val="000000"/>
              </w:rPr>
              <w:t>United</w:t>
            </w:r>
            <w:proofErr w:type="gramEnd"/>
            <w:r w:rsidR="00C93378">
              <w:rPr>
                <w:color w:val="000000"/>
              </w:rPr>
              <w:t xml:space="preserve"> States History 75%</w:t>
            </w:r>
            <w:r w:rsidR="00C93378">
              <w:rPr>
                <w:color w:val="000000"/>
              </w:rPr>
              <w:t>,</w:t>
            </w:r>
          </w:p>
          <w:p w14:paraId="5B59519E" w14:textId="299C7A19" w:rsidR="003A7119" w:rsidRDefault="00D03511" w:rsidP="00C933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contextualSpacing/>
              <w:rPr>
                <w:b/>
              </w:rPr>
            </w:pPr>
            <w:r>
              <w:rPr>
                <w:color w:val="000000"/>
              </w:rPr>
              <w:t xml:space="preserve">Global History </w:t>
            </w:r>
            <w:r w:rsidR="00C93378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  <w:r w:rsidR="00C93378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FFFFFF"/>
          </w:tcPr>
          <w:p w14:paraId="0C9CFC68" w14:textId="4B537660" w:rsidR="003A7119" w:rsidRDefault="003A7119" w:rsidP="00686CB1">
            <w:pPr>
              <w:pStyle w:val="Normal1"/>
              <w:rPr>
                <w:b/>
                <w:sz w:val="20"/>
                <w:szCs w:val="20"/>
              </w:rPr>
            </w:pPr>
            <w:r w:rsidRPr="00D9267A">
              <w:rPr>
                <w:b/>
                <w:sz w:val="20"/>
                <w:szCs w:val="20"/>
              </w:rPr>
              <w:t>College and Career Preparation</w:t>
            </w:r>
          </w:p>
          <w:p w14:paraId="5BF1292C" w14:textId="77777777" w:rsidR="00640A37" w:rsidRPr="00D9267A" w:rsidRDefault="00640A37" w:rsidP="00686CB1">
            <w:pPr>
              <w:pStyle w:val="Normal1"/>
              <w:rPr>
                <w:b/>
                <w:sz w:val="20"/>
                <w:szCs w:val="20"/>
              </w:rPr>
            </w:pPr>
          </w:p>
          <w:p w14:paraId="7D8BEBBB" w14:textId="4DC57731" w:rsidR="003A7119" w:rsidRDefault="00C61EA1" w:rsidP="006A3329">
            <w:pPr>
              <w:pStyle w:val="Normal1"/>
            </w:pPr>
            <w:r>
              <w:t xml:space="preserve">•A 5% increase in our College and Career Readiness metric. </w:t>
            </w:r>
          </w:p>
          <w:p w14:paraId="2B7A7675" w14:textId="77777777" w:rsidR="00640A37" w:rsidRDefault="00640A37" w:rsidP="006A3329">
            <w:pPr>
              <w:pStyle w:val="Normal1"/>
            </w:pPr>
          </w:p>
          <w:p w14:paraId="7BDF6FD9" w14:textId="3496A0D8" w:rsidR="00C61EA1" w:rsidRDefault="00C61EA1" w:rsidP="006A3329">
            <w:pPr>
              <w:pStyle w:val="Normal1"/>
            </w:pPr>
            <w:r>
              <w:t xml:space="preserve">•At least </w:t>
            </w:r>
            <w:r w:rsidR="002439A9">
              <w:t>7</w:t>
            </w:r>
            <w:r>
              <w:t>0% of the student body participates in one or more of the offered career preparation programs.</w:t>
            </w:r>
          </w:p>
          <w:p w14:paraId="23994E09" w14:textId="77777777" w:rsidR="00640A37" w:rsidRDefault="00640A37" w:rsidP="006A3329">
            <w:pPr>
              <w:pStyle w:val="Normal1"/>
            </w:pPr>
          </w:p>
          <w:p w14:paraId="45D2CF0B" w14:textId="77777777" w:rsidR="006C603D" w:rsidRDefault="000240F2" w:rsidP="006A3329">
            <w:pPr>
              <w:pStyle w:val="Normal1"/>
            </w:pPr>
            <w:r>
              <w:t>•</w:t>
            </w:r>
            <w:r w:rsidR="006C603D">
              <w:t>100% of</w:t>
            </w:r>
            <w:r w:rsidR="0058534E">
              <w:t xml:space="preserve"> our students complete a life plan document </w:t>
            </w:r>
            <w:r>
              <w:t xml:space="preserve">in their first year </w:t>
            </w:r>
            <w:r w:rsidR="0058534E">
              <w:t xml:space="preserve">that is reviewed </w:t>
            </w:r>
            <w:r>
              <w:t xml:space="preserve">and updated </w:t>
            </w:r>
            <w:r w:rsidR="0058534E">
              <w:t xml:space="preserve">annually, </w:t>
            </w:r>
            <w:r>
              <w:t xml:space="preserve">used to place students in appropriate classes and programs and help them plan appropriately for life after </w:t>
            </w:r>
            <w:proofErr w:type="spellStart"/>
            <w:r>
              <w:t>Vertus</w:t>
            </w:r>
            <w:proofErr w:type="spellEnd"/>
          </w:p>
          <w:p w14:paraId="435DB289" w14:textId="77777777" w:rsidR="00C61EA1" w:rsidRDefault="00C61EA1" w:rsidP="006A3329">
            <w:pPr>
              <w:pStyle w:val="Normal1"/>
            </w:pPr>
          </w:p>
          <w:p w14:paraId="7C970DEE" w14:textId="77777777" w:rsidR="00C61EA1" w:rsidRPr="00C61EA1" w:rsidRDefault="00C61EA1" w:rsidP="006A3329">
            <w:pPr>
              <w:pStyle w:val="Normal1"/>
            </w:pPr>
          </w:p>
        </w:tc>
        <w:tc>
          <w:tcPr>
            <w:tcW w:w="2633" w:type="dxa"/>
            <w:shd w:val="clear" w:color="auto" w:fill="FFFFFF"/>
          </w:tcPr>
          <w:p w14:paraId="49FE4D56" w14:textId="77777777" w:rsidR="003A7119" w:rsidRPr="00D9267A" w:rsidRDefault="003A7119" w:rsidP="00686CB1">
            <w:pPr>
              <w:pStyle w:val="Normal1"/>
              <w:widowControl w:val="0"/>
              <w:ind w:right="317"/>
              <w:rPr>
                <w:b/>
                <w:sz w:val="20"/>
                <w:szCs w:val="20"/>
              </w:rPr>
            </w:pPr>
            <w:r w:rsidRPr="00D9267A">
              <w:rPr>
                <w:b/>
                <w:sz w:val="20"/>
                <w:szCs w:val="20"/>
              </w:rPr>
              <w:t xml:space="preserve">Character </w:t>
            </w:r>
            <w:r w:rsidR="00D9267A" w:rsidRPr="00D9267A">
              <w:rPr>
                <w:b/>
                <w:sz w:val="20"/>
                <w:szCs w:val="20"/>
              </w:rPr>
              <w:t>Development</w:t>
            </w:r>
          </w:p>
          <w:p w14:paraId="3BE9A90B" w14:textId="141F3050" w:rsidR="003A7119" w:rsidRDefault="00D968C3" w:rsidP="000652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</w:pPr>
            <w:r>
              <w:t>•100% of first and second years that are present in school consistently s</w:t>
            </w:r>
            <w:r w:rsidR="00BA4874">
              <w:t xml:space="preserve">uccessfully complete </w:t>
            </w:r>
            <w:r>
              <w:t xml:space="preserve">the character </w:t>
            </w:r>
            <w:r w:rsidR="00BA4874">
              <w:t>seminar</w:t>
            </w:r>
            <w:r>
              <w:t>.</w:t>
            </w:r>
          </w:p>
          <w:p w14:paraId="0B8D1D52" w14:textId="77777777" w:rsidR="00640A37" w:rsidRDefault="00640A37" w:rsidP="000652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</w:pPr>
          </w:p>
          <w:p w14:paraId="0E06EBCF" w14:textId="77777777" w:rsidR="00D968C3" w:rsidRDefault="00D968C3" w:rsidP="000652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</w:pPr>
            <w:r>
              <w:t>•85% of our new students meet the requirements to earn their Red Blazer.</w:t>
            </w:r>
          </w:p>
          <w:p w14:paraId="3A910B63" w14:textId="77777777" w:rsidR="00D968C3" w:rsidRDefault="00D968C3" w:rsidP="000652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</w:pPr>
          </w:p>
          <w:p w14:paraId="696EAEBA" w14:textId="77777777" w:rsidR="00CB24C0" w:rsidRDefault="00CB24C0" w:rsidP="000652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</w:pPr>
          </w:p>
          <w:p w14:paraId="563206A3" w14:textId="77777777" w:rsidR="00057C06" w:rsidRDefault="00057C06" w:rsidP="000652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</w:pPr>
          </w:p>
        </w:tc>
      </w:tr>
    </w:tbl>
    <w:p w14:paraId="1665456C" w14:textId="77777777" w:rsidR="00A138CA" w:rsidRDefault="00A138CA"/>
    <w:sectPr w:rsidR="00A1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681F"/>
    <w:multiLevelType w:val="multilevel"/>
    <w:tmpl w:val="5B809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CB4413"/>
    <w:multiLevelType w:val="multilevel"/>
    <w:tmpl w:val="8300F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B10C5E"/>
    <w:multiLevelType w:val="multilevel"/>
    <w:tmpl w:val="42029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AD1729"/>
    <w:multiLevelType w:val="multilevel"/>
    <w:tmpl w:val="55D2B02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E07E69"/>
    <w:multiLevelType w:val="hybridMultilevel"/>
    <w:tmpl w:val="D124D2F2"/>
    <w:lvl w:ilvl="0" w:tplc="5C7A20B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22293"/>
    <w:multiLevelType w:val="hybridMultilevel"/>
    <w:tmpl w:val="3E2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6174"/>
    <w:multiLevelType w:val="hybridMultilevel"/>
    <w:tmpl w:val="DB16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6C78"/>
    <w:multiLevelType w:val="multilevel"/>
    <w:tmpl w:val="2E9A4E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tzAxszAwtzQyNrVU0lEKTi0uzszPAykwrwUAH74PnCwAAAA="/>
  </w:docVars>
  <w:rsids>
    <w:rsidRoot w:val="003A7119"/>
    <w:rsid w:val="000240F2"/>
    <w:rsid w:val="00057C06"/>
    <w:rsid w:val="00065291"/>
    <w:rsid w:val="000B717E"/>
    <w:rsid w:val="00130497"/>
    <w:rsid w:val="002254C5"/>
    <w:rsid w:val="002439A9"/>
    <w:rsid w:val="002F4F90"/>
    <w:rsid w:val="00317BC1"/>
    <w:rsid w:val="003528AD"/>
    <w:rsid w:val="003A7119"/>
    <w:rsid w:val="0047470C"/>
    <w:rsid w:val="004F184C"/>
    <w:rsid w:val="0053656D"/>
    <w:rsid w:val="00541E4D"/>
    <w:rsid w:val="00547F17"/>
    <w:rsid w:val="0058534E"/>
    <w:rsid w:val="005A19D7"/>
    <w:rsid w:val="006048E4"/>
    <w:rsid w:val="00640A37"/>
    <w:rsid w:val="006568A8"/>
    <w:rsid w:val="006A3329"/>
    <w:rsid w:val="006C603D"/>
    <w:rsid w:val="006D2C8D"/>
    <w:rsid w:val="006F003D"/>
    <w:rsid w:val="008B6176"/>
    <w:rsid w:val="008E12D3"/>
    <w:rsid w:val="0095643A"/>
    <w:rsid w:val="009A0526"/>
    <w:rsid w:val="009A5F85"/>
    <w:rsid w:val="009B0A00"/>
    <w:rsid w:val="009D4576"/>
    <w:rsid w:val="00A138CA"/>
    <w:rsid w:val="00B46784"/>
    <w:rsid w:val="00B918F6"/>
    <w:rsid w:val="00BA4874"/>
    <w:rsid w:val="00C61EA1"/>
    <w:rsid w:val="00C93378"/>
    <w:rsid w:val="00CB24C0"/>
    <w:rsid w:val="00CC146C"/>
    <w:rsid w:val="00D03511"/>
    <w:rsid w:val="00D9267A"/>
    <w:rsid w:val="00D968C3"/>
    <w:rsid w:val="00DA309B"/>
    <w:rsid w:val="00E20C05"/>
    <w:rsid w:val="00F14887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BA35"/>
  <w15:chartTrackingRefBased/>
  <w15:docId w15:val="{378E857C-D5B7-4755-B7D6-35A81F9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1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7119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6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Locey</dc:creator>
  <cp:keywords/>
  <dc:description/>
  <cp:lastModifiedBy>Julie Locey</cp:lastModifiedBy>
  <cp:revision>2</cp:revision>
  <cp:lastPrinted>2023-08-24T12:15:00Z</cp:lastPrinted>
  <dcterms:created xsi:type="dcterms:W3CDTF">2023-08-24T16:05:00Z</dcterms:created>
  <dcterms:modified xsi:type="dcterms:W3CDTF">2023-08-24T16:05:00Z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293e2a40abee479a6ec661ef223d3e9b46953d06cd09df40f8ad9b19b5e9199d</vt:lpwstr>
  </property>
</Properties>
</file>