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48B8BF61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871BF9">
              <w:rPr>
                <w:rFonts w:eastAsia="Times New Roman" w:cs="Times New Roman"/>
                <w:b/>
              </w:rPr>
              <w:t xml:space="preserve">Brooklyn RISE </w:t>
            </w:r>
            <w:r w:rsidR="006C2B21">
              <w:rPr>
                <w:rFonts w:eastAsia="Times New Roman" w:cs="Times New Roman"/>
                <w:b/>
              </w:rPr>
              <w:t>Preparatory Charter School</w:t>
            </w:r>
          </w:p>
        </w:tc>
        <w:tc>
          <w:tcPr>
            <w:tcW w:w="5508" w:type="dxa"/>
            <w:shd w:val="clear" w:color="auto" w:fill="auto"/>
          </w:tcPr>
          <w:p w14:paraId="4ED6A7FF" w14:textId="5F1AFD11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6C2B21">
              <w:t xml:space="preserve"> </w:t>
            </w:r>
            <w:r w:rsidR="006C2B21" w:rsidRPr="006C2B21">
              <w:rPr>
                <w:rFonts w:eastAsia="Times New Roman" w:cs="Times New Roman"/>
                <w:b/>
              </w:rPr>
              <w:t>CRRSA ESSER II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113A57F9" w:rsidR="008205EC" w:rsidRPr="00D91F76" w:rsidRDefault="008205EC" w:rsidP="008205EC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0035D2">
              <w:t xml:space="preserve"> </w:t>
            </w:r>
            <w:r w:rsidR="00871BF9">
              <w:t xml:space="preserve"> </w:t>
            </w:r>
            <w:r w:rsidR="00871BF9" w:rsidRPr="00871BF9">
              <w:rPr>
                <w:rFonts w:eastAsia="Times New Roman" w:cs="Times New Roman"/>
                <w:b/>
              </w:rPr>
              <w:t>331500861156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95B8875" w14:textId="77777777" w:rsidR="000035D2" w:rsidRDefault="000035D2" w:rsidP="000035D2">
            <w:pPr>
              <w:rPr>
                <w:rFonts w:eastAsia="Times New Roman" w:cs="Times New Roman"/>
                <w:i/>
                <w:szCs w:val="20"/>
              </w:rPr>
            </w:pPr>
          </w:p>
          <w:p w14:paraId="78ACBB5A" w14:textId="526EDCB7" w:rsidR="00D91F76" w:rsidRPr="00D91F76" w:rsidRDefault="000035D2" w:rsidP="000035D2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Total of </w:t>
            </w:r>
            <w:r w:rsidR="00871BF9">
              <w:rPr>
                <w:rFonts w:eastAsia="Times New Roman" w:cs="Times New Roman"/>
                <w:i/>
                <w:szCs w:val="20"/>
              </w:rPr>
              <w:t>1</w:t>
            </w:r>
            <w:r>
              <w:rPr>
                <w:rFonts w:eastAsia="Times New Roman" w:cs="Times New Roman"/>
                <w:i/>
                <w:szCs w:val="20"/>
              </w:rPr>
              <w:t>.</w:t>
            </w:r>
            <w:r w:rsidR="00871BF9">
              <w:rPr>
                <w:rFonts w:eastAsia="Times New Roman" w:cs="Times New Roman"/>
                <w:i/>
                <w:szCs w:val="20"/>
              </w:rPr>
              <w:t>58</w:t>
            </w:r>
            <w:r>
              <w:rPr>
                <w:rFonts w:eastAsia="Times New Roman" w:cs="Times New Roman"/>
                <w:i/>
                <w:szCs w:val="20"/>
              </w:rPr>
              <w:t>FTEs, $</w:t>
            </w:r>
            <w:r w:rsidR="00871BF9">
              <w:rPr>
                <w:rFonts w:eastAsia="Times New Roman" w:cs="Times New Roman"/>
                <w:i/>
                <w:szCs w:val="20"/>
              </w:rPr>
              <w:t>$103,727</w:t>
            </w:r>
            <w:r>
              <w:rPr>
                <w:rFonts w:eastAsia="Times New Roman" w:cs="Times New Roman"/>
                <w:i/>
                <w:szCs w:val="20"/>
              </w:rPr>
              <w:t xml:space="preserve"> – </w:t>
            </w:r>
            <w:r w:rsidR="00871BF9">
              <w:rPr>
                <w:rFonts w:eastAsia="Times New Roman" w:cs="Times New Roman"/>
                <w:i/>
                <w:szCs w:val="20"/>
              </w:rPr>
              <w:t>Social Workers for FY21 and FY22 to ensure students have mental health supports as a direct response to Covid-19.</w:t>
            </w: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4D154FC2" w14:textId="2902FE6B" w:rsidR="00D91F76" w:rsidRPr="00D91F76" w:rsidRDefault="00871BF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$54,356 – Consultant hired to help develop remote curriculum and provide administrative support during the FY21 school year. $56,485 – Custodial Services for FY21 and FY22 to ensure a clean, safe school building for students and staff. $506 – Zoom for FY21 to teleconference for class and meetings. </w:t>
            </w: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046CC1C5" w:rsidR="00D91F76" w:rsidRPr="00D91F76" w:rsidRDefault="00871BF9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$5,324 – Chromebooks purchased in FY21 for remote-learning. $17,700 - Clean</w:t>
            </w:r>
            <w:r w:rsidR="000035D2">
              <w:rPr>
                <w:rFonts w:eastAsia="Times New Roman" w:cs="Times New Roman"/>
                <w:i/>
                <w:szCs w:val="20"/>
              </w:rPr>
              <w:t>ing supplies for FY22 to ensure a safe space for students</w:t>
            </w:r>
            <w:r>
              <w:rPr>
                <w:rFonts w:eastAsia="Times New Roman" w:cs="Times New Roman"/>
                <w:i/>
                <w:szCs w:val="20"/>
              </w:rPr>
              <w:t xml:space="preserve">. $10,000 – Computers to ensure all staff are equipped to work remotely. $20,000 – Summer Academy supplies to directly address FY20, FY21 learning loss. </w:t>
            </w:r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1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5584226C" w14:textId="77777777" w:rsidR="00D91F76" w:rsidRPr="00D91F76" w:rsidRDefault="00D91F76" w:rsidP="000035D2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759C664C" w14:textId="595C750A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02BE3E86" w:rsidR="00D91F76" w:rsidRPr="00D91F76" w:rsidRDefault="00653D0F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$25,000 – Classroom furniture to ensure proper distancing in all classes</w:t>
            </w:r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66AC" w14:textId="77777777" w:rsidR="00082C14" w:rsidRDefault="00082C14" w:rsidP="00531B52">
      <w:r>
        <w:separator/>
      </w:r>
    </w:p>
  </w:endnote>
  <w:endnote w:type="continuationSeparator" w:id="0">
    <w:p w14:paraId="23D9BF54" w14:textId="77777777" w:rsidR="00082C14" w:rsidRDefault="00082C1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B24D" w14:textId="77777777" w:rsidR="00082C14" w:rsidRDefault="00082C14" w:rsidP="00531B52">
      <w:r>
        <w:separator/>
      </w:r>
    </w:p>
  </w:footnote>
  <w:footnote w:type="continuationSeparator" w:id="0">
    <w:p w14:paraId="38239B39" w14:textId="77777777" w:rsidR="00082C14" w:rsidRDefault="00082C1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76"/>
    <w:rsid w:val="000035D2"/>
    <w:rsid w:val="00082C14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531B52"/>
    <w:rsid w:val="00653D0F"/>
    <w:rsid w:val="006545CE"/>
    <w:rsid w:val="00684C03"/>
    <w:rsid w:val="006B51E5"/>
    <w:rsid w:val="006C2B21"/>
    <w:rsid w:val="006C30C6"/>
    <w:rsid w:val="008205EC"/>
    <w:rsid w:val="00871BF9"/>
    <w:rsid w:val="008F1BAB"/>
    <w:rsid w:val="00AA0383"/>
    <w:rsid w:val="00BE5DCB"/>
    <w:rsid w:val="00D91F76"/>
    <w:rsid w:val="00DE5B6E"/>
    <w:rsid w:val="00E10C73"/>
    <w:rsid w:val="00E146D5"/>
    <w:rsid w:val="00EF6B34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2021-06-29T17:29:00Z</dcterms:created>
  <dcterms:modified xsi:type="dcterms:W3CDTF">2021-09-08T16:12:00Z</dcterms:modified>
</cp:coreProperties>
</file>