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/21 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Special Presentation/Facility Update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720" w:right="0" w:hanging="360"/>
        <w:jc w:val="left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Scott Burnett</w:t>
        </w:r>
      </w:hyperlink>
      <w:r w:rsidDel="00000000" w:rsidR="00000000" w:rsidRPr="00000000">
        <w:rPr>
          <w:sz w:val="24"/>
          <w:szCs w:val="24"/>
          <w:rtl w:val="0"/>
        </w:rPr>
        <w:t xml:space="preserve">, CCR Architecture and Interiors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Morris, CEO/Head of School and RJ Smith, Tre</w:t>
      </w:r>
      <w:r w:rsidDel="00000000" w:rsidR="00000000" w:rsidRPr="00000000">
        <w:rPr>
          <w:i w:val="1"/>
          <w:sz w:val="24"/>
          <w:szCs w:val="24"/>
          <w:rtl w:val="0"/>
        </w:rPr>
        <w:t xml:space="preserve">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Head of School Report, </w:t>
      </w:r>
      <w:r w:rsidDel="00000000" w:rsidR="00000000" w:rsidRPr="00000000">
        <w:rPr>
          <w:i w:val="1"/>
          <w:sz w:val="24"/>
          <w:szCs w:val="24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D">
      <w:pPr>
        <w:widowControl w:val="0"/>
        <w:spacing w:before="0" w:line="240" w:lineRule="auto"/>
        <w:ind w:left="727.679977416992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Head of School </w:t>
      </w:r>
    </w:p>
    <w:p w:rsidR="00000000" w:rsidDel="00000000" w:rsidP="00000000" w:rsidRDefault="00000000" w:rsidRPr="00000000" w14:paraId="0000000E">
      <w:pPr>
        <w:widowControl w:val="0"/>
        <w:spacing w:before="0" w:line="240" w:lineRule="auto"/>
        <w:ind w:left="737.999954223632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Remarks </w:t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ind w:left="1514.88014221191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Charter Contract Approval 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Power School Contract  </w:t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RSA Employer Pay In </w:t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Grant Funding Report</w:t>
      </w:r>
    </w:p>
    <w:p w:rsidR="00000000" w:rsidDel="00000000" w:rsidP="00000000" w:rsidRDefault="00000000" w:rsidRPr="00000000" w14:paraId="00000013">
      <w:pPr>
        <w:widowControl w:val="0"/>
        <w:spacing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ind w:left="0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cott@ccrarchitec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