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5943600" cy="8048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2111 International Boulevard    Oakland, CA  94606      510.686.4131     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18"/>
            <w:szCs w:val="18"/>
            <w:u w:val="single"/>
            <w:rtl w:val="0"/>
          </w:rPr>
          <w:t xml:space="preserve">info@communityschoolforcreativeeducation.org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Community School of Creative Education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Administrative Salary Schedule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New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1- 3 years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Experienced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4+ 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$107,000- $117,000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$117,000- $127,000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Subject to 4% increase each year.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fo@communityschoolforcreativeeducation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