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b w:val="1"/>
        </w:rPr>
      </w:pPr>
      <w:r w:rsidDel="00000000" w:rsidR="00000000" w:rsidRPr="00000000">
        <w:rPr/>
        <w:drawing>
          <wp:inline distB="114300" distT="114300" distL="114300" distR="114300">
            <wp:extent cx="5943600" cy="8048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4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2111 International Boulevard    Oakland, CA  94606      510.686.4131     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18"/>
            <w:szCs w:val="18"/>
            <w:u w:val="single"/>
            <w:rtl w:val="0"/>
          </w:rPr>
          <w:t xml:space="preserve">info@communityschoolforcreativeeducation.org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Community School of Creative Education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Administrative Salary Schedule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New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1- 3 years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Experienced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4+ year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$107,000- $117,000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$117,000- $127,000</w:t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Subject to 4% increase each year.</w:t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info@communityschoolforcreativeeducation.org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