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CEDE" w14:textId="51CBA345" w:rsidR="002C355A" w:rsidRPr="00DC6BA0" w:rsidRDefault="003F6059" w:rsidP="00DC6BA0">
      <w:pPr>
        <w:jc w:val="center"/>
        <w:rPr>
          <w:b/>
          <w:bCs/>
          <w:sz w:val="56"/>
          <w:szCs w:val="56"/>
        </w:rPr>
      </w:pPr>
      <w:r>
        <w:rPr>
          <w:b/>
          <w:bCs/>
          <w:sz w:val="56"/>
          <w:szCs w:val="56"/>
        </w:rPr>
        <w:t>CSCE</w:t>
      </w:r>
      <w:r w:rsidR="00D33289">
        <w:rPr>
          <w:b/>
          <w:bCs/>
          <w:sz w:val="56"/>
          <w:szCs w:val="56"/>
        </w:rPr>
        <w:t xml:space="preserve"> Budget Narrative – 1</w:t>
      </w:r>
      <w:r w:rsidR="00D33289" w:rsidRPr="00D33289">
        <w:rPr>
          <w:b/>
          <w:bCs/>
          <w:sz w:val="56"/>
          <w:szCs w:val="56"/>
          <w:vertAlign w:val="superscript"/>
        </w:rPr>
        <w:t>st</w:t>
      </w:r>
      <w:r w:rsidR="00D33289">
        <w:rPr>
          <w:b/>
          <w:bCs/>
          <w:sz w:val="56"/>
          <w:szCs w:val="56"/>
        </w:rPr>
        <w:t xml:space="preserve"> Interim</w:t>
      </w:r>
    </w:p>
    <w:p w14:paraId="1E9BC3EE" w14:textId="493F2DB7" w:rsidR="00EA70A1" w:rsidRDefault="00EA70A1">
      <w:r>
        <w:t>Interim reports are submitted at least twice during each fiscal year to provide an update on the district’s financial condition.  The first report, First Interim, covers the period ending October 31</w:t>
      </w:r>
      <w:r w:rsidRPr="00EA70A1">
        <w:rPr>
          <w:vertAlign w:val="superscript"/>
        </w:rPr>
        <w:t>st</w:t>
      </w:r>
      <w:r>
        <w:t>.  The second report, Second Interim, co</w:t>
      </w:r>
      <w:r w:rsidR="00BF54C1">
        <w:t>v</w:t>
      </w:r>
      <w:r>
        <w:t>ers the period ending January 31</w:t>
      </w:r>
      <w:r w:rsidRPr="00EA70A1">
        <w:rPr>
          <w:vertAlign w:val="superscript"/>
        </w:rPr>
        <w:t>st</w:t>
      </w:r>
      <w:r>
        <w:t xml:space="preserve">.  The governing board must approve each interim report no later than 45 days after the close of each reporting period.  For each interim report, schools must certify their ability </w:t>
      </w:r>
      <w:r w:rsidR="00BF54C1">
        <w:t>to</w:t>
      </w:r>
      <w:r>
        <w:t xml:space="preserve"> meet their obligations for the current and subsequent two fiscal years.</w:t>
      </w:r>
    </w:p>
    <w:p w14:paraId="1CCF5E3C" w14:textId="7C9BC9CD" w:rsidR="00EA70A1" w:rsidRDefault="00EA70A1">
      <w:r>
        <w:t xml:space="preserve">The </w:t>
      </w:r>
      <w:r w:rsidR="003F6059">
        <w:t>2023/24</w:t>
      </w:r>
      <w:r>
        <w:t xml:space="preserve"> </w:t>
      </w:r>
      <w:r w:rsidR="00D33289">
        <w:t>First</w:t>
      </w:r>
      <w:r w:rsidR="00B30C47">
        <w:t xml:space="preserve"> </w:t>
      </w:r>
      <w:r>
        <w:t xml:space="preserve">Interim budget certification is POSITIVE. Projections indicate that the </w:t>
      </w:r>
      <w:r w:rsidR="00086588">
        <w:t>school</w:t>
      </w:r>
      <w:r>
        <w:t xml:space="preserve"> will be able to meet its financial obligations for the current and subsequent two fiscal years.</w:t>
      </w:r>
    </w:p>
    <w:p w14:paraId="2D0AAF37" w14:textId="6A2A6664" w:rsidR="00EA70A1" w:rsidRDefault="00EA70A1">
      <w:r>
        <w:t>The interim budget includes projected revenues and expenditures for the remainder of the school year which are based upon the budget assumptions as indicated below</w:t>
      </w:r>
      <w:r w:rsidR="00BF54C1">
        <w:t xml:space="preserve"> along with the use of School Services Dartboard for revenue and expense projections</w:t>
      </w:r>
      <w:r>
        <w:t>. Actual revenues and expenditures have been reviewed and any budget revisions made as a result are detailed below.</w:t>
      </w:r>
    </w:p>
    <w:p w14:paraId="77A6F399" w14:textId="29DD8CD7" w:rsidR="00C0645C" w:rsidRPr="00C0645C" w:rsidRDefault="00C0645C">
      <w:pPr>
        <w:rPr>
          <w:b/>
          <w:bCs/>
          <w:sz w:val="40"/>
          <w:szCs w:val="40"/>
        </w:rPr>
      </w:pPr>
      <w:r w:rsidRPr="00C0645C">
        <w:rPr>
          <w:b/>
          <w:bCs/>
          <w:sz w:val="40"/>
          <w:szCs w:val="40"/>
        </w:rPr>
        <w:t>Enrollment/ADA</w:t>
      </w:r>
    </w:p>
    <w:p w14:paraId="475A07DD" w14:textId="08B02889" w:rsidR="00A962E2" w:rsidRDefault="00A962E2">
      <w:r>
        <w:t xml:space="preserve">Enrollment: </w:t>
      </w:r>
      <w:r w:rsidR="00850CBE">
        <w:tab/>
      </w:r>
      <w:r w:rsidR="00492711">
        <w:t>185</w:t>
      </w:r>
    </w:p>
    <w:p w14:paraId="3370CA81" w14:textId="0F9EA44A" w:rsidR="00C0645C" w:rsidRDefault="00C0645C">
      <w:r>
        <w:t>ADA</w:t>
      </w:r>
      <w:r w:rsidR="00A962E2">
        <w:t xml:space="preserve">: </w:t>
      </w:r>
      <w:r w:rsidR="00850CBE">
        <w:tab/>
      </w:r>
      <w:r w:rsidR="00850CBE">
        <w:tab/>
        <w:t>166.50</w:t>
      </w:r>
      <w:r w:rsidR="00850CBE">
        <w:tab/>
        <w:t>(90% Average Daily Attendance)</w:t>
      </w:r>
    </w:p>
    <w:p w14:paraId="60300180" w14:textId="77777777" w:rsidR="00EA70A1" w:rsidRDefault="00EA70A1"/>
    <w:p w14:paraId="748B0355" w14:textId="140BB883" w:rsidR="00EA70A1" w:rsidRPr="005E5188" w:rsidRDefault="00EA70A1">
      <w:pPr>
        <w:rPr>
          <w:b/>
          <w:bCs/>
          <w:sz w:val="40"/>
          <w:szCs w:val="40"/>
        </w:rPr>
      </w:pPr>
      <w:r w:rsidRPr="005E5188">
        <w:rPr>
          <w:b/>
          <w:bCs/>
          <w:sz w:val="40"/>
          <w:szCs w:val="40"/>
        </w:rPr>
        <w:t>Revenue</w:t>
      </w:r>
    </w:p>
    <w:p w14:paraId="20B22AF8" w14:textId="739BC48F" w:rsidR="00EA70A1" w:rsidRDefault="00EA70A1">
      <w:r>
        <w:t xml:space="preserve">Description of Changes from </w:t>
      </w:r>
      <w:r w:rsidR="00EA41D7">
        <w:t>Budget Development</w:t>
      </w:r>
      <w:r w:rsidR="00EE7DCB">
        <w:t xml:space="preserve"> (July 2023)</w:t>
      </w:r>
      <w:r>
        <w:tab/>
      </w:r>
      <w:r>
        <w:tab/>
      </w:r>
      <w:r>
        <w:tab/>
        <w:t>Increase (Decrease)</w:t>
      </w:r>
    </w:p>
    <w:p w14:paraId="282C198C" w14:textId="4AA85B7C" w:rsidR="00E47A0A" w:rsidRDefault="00E47A0A" w:rsidP="005E5188">
      <w:pPr>
        <w:tabs>
          <w:tab w:val="left" w:pos="1896"/>
        </w:tabs>
        <w:rPr>
          <w:b/>
          <w:bCs/>
        </w:rPr>
      </w:pPr>
      <w:r>
        <w:rPr>
          <w:b/>
          <w:bCs/>
        </w:rPr>
        <w:t>LCFF Revenue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9F6AFF">
        <w:rPr>
          <w:b/>
          <w:bCs/>
        </w:rPr>
        <w:t>(</w:t>
      </w:r>
      <w:r w:rsidR="00BB7D98">
        <w:rPr>
          <w:b/>
          <w:bCs/>
        </w:rPr>
        <w:t>648,464)</w:t>
      </w:r>
    </w:p>
    <w:p w14:paraId="0C222559" w14:textId="1F8F3F3B" w:rsidR="00AA06A0" w:rsidRPr="00AA06A0" w:rsidRDefault="00AA06A0" w:rsidP="005E5188">
      <w:pPr>
        <w:tabs>
          <w:tab w:val="left" w:pos="1896"/>
        </w:tabs>
      </w:pPr>
      <w:r w:rsidRPr="00AA06A0">
        <w:t>This is due to the reduced enrollment.</w:t>
      </w:r>
    </w:p>
    <w:p w14:paraId="2246B9DE" w14:textId="4363AC8A" w:rsidR="00EA70A1" w:rsidRDefault="00EA70A1" w:rsidP="005E5188">
      <w:pPr>
        <w:tabs>
          <w:tab w:val="left" w:pos="1896"/>
        </w:tabs>
      </w:pPr>
      <w:r w:rsidRPr="00D355C8">
        <w:rPr>
          <w:b/>
          <w:bCs/>
        </w:rPr>
        <w:t>Federal Revenue</w:t>
      </w:r>
      <w:r w:rsidR="005E5188">
        <w:tab/>
      </w:r>
      <w:r w:rsidR="005E5188">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BB7D98">
        <w:rPr>
          <w:b/>
          <w:bCs/>
        </w:rPr>
        <w:t>(28,969)</w:t>
      </w:r>
    </w:p>
    <w:p w14:paraId="358DE32E" w14:textId="25785144" w:rsidR="00D042B1" w:rsidRDefault="00B30C47">
      <w:r>
        <w:t xml:space="preserve">Federal Revenue </w:t>
      </w:r>
      <w:r w:rsidR="007D0F73">
        <w:t>decreased</w:t>
      </w:r>
      <w:r>
        <w:t xml:space="preserve"> </w:t>
      </w:r>
      <w:r w:rsidR="00F04D42">
        <w:t>in Title I, II</w:t>
      </w:r>
      <w:r w:rsidR="00BB7D98">
        <w:t xml:space="preserve"> and III</w:t>
      </w:r>
      <w:r w:rsidR="00F04D42">
        <w:t xml:space="preserve"> </w:t>
      </w:r>
      <w:r w:rsidR="006B33FB">
        <w:t xml:space="preserve">based on </w:t>
      </w:r>
      <w:r w:rsidR="00BB7D98">
        <w:t>projected lower enrollment.</w:t>
      </w:r>
    </w:p>
    <w:p w14:paraId="61607673" w14:textId="4B9BB63B" w:rsidR="00EA70A1" w:rsidRDefault="00EA70A1">
      <w:r w:rsidRPr="00D355C8">
        <w:rPr>
          <w:b/>
          <w:bCs/>
        </w:rPr>
        <w:t>State Revenue</w:t>
      </w:r>
      <w:r w:rsidR="005E5188" w:rsidRPr="005E5188">
        <w:rPr>
          <w:b/>
          <w:bCs/>
        </w:rPr>
        <w:tab/>
      </w:r>
      <w:r w:rsidR="005E5188" w:rsidRPr="005E5188">
        <w:rPr>
          <w:b/>
          <w:bCs/>
        </w:rPr>
        <w:tab/>
      </w:r>
      <w:r w:rsidR="005E5188" w:rsidRPr="005E5188">
        <w:rPr>
          <w:b/>
          <w:bCs/>
        </w:rPr>
        <w:tab/>
      </w:r>
      <w:r w:rsid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B25D9D">
        <w:rPr>
          <w:b/>
          <w:bCs/>
        </w:rPr>
        <w:t>$</w:t>
      </w:r>
      <w:r w:rsidR="00BB7D98">
        <w:rPr>
          <w:b/>
          <w:bCs/>
        </w:rPr>
        <w:t>19,</w:t>
      </w:r>
      <w:r w:rsidR="00681587">
        <w:rPr>
          <w:b/>
          <w:bCs/>
        </w:rPr>
        <w:t>182</w:t>
      </w:r>
    </w:p>
    <w:p w14:paraId="0504C9BB" w14:textId="7989F5BB" w:rsidR="00D355C8" w:rsidRDefault="00190C52">
      <w:r>
        <w:t xml:space="preserve">State Revenues </w:t>
      </w:r>
      <w:r w:rsidR="00681587">
        <w:t xml:space="preserve">decreased in Special </w:t>
      </w:r>
      <w:r w:rsidR="008437EA">
        <w:t>Education but</w:t>
      </w:r>
      <w:r w:rsidR="00681587">
        <w:t xml:space="preserve"> increased in One Time Funding</w:t>
      </w:r>
      <w:r w:rsidR="00B25D9D">
        <w:t>.</w:t>
      </w:r>
    </w:p>
    <w:p w14:paraId="099F7B32" w14:textId="1F3FE826" w:rsidR="00EA70A1" w:rsidRDefault="00EA70A1">
      <w:pPr>
        <w:rPr>
          <w:b/>
          <w:bCs/>
        </w:rPr>
      </w:pPr>
      <w:r w:rsidRPr="00D355C8">
        <w:rPr>
          <w:b/>
          <w:bCs/>
        </w:rPr>
        <w:t>Other Local Revenue</w:t>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8437EA">
        <w:rPr>
          <w:b/>
          <w:bCs/>
        </w:rPr>
        <w:t>(100,000)</w:t>
      </w:r>
    </w:p>
    <w:p w14:paraId="7C86E5D3" w14:textId="75D548B9" w:rsidR="008437EA" w:rsidRPr="007D2AC7" w:rsidRDefault="008437EA">
      <w:r w:rsidRPr="007D2AC7">
        <w:t>Local Fundraising was decreased</w:t>
      </w:r>
      <w:r w:rsidR="007D2AC7" w:rsidRPr="007D2AC7">
        <w:t xml:space="preserve"> based on current projections.</w:t>
      </w:r>
    </w:p>
    <w:p w14:paraId="4A02AFA7" w14:textId="42BBEC38" w:rsidR="00EA70A1" w:rsidRPr="00DC6BA0" w:rsidRDefault="002726B9">
      <w:pPr>
        <w:rPr>
          <w:b/>
          <w:bCs/>
          <w:sz w:val="40"/>
          <w:szCs w:val="40"/>
        </w:rPr>
      </w:pPr>
      <w:r>
        <w:rPr>
          <w:b/>
          <w:bCs/>
          <w:sz w:val="40"/>
          <w:szCs w:val="40"/>
        </w:rPr>
        <w:br w:type="page"/>
      </w:r>
      <w:r w:rsidR="00EA70A1" w:rsidRPr="00DC6BA0">
        <w:rPr>
          <w:b/>
          <w:bCs/>
          <w:sz w:val="40"/>
          <w:szCs w:val="40"/>
        </w:rPr>
        <w:lastRenderedPageBreak/>
        <w:t>Expenditures:</w:t>
      </w:r>
    </w:p>
    <w:p w14:paraId="4335A076" w14:textId="450A7849" w:rsidR="00EA70A1" w:rsidRDefault="00EA70A1" w:rsidP="00EA70A1">
      <w:r>
        <w:t>Description of Changes from</w:t>
      </w:r>
      <w:r w:rsidR="00190C52">
        <w:t xml:space="preserve"> 1</w:t>
      </w:r>
      <w:r w:rsidR="00190C52" w:rsidRPr="00190C52">
        <w:rPr>
          <w:vertAlign w:val="superscript"/>
        </w:rPr>
        <w:t>st</w:t>
      </w:r>
      <w:r w:rsidR="00190C52">
        <w:t xml:space="preserve"> Interim</w:t>
      </w:r>
      <w:r w:rsidR="00B77619">
        <w:tab/>
      </w:r>
      <w:r>
        <w:tab/>
      </w:r>
      <w:r>
        <w:tab/>
      </w:r>
      <w:r>
        <w:tab/>
      </w:r>
      <w:r>
        <w:tab/>
      </w:r>
      <w:r>
        <w:tab/>
        <w:t>Increase (Decrease)</w:t>
      </w:r>
    </w:p>
    <w:p w14:paraId="5606E536" w14:textId="170D25BD" w:rsidR="00EA70A1" w:rsidRDefault="00BF54C1">
      <w:pPr>
        <w:rPr>
          <w:b/>
          <w:bCs/>
        </w:rPr>
      </w:pPr>
      <w:r w:rsidRPr="00E52B96">
        <w:rPr>
          <w:b/>
          <w:bCs/>
        </w:rPr>
        <w:t>Salaries/Benefits</w:t>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7D2AC7">
        <w:rPr>
          <w:b/>
          <w:bCs/>
        </w:rPr>
        <w:t>(</w:t>
      </w:r>
      <w:r w:rsidR="005E0183">
        <w:rPr>
          <w:b/>
          <w:bCs/>
        </w:rPr>
        <w:t>438,275.52)</w:t>
      </w:r>
    </w:p>
    <w:p w14:paraId="252B7C23" w14:textId="3AD1668F" w:rsidR="00EA70A1" w:rsidRDefault="00EA70A1">
      <w:pPr>
        <w:rPr>
          <w:b/>
          <w:bCs/>
        </w:rPr>
      </w:pPr>
      <w:r w:rsidRPr="00E52B96">
        <w:rPr>
          <w:b/>
          <w:bCs/>
        </w:rPr>
        <w:t>Books and Supplies</w:t>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2F668C">
        <w:rPr>
          <w:b/>
          <w:bCs/>
        </w:rPr>
        <w:t>$</w:t>
      </w:r>
      <w:r w:rsidR="006A06BE">
        <w:rPr>
          <w:b/>
          <w:bCs/>
        </w:rPr>
        <w:t>31,893.96</w:t>
      </w:r>
    </w:p>
    <w:p w14:paraId="501D2B6A" w14:textId="30BA947C" w:rsidR="0053215F" w:rsidRDefault="0053215F" w:rsidP="0053215F">
      <w:pPr>
        <w:rPr>
          <w:b/>
          <w:bCs/>
        </w:rPr>
      </w:pPr>
      <w:r>
        <w:t>This increase is based on</w:t>
      </w:r>
      <w:r w:rsidRPr="008F5E58">
        <w:t xml:space="preserve"> projections from actuals.  It is a result of </w:t>
      </w:r>
      <w:r>
        <w:t>an increase</w:t>
      </w:r>
      <w:r w:rsidRPr="008F5E58">
        <w:t xml:space="preserve"> in</w:t>
      </w:r>
      <w:r>
        <w:t xml:space="preserve"> </w:t>
      </w:r>
      <w:r w:rsidR="00415E37">
        <w:t>software costs and</w:t>
      </w:r>
      <w:r w:rsidR="006F52E5">
        <w:t xml:space="preserve"> an increase in projected food costs.</w:t>
      </w:r>
    </w:p>
    <w:p w14:paraId="584A8920" w14:textId="0F8289AA" w:rsidR="00EA70A1" w:rsidRDefault="00EA70A1">
      <w:pPr>
        <w:rPr>
          <w:b/>
          <w:bCs/>
        </w:rPr>
      </w:pPr>
      <w:r w:rsidRPr="00E52B96">
        <w:rPr>
          <w:b/>
          <w:bCs/>
        </w:rPr>
        <w:t>Services and Other Operating Expenditures</w:t>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E5188" w:rsidRPr="005E5188">
        <w:rPr>
          <w:b/>
          <w:bCs/>
        </w:rPr>
        <w:tab/>
      </w:r>
      <w:r w:rsidR="005C19B5">
        <w:rPr>
          <w:b/>
          <w:bCs/>
        </w:rPr>
        <w:t>$</w:t>
      </w:r>
      <w:r w:rsidR="00EC4E11">
        <w:rPr>
          <w:b/>
          <w:bCs/>
        </w:rPr>
        <w:t>309,736.79</w:t>
      </w:r>
    </w:p>
    <w:p w14:paraId="3F81AC74" w14:textId="7FAC9470" w:rsidR="00253C2E" w:rsidRPr="00A137E7" w:rsidRDefault="0053215F" w:rsidP="00253C2E">
      <w:pPr>
        <w:spacing w:after="0"/>
      </w:pPr>
      <w:r w:rsidRPr="00A137E7">
        <w:t xml:space="preserve">This increase is based on an increase to </w:t>
      </w:r>
      <w:r w:rsidR="00253C2E">
        <w:t>Professional Consulting primarily our SPED</w:t>
      </w:r>
      <w:r w:rsidR="00415E37">
        <w:t xml:space="preserve"> </w:t>
      </w:r>
      <w:r w:rsidR="00253C2E">
        <w:t>Consultants.</w:t>
      </w:r>
      <w:r w:rsidR="00415E37">
        <w:t xml:space="preserve"> IA roles that were filled by consulting agencies have been moved from personnel to this line item for the remainder of the school year.</w:t>
      </w:r>
    </w:p>
    <w:p w14:paraId="734BF271" w14:textId="77777777" w:rsidR="00253C2E" w:rsidRDefault="00253C2E" w:rsidP="00E52B96">
      <w:pPr>
        <w:rPr>
          <w:b/>
          <w:bCs/>
        </w:rPr>
      </w:pPr>
    </w:p>
    <w:p w14:paraId="6B0DAEAD" w14:textId="164A871C" w:rsidR="00E52B96" w:rsidRDefault="00E52B96" w:rsidP="00E52B96">
      <w:pPr>
        <w:rPr>
          <w:b/>
          <w:bCs/>
        </w:rPr>
      </w:pPr>
      <w:r>
        <w:rPr>
          <w:b/>
          <w:bCs/>
        </w:rPr>
        <w:t>Other Outgo</w:t>
      </w:r>
      <w:r>
        <w:rPr>
          <w:b/>
          <w:bCs/>
        </w:rPr>
        <w:tab/>
      </w:r>
      <w:r>
        <w:rPr>
          <w:b/>
          <w:bCs/>
        </w:rPr>
        <w:tab/>
      </w:r>
      <w:r>
        <w:rPr>
          <w:b/>
          <w:bCs/>
        </w:rPr>
        <w:tab/>
      </w:r>
      <w:r>
        <w:rPr>
          <w:b/>
          <w:bCs/>
        </w:rPr>
        <w:tab/>
      </w:r>
      <w:r w:rsidRPr="005E5188">
        <w:rPr>
          <w:b/>
          <w:bCs/>
        </w:rPr>
        <w:tab/>
      </w:r>
      <w:r w:rsidRPr="005E5188">
        <w:rPr>
          <w:b/>
          <w:bCs/>
        </w:rPr>
        <w:tab/>
      </w:r>
      <w:r w:rsidRPr="005E5188">
        <w:rPr>
          <w:b/>
          <w:bCs/>
        </w:rPr>
        <w:tab/>
      </w:r>
      <w:r w:rsidRPr="005E5188">
        <w:rPr>
          <w:b/>
          <w:bCs/>
        </w:rPr>
        <w:tab/>
      </w:r>
      <w:r w:rsidRPr="005E5188">
        <w:rPr>
          <w:b/>
          <w:bCs/>
        </w:rPr>
        <w:tab/>
      </w:r>
      <w:r w:rsidRPr="005E5188">
        <w:rPr>
          <w:b/>
          <w:bCs/>
        </w:rPr>
        <w:tab/>
      </w:r>
      <w:r w:rsidR="00253C2E">
        <w:rPr>
          <w:b/>
          <w:bCs/>
        </w:rPr>
        <w:t>(58,643)</w:t>
      </w:r>
    </w:p>
    <w:p w14:paraId="34C01C16" w14:textId="54408C4C" w:rsidR="00253C2E" w:rsidRPr="00253C2E" w:rsidRDefault="00253C2E" w:rsidP="00E52B96">
      <w:r w:rsidRPr="00253C2E">
        <w:t xml:space="preserve">We had budgeted for depreciation, but it has been fully recognized. </w:t>
      </w:r>
    </w:p>
    <w:p w14:paraId="2F22F494" w14:textId="77777777" w:rsidR="00E52B96" w:rsidRDefault="00E52B96"/>
    <w:p w14:paraId="69CAACFE" w14:textId="73640190" w:rsidR="00EA70A1" w:rsidRPr="00722FDA" w:rsidRDefault="00EA70A1">
      <w:pPr>
        <w:rPr>
          <w:b/>
          <w:bCs/>
          <w:sz w:val="40"/>
          <w:szCs w:val="40"/>
        </w:rPr>
      </w:pPr>
      <w:r w:rsidRPr="00722FDA">
        <w:rPr>
          <w:b/>
          <w:bCs/>
          <w:sz w:val="40"/>
          <w:szCs w:val="40"/>
        </w:rPr>
        <w:t>FUND BALANCE/RESERVES</w:t>
      </w:r>
    </w:p>
    <w:p w14:paraId="0AB53C4A" w14:textId="5101614C" w:rsidR="00EA70A1" w:rsidRDefault="000B7380">
      <w:pPr>
        <w:rPr>
          <w:b/>
          <w:bCs/>
        </w:rPr>
      </w:pPr>
      <w:r>
        <w:rPr>
          <w:b/>
          <w:bCs/>
        </w:rPr>
        <w:t>Beginning Fund Balance</w:t>
      </w:r>
      <w:r w:rsidR="00722FDA" w:rsidRPr="00722FDA">
        <w:rPr>
          <w:b/>
          <w:bCs/>
        </w:rPr>
        <w:tab/>
      </w:r>
      <w:r w:rsidR="00722FDA" w:rsidRPr="00722FDA">
        <w:rPr>
          <w:b/>
          <w:bCs/>
        </w:rPr>
        <w:tab/>
      </w:r>
      <w:r w:rsidR="00722FDA" w:rsidRPr="00722FDA">
        <w:rPr>
          <w:b/>
          <w:bCs/>
        </w:rPr>
        <w:tab/>
      </w:r>
      <w:r w:rsidR="00722FDA" w:rsidRPr="00722FDA">
        <w:rPr>
          <w:b/>
          <w:bCs/>
        </w:rPr>
        <w:tab/>
      </w:r>
      <w:r w:rsidR="00722FDA" w:rsidRPr="00722FDA">
        <w:rPr>
          <w:b/>
          <w:bCs/>
        </w:rPr>
        <w:tab/>
      </w:r>
      <w:r w:rsidR="00722FDA" w:rsidRPr="00722FDA">
        <w:rPr>
          <w:b/>
          <w:bCs/>
        </w:rPr>
        <w:tab/>
      </w:r>
      <w:r w:rsidR="00C83267">
        <w:rPr>
          <w:b/>
          <w:bCs/>
        </w:rPr>
        <w:tab/>
      </w:r>
      <w:r w:rsidR="00C83267">
        <w:rPr>
          <w:b/>
          <w:bCs/>
        </w:rPr>
        <w:tab/>
      </w:r>
      <w:r w:rsidR="00B602C3">
        <w:rPr>
          <w:b/>
          <w:bCs/>
        </w:rPr>
        <w:t>$</w:t>
      </w:r>
      <w:r w:rsidR="002F4408">
        <w:rPr>
          <w:b/>
          <w:bCs/>
        </w:rPr>
        <w:t>2,094,93</w:t>
      </w:r>
      <w:r w:rsidR="00B15D5F">
        <w:rPr>
          <w:b/>
          <w:bCs/>
        </w:rPr>
        <w:t>7</w:t>
      </w:r>
    </w:p>
    <w:p w14:paraId="5E7811D3" w14:textId="16587A62" w:rsidR="000B7380" w:rsidRDefault="000B7380">
      <w:pPr>
        <w:rPr>
          <w:b/>
          <w:bCs/>
        </w:rPr>
      </w:pPr>
      <w:r>
        <w:rPr>
          <w:b/>
          <w:bCs/>
        </w:rPr>
        <w:t>Excess/(Deficit)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B15D5F">
        <w:rPr>
          <w:b/>
          <w:bCs/>
        </w:rPr>
        <w:t>$ (593,885)</w:t>
      </w:r>
    </w:p>
    <w:p w14:paraId="554289E0" w14:textId="53B5A26F" w:rsidR="000B7380" w:rsidRDefault="000B7380">
      <w:pPr>
        <w:rPr>
          <w:b/>
          <w:bCs/>
        </w:rPr>
      </w:pPr>
      <w:r>
        <w:rPr>
          <w:b/>
          <w:bCs/>
        </w:rPr>
        <w:t>Ending Fund Balance</w:t>
      </w:r>
      <w:r>
        <w:rPr>
          <w:b/>
          <w:bCs/>
        </w:rPr>
        <w:tab/>
      </w:r>
      <w:r>
        <w:rPr>
          <w:b/>
          <w:bCs/>
        </w:rPr>
        <w:tab/>
      </w:r>
      <w:r>
        <w:rPr>
          <w:b/>
          <w:bCs/>
        </w:rPr>
        <w:tab/>
      </w:r>
      <w:r>
        <w:rPr>
          <w:b/>
          <w:bCs/>
        </w:rPr>
        <w:tab/>
      </w:r>
      <w:r>
        <w:rPr>
          <w:b/>
          <w:bCs/>
        </w:rPr>
        <w:tab/>
      </w:r>
      <w:r>
        <w:rPr>
          <w:b/>
          <w:bCs/>
        </w:rPr>
        <w:tab/>
      </w:r>
      <w:r>
        <w:rPr>
          <w:b/>
          <w:bCs/>
        </w:rPr>
        <w:tab/>
      </w:r>
      <w:r>
        <w:rPr>
          <w:b/>
          <w:bCs/>
        </w:rPr>
        <w:tab/>
      </w:r>
      <w:r>
        <w:rPr>
          <w:b/>
          <w:bCs/>
        </w:rPr>
        <w:tab/>
        <w:t>$</w:t>
      </w:r>
      <w:r w:rsidR="00B15D5F">
        <w:rPr>
          <w:b/>
          <w:bCs/>
        </w:rPr>
        <w:t>1,501,052</w:t>
      </w:r>
    </w:p>
    <w:p w14:paraId="2AB38F48" w14:textId="458C7D72" w:rsidR="008F5E58" w:rsidRDefault="008F5E58">
      <w:pPr>
        <w:rPr>
          <w:b/>
          <w:bCs/>
        </w:rPr>
      </w:pPr>
    </w:p>
    <w:p w14:paraId="7C27515F" w14:textId="7B0F3238" w:rsidR="008F5E58" w:rsidRDefault="008F5E58" w:rsidP="008F5E58">
      <w:pPr>
        <w:rPr>
          <w:b/>
          <w:bCs/>
          <w:sz w:val="40"/>
          <w:szCs w:val="40"/>
        </w:rPr>
      </w:pPr>
      <w:r>
        <w:rPr>
          <w:b/>
          <w:bCs/>
          <w:sz w:val="40"/>
          <w:szCs w:val="40"/>
        </w:rPr>
        <w:t>Special Notes:</w:t>
      </w:r>
    </w:p>
    <w:p w14:paraId="39B55269" w14:textId="5FE62682" w:rsidR="008F5E58" w:rsidRPr="00722FDA" w:rsidRDefault="008F5E58">
      <w:pPr>
        <w:rPr>
          <w:b/>
          <w:bCs/>
        </w:rPr>
      </w:pPr>
      <w:r>
        <w:t>It should be noted that EFB include revenues that are expected to be spent this year.  If they are not spent, the revenue will be deferred to next year and the excess amount may decrease based on this deferral.  Revenues will be recognized as they are spent</w:t>
      </w:r>
      <w:r w:rsidR="00C85383">
        <w:t>.</w:t>
      </w:r>
    </w:p>
    <w:p w14:paraId="483D5D9B" w14:textId="0B12F389" w:rsidR="00EA70A1" w:rsidRDefault="00EA70A1"/>
    <w:sectPr w:rsidR="00EA70A1" w:rsidSect="003F60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A1"/>
    <w:rsid w:val="00036775"/>
    <w:rsid w:val="00061C09"/>
    <w:rsid w:val="0007786C"/>
    <w:rsid w:val="00086588"/>
    <w:rsid w:val="000A1C20"/>
    <w:rsid w:val="000A2AFC"/>
    <w:rsid w:val="000B7380"/>
    <w:rsid w:val="000D5C29"/>
    <w:rsid w:val="0015126B"/>
    <w:rsid w:val="00190C52"/>
    <w:rsid w:val="001974E8"/>
    <w:rsid w:val="002220E0"/>
    <w:rsid w:val="002450D6"/>
    <w:rsid w:val="00253C2E"/>
    <w:rsid w:val="002726B9"/>
    <w:rsid w:val="002C355A"/>
    <w:rsid w:val="002C7F35"/>
    <w:rsid w:val="002F4408"/>
    <w:rsid w:val="002F668C"/>
    <w:rsid w:val="003972AD"/>
    <w:rsid w:val="003A386A"/>
    <w:rsid w:val="003F6059"/>
    <w:rsid w:val="00415E37"/>
    <w:rsid w:val="004441B0"/>
    <w:rsid w:val="00464200"/>
    <w:rsid w:val="00474009"/>
    <w:rsid w:val="00492711"/>
    <w:rsid w:val="004B358F"/>
    <w:rsid w:val="004C475E"/>
    <w:rsid w:val="004E6500"/>
    <w:rsid w:val="00514FC0"/>
    <w:rsid w:val="005278D9"/>
    <w:rsid w:val="0053215F"/>
    <w:rsid w:val="0055346E"/>
    <w:rsid w:val="0055687D"/>
    <w:rsid w:val="005B6B01"/>
    <w:rsid w:val="005C19B5"/>
    <w:rsid w:val="005E0183"/>
    <w:rsid w:val="005E5188"/>
    <w:rsid w:val="005E725E"/>
    <w:rsid w:val="00647D7C"/>
    <w:rsid w:val="00681587"/>
    <w:rsid w:val="00692269"/>
    <w:rsid w:val="00695CFE"/>
    <w:rsid w:val="006A06BE"/>
    <w:rsid w:val="006B33FB"/>
    <w:rsid w:val="006F52E5"/>
    <w:rsid w:val="00722FDA"/>
    <w:rsid w:val="007D0F73"/>
    <w:rsid w:val="007D2AC7"/>
    <w:rsid w:val="008437EA"/>
    <w:rsid w:val="00850CBE"/>
    <w:rsid w:val="008A36E8"/>
    <w:rsid w:val="008B644E"/>
    <w:rsid w:val="008F5E58"/>
    <w:rsid w:val="0097566E"/>
    <w:rsid w:val="0098691A"/>
    <w:rsid w:val="009D7C3E"/>
    <w:rsid w:val="009E18CF"/>
    <w:rsid w:val="009E48D6"/>
    <w:rsid w:val="009F229C"/>
    <w:rsid w:val="009F5862"/>
    <w:rsid w:val="009F6AFF"/>
    <w:rsid w:val="00A137E7"/>
    <w:rsid w:val="00A411A4"/>
    <w:rsid w:val="00A56B25"/>
    <w:rsid w:val="00A60E04"/>
    <w:rsid w:val="00A91146"/>
    <w:rsid w:val="00A962E2"/>
    <w:rsid w:val="00AA06A0"/>
    <w:rsid w:val="00AC1C90"/>
    <w:rsid w:val="00AC6D3D"/>
    <w:rsid w:val="00AD3E37"/>
    <w:rsid w:val="00AD4A93"/>
    <w:rsid w:val="00AF2708"/>
    <w:rsid w:val="00B15D5F"/>
    <w:rsid w:val="00B25D9D"/>
    <w:rsid w:val="00B30C47"/>
    <w:rsid w:val="00B602C3"/>
    <w:rsid w:val="00B77149"/>
    <w:rsid w:val="00B77619"/>
    <w:rsid w:val="00BA1E93"/>
    <w:rsid w:val="00BB0C89"/>
    <w:rsid w:val="00BB7378"/>
    <w:rsid w:val="00BB7D98"/>
    <w:rsid w:val="00BD062A"/>
    <w:rsid w:val="00BF120A"/>
    <w:rsid w:val="00BF54C1"/>
    <w:rsid w:val="00C0002B"/>
    <w:rsid w:val="00C0645C"/>
    <w:rsid w:val="00C27EDE"/>
    <w:rsid w:val="00C41298"/>
    <w:rsid w:val="00C533CF"/>
    <w:rsid w:val="00C71D3A"/>
    <w:rsid w:val="00C83267"/>
    <w:rsid w:val="00C85383"/>
    <w:rsid w:val="00C92E94"/>
    <w:rsid w:val="00CF14C6"/>
    <w:rsid w:val="00D042B1"/>
    <w:rsid w:val="00D32C52"/>
    <w:rsid w:val="00D33289"/>
    <w:rsid w:val="00D355C8"/>
    <w:rsid w:val="00D41639"/>
    <w:rsid w:val="00D974EC"/>
    <w:rsid w:val="00DC6BA0"/>
    <w:rsid w:val="00DD1DCB"/>
    <w:rsid w:val="00E47A0A"/>
    <w:rsid w:val="00E52B96"/>
    <w:rsid w:val="00E5320D"/>
    <w:rsid w:val="00E77970"/>
    <w:rsid w:val="00EA41D7"/>
    <w:rsid w:val="00EA70A1"/>
    <w:rsid w:val="00EC4E11"/>
    <w:rsid w:val="00EE7DCB"/>
    <w:rsid w:val="00EF1A9A"/>
    <w:rsid w:val="00F04D42"/>
    <w:rsid w:val="00F674B5"/>
    <w:rsid w:val="00F72117"/>
    <w:rsid w:val="00F749A5"/>
    <w:rsid w:val="00FF7424"/>
    <w:rsid w:val="20D9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3124"/>
  <w15:chartTrackingRefBased/>
  <w15:docId w15:val="{DBE3414A-C812-40E6-A5EC-75538EE5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519abe-6cab-4e7d-a0d4-6aff8cfcd779">
      <Terms xmlns="http://schemas.microsoft.com/office/infopath/2007/PartnerControls"/>
    </lcf76f155ced4ddcb4097134ff3c332f>
    <TaxCatchAll xmlns="9461095c-9215-420a-9a3c-b94b3e0179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4B250B178914AB82927271531B71A" ma:contentTypeVersion="16" ma:contentTypeDescription="Create a new document." ma:contentTypeScope="" ma:versionID="12a464dd98fd444fcd260710533f511d">
  <xsd:schema xmlns:xsd="http://www.w3.org/2001/XMLSchema" xmlns:xs="http://www.w3.org/2001/XMLSchema" xmlns:p="http://schemas.microsoft.com/office/2006/metadata/properties" xmlns:ns2="3d519abe-6cab-4e7d-a0d4-6aff8cfcd779" xmlns:ns3="9461095c-9215-420a-9a3c-b94b3e0179d8" targetNamespace="http://schemas.microsoft.com/office/2006/metadata/properties" ma:root="true" ma:fieldsID="2eb51b800a536386a775354161810ea6" ns2:_="" ns3:_="">
    <xsd:import namespace="3d519abe-6cab-4e7d-a0d4-6aff8cfcd779"/>
    <xsd:import namespace="9461095c-9215-420a-9a3c-b94b3e017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19abe-6cab-4e7d-a0d4-6aff8cfc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8cd105-c221-4115-850c-16ef61af48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1095c-9215-420a-9a3c-b94b3e0179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21ccea-ddef-4f21-9a31-d45292b3b8ad}" ma:internalName="TaxCatchAll" ma:showField="CatchAllData" ma:web="9461095c-9215-420a-9a3c-b94b3e017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833CD-7BD5-4ACD-A478-8FD9DD1E81B0}">
  <ds:schemaRefs>
    <ds:schemaRef ds:uri="http://schemas.microsoft.com/office/2006/metadata/properties"/>
    <ds:schemaRef ds:uri="http://schemas.microsoft.com/office/infopath/2007/PartnerControls"/>
    <ds:schemaRef ds:uri="3d519abe-6cab-4e7d-a0d4-6aff8cfcd779"/>
    <ds:schemaRef ds:uri="9461095c-9215-420a-9a3c-b94b3e0179d8"/>
  </ds:schemaRefs>
</ds:datastoreItem>
</file>

<file path=customXml/itemProps2.xml><?xml version="1.0" encoding="utf-8"?>
<ds:datastoreItem xmlns:ds="http://schemas.openxmlformats.org/officeDocument/2006/customXml" ds:itemID="{477A3225-D1F1-4853-843F-144171EE46AE}">
  <ds:schemaRefs>
    <ds:schemaRef ds:uri="http://schemas.microsoft.com/sharepoint/v3/contenttype/forms"/>
  </ds:schemaRefs>
</ds:datastoreItem>
</file>

<file path=customXml/itemProps3.xml><?xml version="1.0" encoding="utf-8"?>
<ds:datastoreItem xmlns:ds="http://schemas.openxmlformats.org/officeDocument/2006/customXml" ds:itemID="{91F6D27B-72E1-49F9-B674-C91F98BB7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19abe-6cab-4e7d-a0d4-6aff8cfcd779"/>
    <ds:schemaRef ds:uri="9461095c-9215-420a-9a3c-b94b3e017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Peters</dc:creator>
  <cp:keywords/>
  <dc:description/>
  <cp:lastModifiedBy>Kimberly Palmore</cp:lastModifiedBy>
  <cp:revision>6</cp:revision>
  <cp:lastPrinted>2022-12-02T17:02:00Z</cp:lastPrinted>
  <dcterms:created xsi:type="dcterms:W3CDTF">2023-12-13T01:16:00Z</dcterms:created>
  <dcterms:modified xsi:type="dcterms:W3CDTF">2023-12-13T01:36:00Z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0x0101008284B250B178914AB82927271531B71A</vt:lpwstr>
  </property>
  <property fmtid="{D5CDD505-2E9C-101B-9397-08002B2CF9AE}" pid="3" name="MediaServiceImageTags">
    <vt:lpwstr/>
  </property>
</Properties>
</file>