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09B18" w14:textId="3AA89D65" w:rsidR="00056BFE" w:rsidRPr="00DD2508" w:rsidRDefault="00E515AF" w:rsidP="00056BFE">
      <w:pPr>
        <w:widowControl w:val="0"/>
        <w:jc w:val="center"/>
        <w:rPr>
          <w:rFonts w:ascii="Calibri" w:hAnsi="Calibri"/>
          <w:b/>
          <w:sz w:val="56"/>
          <w:szCs w:val="56"/>
          <w:highlight w:val="yellow"/>
        </w:rPr>
      </w:pPr>
      <w:r>
        <w:rPr>
          <w:rFonts w:ascii="Franklin Gothic Book" w:hAnsi="Franklin Gothic Book"/>
          <w:b/>
          <w:noProof/>
          <w:sz w:val="20"/>
        </w:rPr>
        <w:drawing>
          <wp:anchor distT="0" distB="0" distL="114300" distR="114300" simplePos="0" relativeHeight="251672576" behindDoc="0" locked="0" layoutInCell="1" allowOverlap="1" wp14:anchorId="36F9228E" wp14:editId="71AB0680">
            <wp:simplePos x="0" y="0"/>
            <wp:positionH relativeFrom="margin">
              <wp:align>center</wp:align>
            </wp:positionH>
            <wp:positionV relativeFrom="paragraph">
              <wp:posOffset>201930</wp:posOffset>
            </wp:positionV>
            <wp:extent cx="3270626" cy="505433"/>
            <wp:effectExtent l="0" t="0" r="0" b="952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0626" cy="505433"/>
                    </a:xfrm>
                    <a:prstGeom prst="rect">
                      <a:avLst/>
                    </a:prstGeom>
                  </pic:spPr>
                </pic:pic>
              </a:graphicData>
            </a:graphic>
            <wp14:sizeRelH relativeFrom="margin">
              <wp14:pctWidth>0</wp14:pctWidth>
            </wp14:sizeRelH>
            <wp14:sizeRelV relativeFrom="margin">
              <wp14:pctHeight>0</wp14:pctHeight>
            </wp14:sizeRelV>
          </wp:anchor>
        </w:drawing>
      </w:r>
    </w:p>
    <w:p w14:paraId="1222737D" w14:textId="50FC0CF1" w:rsidR="00056BFE" w:rsidRPr="00DD2508" w:rsidRDefault="00056BFE" w:rsidP="00056BFE">
      <w:pPr>
        <w:widowControl w:val="0"/>
        <w:jc w:val="center"/>
        <w:rPr>
          <w:rFonts w:ascii="Calibri" w:hAnsi="Calibri"/>
          <w:b/>
          <w:sz w:val="24"/>
          <w:szCs w:val="24"/>
        </w:rPr>
      </w:pPr>
    </w:p>
    <w:tbl>
      <w:tblPr>
        <w:tblpPr w:leftFromText="180" w:rightFromText="180" w:vertAnchor="page" w:horzAnchor="margin" w:tblpXSpec="center" w:tblpY="2725"/>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308"/>
      </w:tblGrid>
      <w:tr w:rsidR="00E515AF" w:rsidRPr="00DD2508" w14:paraId="500510A2" w14:textId="77777777" w:rsidTr="00E515AF">
        <w:trPr>
          <w:trHeight w:val="2416"/>
        </w:trPr>
        <w:tc>
          <w:tcPr>
            <w:tcW w:w="7308" w:type="dxa"/>
            <w:vAlign w:val="center"/>
          </w:tcPr>
          <w:p w14:paraId="573CBBFF" w14:textId="7C1D7041" w:rsidR="00E515AF" w:rsidRPr="00E515AF" w:rsidRDefault="00E515AF" w:rsidP="00E515AF">
            <w:pPr>
              <w:widowControl w:val="0"/>
              <w:spacing w:after="0"/>
              <w:ind w:left="-90" w:right="-108"/>
              <w:jc w:val="center"/>
              <w:rPr>
                <w:rFonts w:ascii="Calibri" w:hAnsi="Calibri"/>
                <w:b/>
                <w:sz w:val="48"/>
                <w:szCs w:val="48"/>
              </w:rPr>
            </w:pPr>
            <w:r w:rsidRPr="00E515AF">
              <w:rPr>
                <w:rFonts w:ascii="Calibri" w:hAnsi="Calibri"/>
                <w:b/>
                <w:sz w:val="48"/>
                <w:szCs w:val="48"/>
              </w:rPr>
              <w:t>True North Troy Prep Charter School</w:t>
            </w:r>
          </w:p>
        </w:tc>
      </w:tr>
      <w:tr w:rsidR="00E515AF" w:rsidRPr="00DD2508" w14:paraId="0AAF4792" w14:textId="77777777" w:rsidTr="00E515AF">
        <w:trPr>
          <w:trHeight w:val="1706"/>
        </w:trPr>
        <w:tc>
          <w:tcPr>
            <w:tcW w:w="7308" w:type="dxa"/>
            <w:vAlign w:val="center"/>
          </w:tcPr>
          <w:p w14:paraId="6D5BFF60" w14:textId="77777777" w:rsidR="00E515AF" w:rsidRPr="00DE3E14" w:rsidRDefault="00E515AF" w:rsidP="00E515AF">
            <w:pPr>
              <w:widowControl w:val="0"/>
              <w:spacing w:after="0"/>
              <w:ind w:left="-90" w:right="-108"/>
              <w:jc w:val="center"/>
              <w:rPr>
                <w:rFonts w:ascii="Calibri" w:hAnsi="Calibri"/>
                <w:b/>
                <w:bCs/>
                <w:sz w:val="48"/>
                <w:szCs w:val="48"/>
              </w:rPr>
            </w:pPr>
            <w:r>
              <w:rPr>
                <w:rFonts w:ascii="Calibri" w:hAnsi="Calibri"/>
                <w:b/>
                <w:bCs/>
                <w:sz w:val="48"/>
                <w:szCs w:val="48"/>
              </w:rPr>
              <w:t>2020</w:t>
            </w:r>
            <w:r w:rsidRPr="52172790">
              <w:rPr>
                <w:rFonts w:ascii="Calibri" w:hAnsi="Calibri"/>
                <w:b/>
                <w:bCs/>
                <w:sz w:val="48"/>
                <w:szCs w:val="48"/>
              </w:rPr>
              <w:t>-</w:t>
            </w:r>
            <w:r>
              <w:rPr>
                <w:rFonts w:ascii="Calibri" w:hAnsi="Calibri"/>
                <w:b/>
                <w:bCs/>
                <w:sz w:val="48"/>
                <w:szCs w:val="48"/>
              </w:rPr>
              <w:t>21</w:t>
            </w:r>
            <w:r w:rsidRPr="52172790">
              <w:rPr>
                <w:rFonts w:ascii="Calibri" w:hAnsi="Calibri"/>
                <w:b/>
                <w:bCs/>
                <w:sz w:val="48"/>
                <w:szCs w:val="48"/>
              </w:rPr>
              <w:t xml:space="preserve"> ACCOUNTABILITY PLAN</w:t>
            </w:r>
          </w:p>
          <w:p w14:paraId="7D60EE9F" w14:textId="77777777" w:rsidR="00E515AF" w:rsidRPr="00F05BA3" w:rsidRDefault="00E515AF" w:rsidP="00E515AF">
            <w:pPr>
              <w:widowControl w:val="0"/>
              <w:spacing w:after="0"/>
              <w:ind w:left="-90" w:right="-108"/>
              <w:jc w:val="center"/>
              <w:rPr>
                <w:rFonts w:ascii="Calibri" w:hAnsi="Calibri"/>
                <w:b/>
                <w:sz w:val="48"/>
                <w:szCs w:val="48"/>
              </w:rPr>
            </w:pPr>
            <w:r w:rsidRPr="00DE3E14">
              <w:rPr>
                <w:rFonts w:ascii="Calibri" w:hAnsi="Calibri"/>
                <w:b/>
                <w:sz w:val="48"/>
                <w:szCs w:val="48"/>
              </w:rPr>
              <w:t>PROGRESS REPORT</w:t>
            </w:r>
          </w:p>
        </w:tc>
      </w:tr>
      <w:tr w:rsidR="00E515AF" w:rsidRPr="00DD2508" w14:paraId="5C8F9E2D" w14:textId="77777777" w:rsidTr="00E515AF">
        <w:trPr>
          <w:trHeight w:val="806"/>
        </w:trPr>
        <w:tc>
          <w:tcPr>
            <w:tcW w:w="7308" w:type="dxa"/>
            <w:vAlign w:val="center"/>
          </w:tcPr>
          <w:p w14:paraId="01595E9F" w14:textId="77777777" w:rsidR="00E515AF" w:rsidRPr="00F05BA3" w:rsidRDefault="00E515AF" w:rsidP="00E515AF">
            <w:pPr>
              <w:widowControl w:val="0"/>
              <w:spacing w:after="0"/>
              <w:ind w:left="-90" w:right="-108"/>
              <w:jc w:val="center"/>
              <w:rPr>
                <w:rFonts w:ascii="Calibri" w:hAnsi="Calibri"/>
                <w:sz w:val="32"/>
                <w:szCs w:val="32"/>
              </w:rPr>
            </w:pPr>
            <w:r w:rsidRPr="00DD2508">
              <w:rPr>
                <w:rFonts w:ascii="Calibri" w:hAnsi="Calibri"/>
                <w:sz w:val="32"/>
                <w:szCs w:val="32"/>
              </w:rPr>
              <w:t>Submitted to the SUNY Charter Schools Institute on:</w:t>
            </w:r>
          </w:p>
        </w:tc>
      </w:tr>
      <w:tr w:rsidR="00E515AF" w:rsidRPr="00DD2508" w14:paraId="71C38235" w14:textId="77777777" w:rsidTr="00E515AF">
        <w:trPr>
          <w:trHeight w:val="626"/>
        </w:trPr>
        <w:tc>
          <w:tcPr>
            <w:tcW w:w="7308" w:type="dxa"/>
            <w:vAlign w:val="center"/>
          </w:tcPr>
          <w:p w14:paraId="0CB408D5" w14:textId="3596AF61" w:rsidR="00E515AF" w:rsidRPr="00AA662C" w:rsidRDefault="005B17DE" w:rsidP="00E515AF">
            <w:pPr>
              <w:widowControl w:val="0"/>
              <w:spacing w:after="0"/>
              <w:ind w:left="-90" w:right="-108"/>
              <w:jc w:val="center"/>
              <w:rPr>
                <w:rFonts w:ascii="Calibri" w:hAnsi="Calibri"/>
                <w:sz w:val="32"/>
                <w:szCs w:val="32"/>
              </w:rPr>
            </w:pPr>
            <w:r>
              <w:rPr>
                <w:rFonts w:ascii="Calibri" w:hAnsi="Calibri"/>
                <w:sz w:val="32"/>
                <w:szCs w:val="32"/>
              </w:rPr>
              <w:t>September</w:t>
            </w:r>
            <w:r w:rsidR="00E515AF">
              <w:rPr>
                <w:rFonts w:ascii="Calibri" w:hAnsi="Calibri"/>
                <w:sz w:val="32"/>
                <w:szCs w:val="32"/>
              </w:rPr>
              <w:t xml:space="preserve"> 1</w:t>
            </w:r>
            <w:r>
              <w:rPr>
                <w:rFonts w:ascii="Calibri" w:hAnsi="Calibri"/>
                <w:sz w:val="32"/>
                <w:szCs w:val="32"/>
              </w:rPr>
              <w:t>3</w:t>
            </w:r>
            <w:r w:rsidR="00E515AF">
              <w:rPr>
                <w:rFonts w:ascii="Calibri" w:hAnsi="Calibri"/>
                <w:sz w:val="32"/>
                <w:szCs w:val="32"/>
              </w:rPr>
              <w:t>th</w:t>
            </w:r>
            <w:r w:rsidR="00E515AF" w:rsidRPr="52172790">
              <w:rPr>
                <w:rFonts w:ascii="Calibri" w:hAnsi="Calibri"/>
                <w:sz w:val="32"/>
                <w:szCs w:val="32"/>
              </w:rPr>
              <w:t>, 20</w:t>
            </w:r>
            <w:r w:rsidR="00E515AF">
              <w:rPr>
                <w:rFonts w:ascii="Calibri" w:hAnsi="Calibri"/>
                <w:sz w:val="32"/>
                <w:szCs w:val="32"/>
              </w:rPr>
              <w:t>21</w:t>
            </w:r>
          </w:p>
        </w:tc>
      </w:tr>
      <w:tr w:rsidR="00E515AF" w:rsidRPr="00DD2508" w14:paraId="3240789A" w14:textId="77777777" w:rsidTr="00E515AF">
        <w:trPr>
          <w:trHeight w:val="734"/>
        </w:trPr>
        <w:tc>
          <w:tcPr>
            <w:tcW w:w="7308" w:type="dxa"/>
            <w:vAlign w:val="center"/>
          </w:tcPr>
          <w:p w14:paraId="7467193F" w14:textId="77777777" w:rsidR="00E515AF" w:rsidRPr="00AA662C" w:rsidRDefault="00E515AF" w:rsidP="00E515AF">
            <w:pPr>
              <w:widowControl w:val="0"/>
              <w:spacing w:after="0"/>
              <w:ind w:left="-90" w:right="-108"/>
              <w:jc w:val="center"/>
              <w:rPr>
                <w:rFonts w:ascii="Calibri" w:hAnsi="Calibri"/>
                <w:sz w:val="32"/>
                <w:szCs w:val="32"/>
              </w:rPr>
            </w:pPr>
            <w:r w:rsidRPr="00AA662C">
              <w:rPr>
                <w:rFonts w:ascii="Calibri" w:hAnsi="Calibri"/>
                <w:sz w:val="32"/>
                <w:szCs w:val="32"/>
              </w:rPr>
              <w:t xml:space="preserve">By </w:t>
            </w:r>
            <w:r>
              <w:rPr>
                <w:rFonts w:ascii="Calibri" w:hAnsi="Calibri"/>
                <w:sz w:val="32"/>
                <w:szCs w:val="32"/>
              </w:rPr>
              <w:t>Johanna Martin &amp; Sara Wilcox</w:t>
            </w:r>
          </w:p>
        </w:tc>
      </w:tr>
      <w:tr w:rsidR="00E515AF" w:rsidRPr="00DD2508" w14:paraId="6FC4D797" w14:textId="77777777" w:rsidTr="00E515AF">
        <w:trPr>
          <w:trHeight w:val="905"/>
        </w:trPr>
        <w:tc>
          <w:tcPr>
            <w:tcW w:w="7308" w:type="dxa"/>
            <w:shd w:val="clear" w:color="auto" w:fill="auto"/>
            <w:vAlign w:val="center"/>
          </w:tcPr>
          <w:p w14:paraId="6E5F8961" w14:textId="77777777" w:rsidR="00E515AF" w:rsidRPr="00A70F9C" w:rsidRDefault="00E515AF" w:rsidP="00E515AF">
            <w:pPr>
              <w:widowControl w:val="0"/>
              <w:spacing w:after="0"/>
              <w:ind w:left="-90" w:right="-108"/>
              <w:jc w:val="center"/>
              <w:rPr>
                <w:rFonts w:ascii="Calibri" w:hAnsi="Calibri"/>
                <w:sz w:val="32"/>
                <w:szCs w:val="32"/>
              </w:rPr>
            </w:pPr>
            <w:r w:rsidRPr="00A70F9C">
              <w:rPr>
                <w:rFonts w:ascii="Calibri" w:hAnsi="Calibri"/>
                <w:sz w:val="32"/>
                <w:szCs w:val="32"/>
              </w:rPr>
              <w:t>2 Polk Street</w:t>
            </w:r>
          </w:p>
          <w:p w14:paraId="62263B7B" w14:textId="77777777" w:rsidR="00E515AF" w:rsidRPr="00A70F9C" w:rsidRDefault="00E515AF" w:rsidP="00E515AF">
            <w:pPr>
              <w:widowControl w:val="0"/>
              <w:spacing w:after="0"/>
              <w:ind w:left="-90" w:right="-108"/>
              <w:jc w:val="center"/>
              <w:rPr>
                <w:rFonts w:ascii="Calibri" w:hAnsi="Calibri"/>
                <w:sz w:val="32"/>
                <w:szCs w:val="32"/>
              </w:rPr>
            </w:pPr>
            <w:r w:rsidRPr="00A70F9C">
              <w:rPr>
                <w:rFonts w:ascii="Calibri" w:hAnsi="Calibri"/>
                <w:sz w:val="32"/>
                <w:szCs w:val="32"/>
              </w:rPr>
              <w:t>Troy, NY 12180</w:t>
            </w:r>
          </w:p>
        </w:tc>
      </w:tr>
      <w:tr w:rsidR="00E515AF" w:rsidRPr="00DD2508" w14:paraId="3B799C70" w14:textId="77777777" w:rsidTr="00E515AF">
        <w:trPr>
          <w:trHeight w:val="905"/>
        </w:trPr>
        <w:tc>
          <w:tcPr>
            <w:tcW w:w="7308" w:type="dxa"/>
            <w:vAlign w:val="center"/>
          </w:tcPr>
          <w:p w14:paraId="6D8FA9FF" w14:textId="77777777" w:rsidR="00E515AF" w:rsidRPr="00A70F9C" w:rsidRDefault="00E515AF" w:rsidP="00E515AF">
            <w:pPr>
              <w:widowControl w:val="0"/>
              <w:spacing w:after="0"/>
              <w:ind w:left="-90" w:right="-108"/>
              <w:jc w:val="center"/>
              <w:rPr>
                <w:rFonts w:ascii="Calibri" w:hAnsi="Calibri"/>
                <w:sz w:val="32"/>
                <w:szCs w:val="32"/>
              </w:rPr>
            </w:pPr>
            <w:r w:rsidRPr="00A70F9C">
              <w:rPr>
                <w:rFonts w:ascii="Calibri" w:hAnsi="Calibri"/>
                <w:sz w:val="32"/>
                <w:szCs w:val="32"/>
              </w:rPr>
              <w:t>518-445-3100</w:t>
            </w:r>
          </w:p>
        </w:tc>
      </w:tr>
    </w:tbl>
    <w:p w14:paraId="175748DB" w14:textId="63AE8EC9" w:rsidR="00056BFE" w:rsidRPr="00DD2508" w:rsidRDefault="00056BFE" w:rsidP="00056BFE">
      <w:pPr>
        <w:widowControl w:val="0"/>
        <w:rPr>
          <w:rFonts w:ascii="Calibri" w:hAnsi="Calibri"/>
        </w:rPr>
      </w:pPr>
      <w:r w:rsidRPr="52172790">
        <w:rPr>
          <w:rFonts w:ascii="Calibri" w:hAnsi="Calibri"/>
          <w:b/>
          <w:bCs/>
          <w:sz w:val="24"/>
          <w:szCs w:val="24"/>
        </w:rPr>
        <w:br w:type="page"/>
      </w:r>
      <w:r w:rsidR="00B37F28">
        <w:rPr>
          <w:rFonts w:ascii="Calibri" w:hAnsi="Calibri"/>
        </w:rPr>
        <w:lastRenderedPageBreak/>
        <w:t>Johanna Martin, Associate Chief Operating Officer, and Sara Wilcox, Director of School Support</w:t>
      </w:r>
      <w:r w:rsidRPr="52172790">
        <w:rPr>
          <w:rFonts w:ascii="Calibri" w:hAnsi="Calibri"/>
        </w:rPr>
        <w:t xml:space="preserve"> prepared this 20</w:t>
      </w:r>
      <w:r w:rsidR="00177CF7">
        <w:rPr>
          <w:rFonts w:ascii="Calibri" w:hAnsi="Calibri"/>
        </w:rPr>
        <w:t>20</w:t>
      </w:r>
      <w:r w:rsidRPr="52172790">
        <w:rPr>
          <w:rFonts w:ascii="Calibri" w:hAnsi="Calibri"/>
        </w:rPr>
        <w:t>-</w:t>
      </w:r>
      <w:r w:rsidR="00177CF7">
        <w:rPr>
          <w:rFonts w:ascii="Calibri" w:hAnsi="Calibri"/>
        </w:rPr>
        <w:t>21</w:t>
      </w:r>
      <w:r w:rsidRPr="52172790">
        <w:rPr>
          <w:rFonts w:ascii="Calibri" w:hAnsi="Calibri"/>
        </w:rPr>
        <w:t xml:space="preserve"> Accountability Progress Report on behalf of the school’s board of trustees:</w:t>
      </w:r>
    </w:p>
    <w:p w14:paraId="0A92C816" w14:textId="77777777" w:rsidR="00056BFE" w:rsidRPr="00DD2508" w:rsidRDefault="00056BFE" w:rsidP="00056BFE">
      <w:pPr>
        <w:widowControl w:val="0"/>
        <w:rPr>
          <w:rFonts w:ascii="Calibri" w:hAnsi="Calibri"/>
        </w:rPr>
      </w:pPr>
    </w:p>
    <w:p w14:paraId="3C12B541" w14:textId="77777777" w:rsidR="00056BFE" w:rsidRPr="00DD2508" w:rsidRDefault="00056BFE" w:rsidP="00056BFE">
      <w:pPr>
        <w:widowControl w:val="0"/>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065"/>
        <w:gridCol w:w="2746"/>
      </w:tblGrid>
      <w:tr w:rsidR="00177CF7" w:rsidRPr="00DD2508" w14:paraId="77590E0A" w14:textId="77777777" w:rsidTr="00177CF7">
        <w:trPr>
          <w:jc w:val="center"/>
        </w:trPr>
        <w:tc>
          <w:tcPr>
            <w:tcW w:w="3539" w:type="dxa"/>
            <w:vMerge w:val="restart"/>
          </w:tcPr>
          <w:p w14:paraId="4391176F" w14:textId="77777777" w:rsidR="00177CF7" w:rsidRDefault="00177CF7" w:rsidP="00177CF7">
            <w:pPr>
              <w:pStyle w:val="TableText"/>
            </w:pPr>
            <w:bookmarkStart w:id="0" w:name="Trustees"/>
          </w:p>
          <w:p w14:paraId="303CC329" w14:textId="77777777" w:rsidR="00177CF7" w:rsidRPr="00DE3E14" w:rsidRDefault="00177CF7" w:rsidP="00177CF7">
            <w:pPr>
              <w:pStyle w:val="TableText"/>
            </w:pPr>
            <w:r w:rsidRPr="00DE3E14">
              <w:t>Trustee’s Name</w:t>
            </w:r>
            <w:bookmarkEnd w:id="0"/>
          </w:p>
        </w:tc>
        <w:tc>
          <w:tcPr>
            <w:tcW w:w="5811" w:type="dxa"/>
            <w:gridSpan w:val="2"/>
          </w:tcPr>
          <w:p w14:paraId="2617BA76" w14:textId="77777777" w:rsidR="00177CF7" w:rsidRPr="00DE3E14" w:rsidRDefault="00177CF7" w:rsidP="00177CF7">
            <w:pPr>
              <w:pStyle w:val="TableText"/>
            </w:pPr>
            <w:r w:rsidRPr="00DE3E14">
              <w:t>Board Position</w:t>
            </w:r>
          </w:p>
        </w:tc>
      </w:tr>
      <w:tr w:rsidR="00177CF7" w:rsidRPr="00DD2508" w14:paraId="210A2C00" w14:textId="77777777" w:rsidTr="00177CF7">
        <w:trPr>
          <w:jc w:val="center"/>
        </w:trPr>
        <w:tc>
          <w:tcPr>
            <w:tcW w:w="3539" w:type="dxa"/>
            <w:vMerge/>
          </w:tcPr>
          <w:p w14:paraId="2E7C9949" w14:textId="77777777" w:rsidR="00177CF7" w:rsidRPr="00F5044A" w:rsidRDefault="00177CF7" w:rsidP="00177CF7">
            <w:pPr>
              <w:pStyle w:val="TableText"/>
              <w:rPr>
                <w:highlight w:val="lightGray"/>
              </w:rPr>
            </w:pPr>
          </w:p>
        </w:tc>
        <w:tc>
          <w:tcPr>
            <w:tcW w:w="3065" w:type="dxa"/>
          </w:tcPr>
          <w:p w14:paraId="7D113E89" w14:textId="77777777" w:rsidR="00177CF7" w:rsidRPr="00F5044A" w:rsidRDefault="00177CF7" w:rsidP="00177CF7">
            <w:pPr>
              <w:pStyle w:val="TableText"/>
              <w:rPr>
                <w:highlight w:val="lightGray"/>
              </w:rPr>
            </w:pPr>
            <w:r w:rsidRPr="0017040D">
              <w:t xml:space="preserve">Office (e.g. chair, treasurer, secretary) </w:t>
            </w:r>
          </w:p>
        </w:tc>
        <w:tc>
          <w:tcPr>
            <w:tcW w:w="2746" w:type="dxa"/>
          </w:tcPr>
          <w:p w14:paraId="199916BE" w14:textId="13209C7C" w:rsidR="00177CF7" w:rsidRPr="0017040D" w:rsidRDefault="00DF6505" w:rsidP="00177CF7">
            <w:pPr>
              <w:pStyle w:val="TableText"/>
            </w:pPr>
            <w:r>
              <w:t>C</w:t>
            </w:r>
            <w:r w:rsidR="00177CF7" w:rsidRPr="0017040D">
              <w:t>ommittees (e.g. finance, executive)</w:t>
            </w:r>
          </w:p>
        </w:tc>
      </w:tr>
      <w:tr w:rsidR="00177CF7" w:rsidRPr="00B37F28" w14:paraId="454B5494" w14:textId="77777777" w:rsidTr="00177CF7">
        <w:trPr>
          <w:jc w:val="center"/>
        </w:trPr>
        <w:tc>
          <w:tcPr>
            <w:tcW w:w="3539" w:type="dxa"/>
          </w:tcPr>
          <w:p w14:paraId="1E46BF96" w14:textId="09871C23" w:rsidR="00177CF7" w:rsidRPr="00B37F28" w:rsidRDefault="00B37F28" w:rsidP="00177CF7">
            <w:pPr>
              <w:pStyle w:val="TableText"/>
            </w:pPr>
            <w:r w:rsidRPr="00B37F28">
              <w:t>Robert Bellafior</w:t>
            </w:r>
            <w:r w:rsidR="00BB5B01">
              <w:t>e</w:t>
            </w:r>
          </w:p>
        </w:tc>
        <w:tc>
          <w:tcPr>
            <w:tcW w:w="3065" w:type="dxa"/>
          </w:tcPr>
          <w:p w14:paraId="1B30B131" w14:textId="72E744F5" w:rsidR="00177CF7" w:rsidRPr="00B37F28" w:rsidRDefault="00B37F28" w:rsidP="00177CF7">
            <w:pPr>
              <w:pStyle w:val="TableText"/>
            </w:pPr>
            <w:r w:rsidRPr="00B37F28">
              <w:t>Board Chair</w:t>
            </w:r>
          </w:p>
        </w:tc>
        <w:tc>
          <w:tcPr>
            <w:tcW w:w="2746" w:type="dxa"/>
          </w:tcPr>
          <w:p w14:paraId="360A5428" w14:textId="278E83C8" w:rsidR="00177CF7" w:rsidRPr="00B37F28" w:rsidRDefault="00B37F28" w:rsidP="00177CF7">
            <w:pPr>
              <w:pStyle w:val="TableText"/>
            </w:pPr>
            <w:r w:rsidRPr="00B37F28">
              <w:t>Finance</w:t>
            </w:r>
          </w:p>
        </w:tc>
      </w:tr>
      <w:tr w:rsidR="00177CF7" w:rsidRPr="00B37F28" w14:paraId="771052C0" w14:textId="77777777" w:rsidTr="00177CF7">
        <w:trPr>
          <w:jc w:val="center"/>
        </w:trPr>
        <w:tc>
          <w:tcPr>
            <w:tcW w:w="3539" w:type="dxa"/>
          </w:tcPr>
          <w:p w14:paraId="75F887A1" w14:textId="79995E42" w:rsidR="00177CF7" w:rsidRPr="00B37F28" w:rsidRDefault="00B37F28" w:rsidP="00177CF7">
            <w:pPr>
              <w:pStyle w:val="TableText"/>
            </w:pPr>
            <w:r w:rsidRPr="00B37F28">
              <w:t>Jeff Buell</w:t>
            </w:r>
          </w:p>
        </w:tc>
        <w:tc>
          <w:tcPr>
            <w:tcW w:w="3065" w:type="dxa"/>
          </w:tcPr>
          <w:p w14:paraId="5A7831D5" w14:textId="754463D6" w:rsidR="00177CF7" w:rsidRPr="00B37F28" w:rsidRDefault="00B37F28" w:rsidP="00177CF7">
            <w:pPr>
              <w:pStyle w:val="TableText"/>
            </w:pPr>
            <w:r w:rsidRPr="00B37F28">
              <w:t>Treasurer</w:t>
            </w:r>
            <w:r w:rsidR="005B17DE">
              <w:t>/Secretary</w:t>
            </w:r>
          </w:p>
        </w:tc>
        <w:tc>
          <w:tcPr>
            <w:tcW w:w="2746" w:type="dxa"/>
          </w:tcPr>
          <w:p w14:paraId="501CAC71" w14:textId="69E8FEB1" w:rsidR="00177CF7" w:rsidRPr="00B37F28" w:rsidRDefault="00B37F28" w:rsidP="00177CF7">
            <w:pPr>
              <w:pStyle w:val="TableText"/>
            </w:pPr>
            <w:r w:rsidRPr="00B37F28">
              <w:t>Finance</w:t>
            </w:r>
          </w:p>
        </w:tc>
      </w:tr>
      <w:tr w:rsidR="00177CF7" w:rsidRPr="00B37F28" w14:paraId="075655FF" w14:textId="77777777" w:rsidTr="00177CF7">
        <w:trPr>
          <w:jc w:val="center"/>
        </w:trPr>
        <w:tc>
          <w:tcPr>
            <w:tcW w:w="3539" w:type="dxa"/>
          </w:tcPr>
          <w:p w14:paraId="48437893" w14:textId="47BD0097" w:rsidR="00177CF7" w:rsidRPr="00B37F28" w:rsidRDefault="00B37F28" w:rsidP="00177CF7">
            <w:pPr>
              <w:pStyle w:val="TableText"/>
            </w:pPr>
            <w:r w:rsidRPr="00B37F28">
              <w:t>Heather LaVine</w:t>
            </w:r>
          </w:p>
        </w:tc>
        <w:tc>
          <w:tcPr>
            <w:tcW w:w="3065" w:type="dxa"/>
          </w:tcPr>
          <w:p w14:paraId="5F757DBC" w14:textId="75868236" w:rsidR="00177CF7" w:rsidRPr="00B37F28" w:rsidRDefault="00B37F28" w:rsidP="00177CF7">
            <w:pPr>
              <w:pStyle w:val="TableText"/>
            </w:pPr>
            <w:r w:rsidRPr="00B37F28">
              <w:t>Trustee</w:t>
            </w:r>
          </w:p>
        </w:tc>
        <w:tc>
          <w:tcPr>
            <w:tcW w:w="2746" w:type="dxa"/>
          </w:tcPr>
          <w:p w14:paraId="39658970" w14:textId="3892137D" w:rsidR="00177CF7" w:rsidRPr="00B37F28" w:rsidRDefault="00B37F28" w:rsidP="00177CF7">
            <w:pPr>
              <w:pStyle w:val="TableText"/>
            </w:pPr>
            <w:r w:rsidRPr="00B37F28">
              <w:t>Governance</w:t>
            </w:r>
          </w:p>
        </w:tc>
      </w:tr>
      <w:tr w:rsidR="00177CF7" w:rsidRPr="00B37F28" w14:paraId="2EE148B8" w14:textId="77777777" w:rsidTr="00177CF7">
        <w:trPr>
          <w:jc w:val="center"/>
        </w:trPr>
        <w:tc>
          <w:tcPr>
            <w:tcW w:w="3539" w:type="dxa"/>
          </w:tcPr>
          <w:p w14:paraId="162DD5FB" w14:textId="615A92CA" w:rsidR="00177CF7" w:rsidRPr="00B37F28" w:rsidRDefault="00B37F28" w:rsidP="00177CF7">
            <w:pPr>
              <w:pStyle w:val="TableText"/>
            </w:pPr>
            <w:r w:rsidRPr="00B37F28">
              <w:t>Joe Bonilla</w:t>
            </w:r>
          </w:p>
        </w:tc>
        <w:tc>
          <w:tcPr>
            <w:tcW w:w="3065" w:type="dxa"/>
          </w:tcPr>
          <w:p w14:paraId="7776B674" w14:textId="57B65FFE" w:rsidR="00177CF7" w:rsidRPr="00B37F28" w:rsidRDefault="00B37F28" w:rsidP="00177CF7">
            <w:pPr>
              <w:pStyle w:val="TableText"/>
            </w:pPr>
            <w:r w:rsidRPr="00B37F28">
              <w:t>Vice Chair</w:t>
            </w:r>
          </w:p>
        </w:tc>
        <w:tc>
          <w:tcPr>
            <w:tcW w:w="2746" w:type="dxa"/>
          </w:tcPr>
          <w:p w14:paraId="204269CB" w14:textId="36BA0F9C" w:rsidR="00177CF7" w:rsidRPr="00B37F28" w:rsidRDefault="00B37F28" w:rsidP="00177CF7">
            <w:pPr>
              <w:pStyle w:val="TableText"/>
            </w:pPr>
            <w:r w:rsidRPr="00B37F28">
              <w:t>None</w:t>
            </w:r>
          </w:p>
        </w:tc>
      </w:tr>
      <w:tr w:rsidR="00177CF7" w:rsidRPr="00B37F28" w14:paraId="12026A60" w14:textId="77777777" w:rsidTr="00177CF7">
        <w:trPr>
          <w:jc w:val="center"/>
        </w:trPr>
        <w:tc>
          <w:tcPr>
            <w:tcW w:w="3539" w:type="dxa"/>
          </w:tcPr>
          <w:p w14:paraId="13AF889F" w14:textId="2340A1BB" w:rsidR="00177CF7" w:rsidRPr="00B37F28" w:rsidRDefault="00B37F28" w:rsidP="00177CF7">
            <w:pPr>
              <w:pStyle w:val="TableText"/>
            </w:pPr>
            <w:r w:rsidRPr="00B37F28">
              <w:t>Sharif Kabir</w:t>
            </w:r>
          </w:p>
        </w:tc>
        <w:tc>
          <w:tcPr>
            <w:tcW w:w="3065" w:type="dxa"/>
          </w:tcPr>
          <w:p w14:paraId="50190411" w14:textId="66CED0AB" w:rsidR="00177CF7" w:rsidRPr="00B37F28" w:rsidRDefault="00B37F28" w:rsidP="00177CF7">
            <w:pPr>
              <w:pStyle w:val="TableText"/>
            </w:pPr>
            <w:r w:rsidRPr="00B37F28">
              <w:t>Trustee</w:t>
            </w:r>
          </w:p>
        </w:tc>
        <w:tc>
          <w:tcPr>
            <w:tcW w:w="2746" w:type="dxa"/>
          </w:tcPr>
          <w:p w14:paraId="6ABDE4E1" w14:textId="2947B3AD" w:rsidR="00177CF7" w:rsidRPr="00B37F28" w:rsidRDefault="00B37F28" w:rsidP="00177CF7">
            <w:pPr>
              <w:pStyle w:val="TableText"/>
            </w:pPr>
            <w:r w:rsidRPr="00B37F28">
              <w:t>Finance</w:t>
            </w:r>
          </w:p>
        </w:tc>
      </w:tr>
      <w:tr w:rsidR="00177CF7" w:rsidRPr="00B37F28" w14:paraId="4FDDB738" w14:textId="77777777" w:rsidTr="00177CF7">
        <w:trPr>
          <w:jc w:val="center"/>
        </w:trPr>
        <w:tc>
          <w:tcPr>
            <w:tcW w:w="3539" w:type="dxa"/>
          </w:tcPr>
          <w:p w14:paraId="01B7A82A" w14:textId="1965DB06" w:rsidR="00177CF7" w:rsidRPr="00B37F28" w:rsidRDefault="00B37F28" w:rsidP="00177CF7">
            <w:pPr>
              <w:pStyle w:val="TableText"/>
            </w:pPr>
            <w:r w:rsidRPr="00B37F28">
              <w:t>Vacant</w:t>
            </w:r>
          </w:p>
        </w:tc>
        <w:tc>
          <w:tcPr>
            <w:tcW w:w="3065" w:type="dxa"/>
          </w:tcPr>
          <w:p w14:paraId="7DBB0B13" w14:textId="7F6131D2" w:rsidR="00177CF7" w:rsidRPr="00B37F28" w:rsidRDefault="00B37F28" w:rsidP="00177CF7">
            <w:pPr>
              <w:pStyle w:val="TableText"/>
            </w:pPr>
            <w:r w:rsidRPr="00B37F28">
              <w:t>Vacant</w:t>
            </w:r>
          </w:p>
        </w:tc>
        <w:tc>
          <w:tcPr>
            <w:tcW w:w="2746" w:type="dxa"/>
          </w:tcPr>
          <w:p w14:paraId="0BA4E479" w14:textId="67D301AC" w:rsidR="00177CF7" w:rsidRPr="00B37F28" w:rsidRDefault="00B37F28" w:rsidP="00177CF7">
            <w:pPr>
              <w:pStyle w:val="TableText"/>
            </w:pPr>
            <w:r w:rsidRPr="00B37F28">
              <w:t>Vacant</w:t>
            </w:r>
          </w:p>
        </w:tc>
      </w:tr>
      <w:tr w:rsidR="00177CF7" w:rsidRPr="00DD2508" w14:paraId="14721738" w14:textId="77777777" w:rsidTr="00177CF7">
        <w:trPr>
          <w:jc w:val="center"/>
        </w:trPr>
        <w:tc>
          <w:tcPr>
            <w:tcW w:w="3539" w:type="dxa"/>
          </w:tcPr>
          <w:p w14:paraId="07CAC134" w14:textId="074BC925" w:rsidR="00177CF7" w:rsidRPr="00B37F28" w:rsidRDefault="00B37F28" w:rsidP="00177CF7">
            <w:pPr>
              <w:pStyle w:val="TableText"/>
            </w:pPr>
            <w:r w:rsidRPr="00B37F28">
              <w:t>Vacant</w:t>
            </w:r>
          </w:p>
        </w:tc>
        <w:tc>
          <w:tcPr>
            <w:tcW w:w="3065" w:type="dxa"/>
          </w:tcPr>
          <w:p w14:paraId="0862A3E9" w14:textId="43ED556A" w:rsidR="00177CF7" w:rsidRPr="00B37F28" w:rsidRDefault="00B37F28" w:rsidP="00177CF7">
            <w:pPr>
              <w:pStyle w:val="TableText"/>
            </w:pPr>
            <w:r w:rsidRPr="00B37F28">
              <w:t>Vacant</w:t>
            </w:r>
          </w:p>
        </w:tc>
        <w:tc>
          <w:tcPr>
            <w:tcW w:w="2746" w:type="dxa"/>
          </w:tcPr>
          <w:p w14:paraId="4B36E814" w14:textId="2E6069F7" w:rsidR="00177CF7" w:rsidRPr="00B37F28" w:rsidRDefault="00B37F28" w:rsidP="00177CF7">
            <w:pPr>
              <w:pStyle w:val="TableText"/>
            </w:pPr>
            <w:r w:rsidRPr="00B37F28">
              <w:t>Vacant</w:t>
            </w:r>
          </w:p>
        </w:tc>
      </w:tr>
    </w:tbl>
    <w:p w14:paraId="34C06078" w14:textId="77777777" w:rsidR="00056BFE" w:rsidRPr="00DD2508" w:rsidRDefault="00056BFE" w:rsidP="00056BFE">
      <w:pPr>
        <w:widowControl w:val="0"/>
        <w:rPr>
          <w:rFonts w:ascii="Calibri" w:hAnsi="Calibri"/>
        </w:rPr>
      </w:pPr>
    </w:p>
    <w:p w14:paraId="70B96A30" w14:textId="77777777" w:rsidR="00056BFE" w:rsidRDefault="00056BFE" w:rsidP="00056BFE">
      <w:pPr>
        <w:widowControl w:val="0"/>
        <w:rPr>
          <w:rFonts w:ascii="Calibri" w:hAnsi="Calibri"/>
          <w:b/>
        </w:rPr>
      </w:pPr>
    </w:p>
    <w:p w14:paraId="142B9CA4" w14:textId="77777777" w:rsidR="00056BFE" w:rsidRDefault="00056BFE" w:rsidP="00056BFE">
      <w:pPr>
        <w:widowControl w:val="0"/>
        <w:rPr>
          <w:rFonts w:ascii="Calibri" w:hAnsi="Calibri"/>
          <w:b/>
        </w:rPr>
      </w:pPr>
    </w:p>
    <w:p w14:paraId="6824F3F3" w14:textId="77777777" w:rsidR="00056BFE" w:rsidRPr="00DD2508" w:rsidRDefault="00056BFE" w:rsidP="00056BFE">
      <w:pPr>
        <w:widowControl w:val="0"/>
        <w:rPr>
          <w:rFonts w:ascii="Calibri" w:hAnsi="Calibri"/>
          <w:b/>
        </w:rPr>
      </w:pPr>
    </w:p>
    <w:p w14:paraId="7B504C9F" w14:textId="77777777" w:rsidR="00B37F28" w:rsidRPr="005B57E9" w:rsidRDefault="00B37F28" w:rsidP="00A70F9C">
      <w:pPr>
        <w:pStyle w:val="ListParagraph"/>
        <w:widowControl w:val="0"/>
        <w:numPr>
          <w:ilvl w:val="0"/>
          <w:numId w:val="3"/>
        </w:numPr>
        <w:rPr>
          <w:rFonts w:ascii="Calibri" w:hAnsi="Calibri"/>
          <w:b/>
        </w:rPr>
      </w:pPr>
      <w:r>
        <w:rPr>
          <w:rFonts w:ascii="Calibri" w:hAnsi="Calibri"/>
          <w:b/>
        </w:rPr>
        <w:t>Jamila Hammett</w:t>
      </w:r>
      <w:r w:rsidRPr="005B57E9">
        <w:rPr>
          <w:rFonts w:ascii="Calibri" w:hAnsi="Calibri"/>
          <w:b/>
        </w:rPr>
        <w:t xml:space="preserve"> has served as the Instructional Leader of the </w:t>
      </w:r>
      <w:r>
        <w:rPr>
          <w:rFonts w:ascii="Calibri" w:hAnsi="Calibri"/>
          <w:b/>
        </w:rPr>
        <w:t>Elementary</w:t>
      </w:r>
      <w:r w:rsidRPr="005B57E9">
        <w:rPr>
          <w:rFonts w:ascii="Calibri" w:hAnsi="Calibri"/>
          <w:b/>
        </w:rPr>
        <w:t xml:space="preserve"> School program since 201</w:t>
      </w:r>
      <w:r>
        <w:rPr>
          <w:rFonts w:ascii="Calibri" w:hAnsi="Calibri"/>
          <w:b/>
        </w:rPr>
        <w:t>9</w:t>
      </w:r>
      <w:r w:rsidRPr="005B57E9">
        <w:rPr>
          <w:rFonts w:ascii="Calibri" w:hAnsi="Calibri"/>
          <w:b/>
        </w:rPr>
        <w:t>.</w:t>
      </w:r>
    </w:p>
    <w:p w14:paraId="16BB243C" w14:textId="1C996753" w:rsidR="00B37F28" w:rsidRDefault="00B37F28" w:rsidP="00A70F9C">
      <w:pPr>
        <w:pStyle w:val="ListParagraph"/>
        <w:widowControl w:val="0"/>
        <w:numPr>
          <w:ilvl w:val="0"/>
          <w:numId w:val="3"/>
        </w:numPr>
        <w:rPr>
          <w:rFonts w:ascii="Calibri" w:hAnsi="Calibri"/>
          <w:b/>
        </w:rPr>
      </w:pPr>
      <w:r>
        <w:rPr>
          <w:rFonts w:ascii="Calibri" w:hAnsi="Calibri"/>
          <w:b/>
        </w:rPr>
        <w:t>Nicole Cox</w:t>
      </w:r>
      <w:r w:rsidRPr="005B57E9">
        <w:rPr>
          <w:rFonts w:ascii="Calibri" w:hAnsi="Calibri"/>
          <w:b/>
        </w:rPr>
        <w:t xml:space="preserve"> has served as the </w:t>
      </w:r>
      <w:r>
        <w:rPr>
          <w:rFonts w:ascii="Calibri" w:hAnsi="Calibri"/>
          <w:b/>
        </w:rPr>
        <w:t>I</w:t>
      </w:r>
      <w:r w:rsidRPr="005B57E9">
        <w:rPr>
          <w:rFonts w:ascii="Calibri" w:hAnsi="Calibri"/>
          <w:b/>
        </w:rPr>
        <w:t xml:space="preserve">nstructional Leader of the </w:t>
      </w:r>
      <w:r>
        <w:rPr>
          <w:rFonts w:ascii="Calibri" w:hAnsi="Calibri"/>
          <w:b/>
        </w:rPr>
        <w:t>Middle</w:t>
      </w:r>
      <w:r w:rsidRPr="005B57E9">
        <w:rPr>
          <w:rFonts w:ascii="Calibri" w:hAnsi="Calibri"/>
          <w:b/>
        </w:rPr>
        <w:t xml:space="preserve"> School program 20</w:t>
      </w:r>
      <w:r>
        <w:rPr>
          <w:rFonts w:ascii="Calibri" w:hAnsi="Calibri"/>
          <w:b/>
        </w:rPr>
        <w:t>20</w:t>
      </w:r>
      <w:r w:rsidRPr="005B57E9">
        <w:rPr>
          <w:rFonts w:ascii="Calibri" w:hAnsi="Calibri"/>
          <w:b/>
        </w:rPr>
        <w:t>.</w:t>
      </w:r>
    </w:p>
    <w:p w14:paraId="2B07AF8E" w14:textId="139D65FF" w:rsidR="00056BFE" w:rsidRPr="00B37F28" w:rsidRDefault="00B37F28" w:rsidP="00A70F9C">
      <w:pPr>
        <w:pStyle w:val="ListParagraph"/>
        <w:widowControl w:val="0"/>
        <w:numPr>
          <w:ilvl w:val="0"/>
          <w:numId w:val="3"/>
        </w:numPr>
        <w:rPr>
          <w:rFonts w:ascii="Calibri" w:hAnsi="Calibri"/>
          <w:b/>
        </w:rPr>
      </w:pPr>
      <w:r>
        <w:rPr>
          <w:rFonts w:ascii="Calibri" w:hAnsi="Calibri"/>
          <w:b/>
        </w:rPr>
        <w:t>Preethy Gowrinathan</w:t>
      </w:r>
      <w:r w:rsidRPr="00B37F28">
        <w:rPr>
          <w:rFonts w:ascii="Calibri" w:hAnsi="Calibri"/>
          <w:b/>
        </w:rPr>
        <w:t xml:space="preserve"> has served as the Instruction Leader of the High School program since 20</w:t>
      </w:r>
      <w:r>
        <w:rPr>
          <w:rFonts w:ascii="Calibri" w:hAnsi="Calibri"/>
          <w:b/>
        </w:rPr>
        <w:t>20</w:t>
      </w:r>
      <w:r w:rsidRPr="00B37F28">
        <w:rPr>
          <w:rFonts w:ascii="Calibri" w:hAnsi="Calibri"/>
          <w:b/>
        </w:rPr>
        <w:t xml:space="preserve">.  </w:t>
      </w:r>
      <w:r w:rsidR="00056BFE" w:rsidRPr="00B37F28">
        <w:rPr>
          <w:rFonts w:ascii="Calibri" w:hAnsi="Calibri"/>
          <w:b/>
          <w:bCs/>
        </w:rPr>
        <w:br w:type="page"/>
      </w:r>
    </w:p>
    <w:p w14:paraId="3EB7E392" w14:textId="4A0586FD" w:rsidR="552ED16F" w:rsidRDefault="552ED16F" w:rsidP="52172790">
      <w:r w:rsidRPr="52172790">
        <w:rPr>
          <w:rFonts w:ascii="Calibri" w:eastAsia="Calibri" w:hAnsi="Calibri" w:cs="Calibri"/>
          <w:caps/>
          <w:color w:val="365F91" w:themeColor="accent1" w:themeShade="BF"/>
          <w:sz w:val="36"/>
          <w:szCs w:val="36"/>
        </w:rPr>
        <w:lastRenderedPageBreak/>
        <w:t>SCHOOL OVERVIEW</w:t>
      </w:r>
    </w:p>
    <w:p w14:paraId="20001998" w14:textId="46201BCA" w:rsidR="00B37F28" w:rsidRPr="00B90403" w:rsidRDefault="00B37F28" w:rsidP="00B37F28">
      <w:pPr>
        <w:spacing w:after="0"/>
        <w:rPr>
          <w:rFonts w:ascii="Calibri" w:hAnsi="Calibri" w:cs="Calibri"/>
          <w:color w:val="404040"/>
          <w:szCs w:val="23"/>
          <w:shd w:val="clear" w:color="auto" w:fill="FFFFFF"/>
        </w:rPr>
      </w:pPr>
      <w:r w:rsidRPr="00B90403">
        <w:rPr>
          <w:rFonts w:ascii="Calibri" w:hAnsi="Calibri" w:cs="Calibri"/>
          <w:color w:val="404040"/>
          <w:szCs w:val="23"/>
          <w:shd w:val="clear" w:color="auto" w:fill="FFFFFF"/>
        </w:rPr>
        <w:t>Troy Preparatory Charter School is a rigorous, college prep public school whose mission</w:t>
      </w:r>
      <w:r w:rsidRPr="00472A0A">
        <w:rPr>
          <w:rFonts w:ascii="Calibri" w:hAnsi="Calibri" w:cs="Calibri"/>
          <w:color w:val="404040"/>
          <w:szCs w:val="23"/>
          <w:shd w:val="clear" w:color="auto" w:fill="FFFFFF"/>
        </w:rPr>
        <w:t xml:space="preserve"> is to prepare </w:t>
      </w:r>
      <w:r w:rsidRPr="00B90403">
        <w:rPr>
          <w:rFonts w:ascii="Calibri" w:hAnsi="Calibri" w:cs="Calibri"/>
          <w:color w:val="404040"/>
          <w:szCs w:val="23"/>
          <w:shd w:val="clear" w:color="auto" w:fill="FFFFFF"/>
        </w:rPr>
        <w:t xml:space="preserve">all students to enter and succeed in college through effort, achievement, and the content of their character. </w:t>
      </w:r>
      <w:r w:rsidRPr="00B90403">
        <w:rPr>
          <w:rFonts w:ascii="Calibri" w:hAnsi="Calibri" w:cs="Calibri"/>
          <w:color w:val="000000"/>
          <w:szCs w:val="23"/>
          <w:shd w:val="clear" w:color="auto" w:fill="FFFFFF"/>
        </w:rPr>
        <w:t>Troy Prep Charter</w:t>
      </w:r>
      <w:r w:rsidRPr="00472A0A">
        <w:rPr>
          <w:rFonts w:ascii="Calibri" w:hAnsi="Calibri" w:cs="Calibri"/>
          <w:color w:val="000000"/>
          <w:szCs w:val="23"/>
          <w:shd w:val="clear" w:color="auto" w:fill="FFFFFF"/>
        </w:rPr>
        <w:t xml:space="preserve"> School opened </w:t>
      </w:r>
      <w:r w:rsidRPr="00B90403">
        <w:rPr>
          <w:rFonts w:ascii="Calibri" w:hAnsi="Calibri" w:cs="Calibri"/>
          <w:color w:val="000000"/>
          <w:szCs w:val="23"/>
          <w:shd w:val="clear" w:color="auto" w:fill="FFFFFF"/>
        </w:rPr>
        <w:t>in August</w:t>
      </w:r>
      <w:r w:rsidRPr="00472A0A">
        <w:rPr>
          <w:rFonts w:ascii="Calibri" w:hAnsi="Calibri" w:cs="Calibri"/>
          <w:color w:val="000000"/>
          <w:szCs w:val="23"/>
          <w:shd w:val="clear" w:color="auto" w:fill="FFFFFF"/>
        </w:rPr>
        <w:t xml:space="preserve"> 200</w:t>
      </w:r>
      <w:r w:rsidRPr="00B90403">
        <w:rPr>
          <w:rFonts w:ascii="Calibri" w:hAnsi="Calibri" w:cs="Calibri"/>
          <w:color w:val="000000"/>
          <w:szCs w:val="23"/>
          <w:shd w:val="clear" w:color="auto" w:fill="FFFFFF"/>
        </w:rPr>
        <w:t>9</w:t>
      </w:r>
      <w:r w:rsidRPr="00472A0A">
        <w:rPr>
          <w:rFonts w:ascii="Calibri" w:hAnsi="Calibri" w:cs="Calibri"/>
          <w:color w:val="000000"/>
          <w:szCs w:val="23"/>
          <w:shd w:val="clear" w:color="auto" w:fill="FFFFFF"/>
        </w:rPr>
        <w:t xml:space="preserve">. </w:t>
      </w:r>
      <w:r w:rsidRPr="00B90403">
        <w:rPr>
          <w:rFonts w:ascii="Calibri" w:hAnsi="Calibri" w:cs="Calibri"/>
          <w:color w:val="404040"/>
          <w:szCs w:val="23"/>
          <w:shd w:val="clear" w:color="auto" w:fill="FFFFFF"/>
        </w:rPr>
        <w:t>In 20</w:t>
      </w:r>
      <w:r w:rsidR="0065480D">
        <w:rPr>
          <w:rFonts w:ascii="Calibri" w:hAnsi="Calibri" w:cs="Calibri"/>
          <w:color w:val="404040"/>
          <w:szCs w:val="23"/>
          <w:shd w:val="clear" w:color="auto" w:fill="FFFFFF"/>
        </w:rPr>
        <w:t>20</w:t>
      </w:r>
      <w:r w:rsidRPr="00B90403">
        <w:rPr>
          <w:rFonts w:ascii="Calibri" w:hAnsi="Calibri" w:cs="Calibri"/>
          <w:color w:val="404040"/>
          <w:szCs w:val="23"/>
          <w:shd w:val="clear" w:color="auto" w:fill="FFFFFF"/>
        </w:rPr>
        <w:t>-2</w:t>
      </w:r>
      <w:r w:rsidR="0065480D">
        <w:rPr>
          <w:rFonts w:ascii="Calibri" w:hAnsi="Calibri" w:cs="Calibri"/>
          <w:color w:val="404040"/>
          <w:szCs w:val="23"/>
          <w:shd w:val="clear" w:color="auto" w:fill="FFFFFF"/>
        </w:rPr>
        <w:t>1</w:t>
      </w:r>
      <w:r w:rsidRPr="00B90403">
        <w:rPr>
          <w:rFonts w:ascii="Calibri" w:hAnsi="Calibri" w:cs="Calibri"/>
          <w:color w:val="404040"/>
          <w:szCs w:val="23"/>
          <w:shd w:val="clear" w:color="auto" w:fill="FFFFFF"/>
        </w:rPr>
        <w:t xml:space="preserve">, the school served </w:t>
      </w:r>
      <w:r w:rsidR="0065480D">
        <w:rPr>
          <w:rFonts w:ascii="Calibri" w:hAnsi="Calibri" w:cs="Calibri"/>
          <w:color w:val="404040"/>
          <w:szCs w:val="23"/>
          <w:shd w:val="clear" w:color="auto" w:fill="FFFFFF"/>
        </w:rPr>
        <w:t>760</w:t>
      </w:r>
      <w:r w:rsidRPr="00B90403">
        <w:rPr>
          <w:rFonts w:ascii="Calibri" w:hAnsi="Calibri" w:cs="Calibri"/>
          <w:color w:val="404040"/>
          <w:szCs w:val="23"/>
          <w:shd w:val="clear" w:color="auto" w:fill="FFFFFF"/>
        </w:rPr>
        <w:t xml:space="preserve"> students in grades K-1</w:t>
      </w:r>
      <w:r w:rsidR="0065480D">
        <w:rPr>
          <w:rFonts w:ascii="Calibri" w:hAnsi="Calibri" w:cs="Calibri"/>
          <w:color w:val="404040"/>
          <w:szCs w:val="23"/>
          <w:shd w:val="clear" w:color="auto" w:fill="FFFFFF"/>
        </w:rPr>
        <w:t>2</w:t>
      </w:r>
      <w:r w:rsidRPr="00B90403">
        <w:rPr>
          <w:rFonts w:ascii="Calibri" w:hAnsi="Calibri" w:cs="Calibri"/>
          <w:color w:val="404040"/>
          <w:szCs w:val="23"/>
          <w:shd w:val="clear" w:color="auto" w:fill="FFFFFF"/>
        </w:rPr>
        <w:t xml:space="preserve">. </w:t>
      </w:r>
      <w:r w:rsidR="0065480D">
        <w:rPr>
          <w:rFonts w:ascii="Calibri" w:hAnsi="Calibri" w:cs="Calibri"/>
          <w:color w:val="404040"/>
          <w:szCs w:val="23"/>
          <w:shd w:val="clear" w:color="auto" w:fill="FFFFFF"/>
        </w:rPr>
        <w:t xml:space="preserve">During the </w:t>
      </w:r>
      <w:r w:rsidRPr="00B90403">
        <w:rPr>
          <w:rFonts w:ascii="Calibri" w:hAnsi="Calibri" w:cs="Calibri"/>
          <w:color w:val="404040"/>
          <w:szCs w:val="23"/>
          <w:shd w:val="clear" w:color="auto" w:fill="FFFFFF"/>
        </w:rPr>
        <w:t>2020-2021</w:t>
      </w:r>
      <w:r w:rsidR="0065480D">
        <w:rPr>
          <w:rFonts w:ascii="Calibri" w:hAnsi="Calibri" w:cs="Calibri"/>
          <w:color w:val="404040"/>
          <w:szCs w:val="23"/>
          <w:shd w:val="clear" w:color="auto" w:fill="FFFFFF"/>
        </w:rPr>
        <w:t xml:space="preserve"> </w:t>
      </w:r>
      <w:r w:rsidRPr="00B90403">
        <w:rPr>
          <w:rFonts w:ascii="Calibri" w:hAnsi="Calibri" w:cs="Calibri"/>
          <w:color w:val="404040"/>
          <w:szCs w:val="23"/>
          <w:shd w:val="clear" w:color="auto" w:fill="FFFFFF"/>
        </w:rPr>
        <w:t xml:space="preserve">school year, Troy Prep </w:t>
      </w:r>
      <w:r w:rsidR="0065480D">
        <w:rPr>
          <w:rFonts w:ascii="Calibri" w:hAnsi="Calibri" w:cs="Calibri"/>
          <w:color w:val="404040"/>
          <w:szCs w:val="23"/>
          <w:shd w:val="clear" w:color="auto" w:fill="FFFFFF"/>
        </w:rPr>
        <w:t>was</w:t>
      </w:r>
      <w:r w:rsidRPr="00B90403">
        <w:rPr>
          <w:rFonts w:ascii="Calibri" w:hAnsi="Calibri" w:cs="Calibri"/>
          <w:color w:val="404040"/>
          <w:szCs w:val="23"/>
          <w:shd w:val="clear" w:color="auto" w:fill="FFFFFF"/>
        </w:rPr>
        <w:t xml:space="preserve"> a K-12 school with its first graduating senior class.  Troy Prep is open to all students in the surrounding communities</w:t>
      </w:r>
      <w:r w:rsidRPr="00226147">
        <w:rPr>
          <w:rFonts w:ascii="Calibri" w:hAnsi="Calibri" w:cs="Calibri"/>
          <w:color w:val="404040"/>
          <w:szCs w:val="23"/>
          <w:shd w:val="clear" w:color="auto" w:fill="FFFFFF"/>
        </w:rPr>
        <w:t>.  Troy Prep’s student population consists of approximately 6</w:t>
      </w:r>
      <w:r w:rsidR="00226147" w:rsidRPr="00226147">
        <w:rPr>
          <w:rFonts w:ascii="Calibri" w:hAnsi="Calibri" w:cs="Calibri"/>
          <w:color w:val="404040"/>
          <w:szCs w:val="23"/>
          <w:shd w:val="clear" w:color="auto" w:fill="FFFFFF"/>
        </w:rPr>
        <w:t>5</w:t>
      </w:r>
      <w:r w:rsidRPr="00226147">
        <w:rPr>
          <w:rFonts w:ascii="Calibri" w:hAnsi="Calibri" w:cs="Calibri"/>
          <w:color w:val="404040"/>
          <w:szCs w:val="23"/>
          <w:shd w:val="clear" w:color="auto" w:fill="FFFFFF"/>
        </w:rPr>
        <w:t xml:space="preserve">% African American, 22% Hispanic, </w:t>
      </w:r>
      <w:r w:rsidRPr="00226147">
        <w:rPr>
          <w:rFonts w:ascii="Calibri" w:hAnsi="Calibri" w:cs="Calibri"/>
          <w:color w:val="404040"/>
          <w:szCs w:val="23"/>
        </w:rPr>
        <w:t>1% Asian,</w:t>
      </w:r>
      <w:r w:rsidRPr="00226147">
        <w:rPr>
          <w:rFonts w:ascii="Calibri" w:hAnsi="Calibri" w:cs="Calibri"/>
          <w:color w:val="404040"/>
          <w:szCs w:val="23"/>
          <w:shd w:val="clear" w:color="auto" w:fill="FFFFFF"/>
        </w:rPr>
        <w:t xml:space="preserve"> 1% American Indian, 1% Native Hawaiian and 1</w:t>
      </w:r>
      <w:r w:rsidR="00356B0F" w:rsidRPr="00226147">
        <w:rPr>
          <w:rFonts w:ascii="Calibri" w:hAnsi="Calibri" w:cs="Calibri"/>
          <w:color w:val="404040"/>
          <w:szCs w:val="23"/>
          <w:shd w:val="clear" w:color="auto" w:fill="FFFFFF"/>
        </w:rPr>
        <w:t>2</w:t>
      </w:r>
      <w:r w:rsidRPr="00226147">
        <w:rPr>
          <w:rFonts w:ascii="Calibri" w:hAnsi="Calibri" w:cs="Calibri"/>
          <w:color w:val="404040"/>
          <w:szCs w:val="23"/>
          <w:shd w:val="clear" w:color="auto" w:fill="FFFFFF"/>
        </w:rPr>
        <w:t xml:space="preserve">% Caucasian students.  Approximately </w:t>
      </w:r>
      <w:r w:rsidR="00226147">
        <w:rPr>
          <w:rFonts w:ascii="Calibri" w:hAnsi="Calibri" w:cs="Calibri"/>
          <w:color w:val="404040"/>
          <w:szCs w:val="23"/>
          <w:shd w:val="clear" w:color="auto" w:fill="FFFFFF"/>
        </w:rPr>
        <w:t>eighty five</w:t>
      </w:r>
      <w:r w:rsidRPr="00226147">
        <w:rPr>
          <w:rFonts w:ascii="Calibri" w:hAnsi="Calibri" w:cs="Calibri"/>
          <w:color w:val="404040"/>
          <w:szCs w:val="23"/>
          <w:shd w:val="clear" w:color="auto" w:fill="FFFFFF"/>
        </w:rPr>
        <w:t xml:space="preserve"> percent of Troy Prep students qualify for free or reduced-price lunch.</w:t>
      </w:r>
      <w:r w:rsidRPr="00B90403">
        <w:rPr>
          <w:rFonts w:ascii="Calibri" w:hAnsi="Calibri" w:cs="Calibri"/>
          <w:color w:val="404040"/>
          <w:szCs w:val="23"/>
          <w:shd w:val="clear" w:color="auto" w:fill="FFFFFF"/>
        </w:rPr>
        <w:t xml:space="preserve">  Students from 16 district across the Capitol District attend Troy Prep, including: Troy, </w:t>
      </w:r>
      <w:proofErr w:type="spellStart"/>
      <w:r w:rsidRPr="00B90403">
        <w:rPr>
          <w:rFonts w:ascii="Calibri" w:hAnsi="Calibri" w:cs="Calibri"/>
          <w:color w:val="404040"/>
          <w:szCs w:val="23"/>
          <w:shd w:val="clear" w:color="auto" w:fill="FFFFFF"/>
        </w:rPr>
        <w:t>Lansingburgh</w:t>
      </w:r>
      <w:proofErr w:type="spellEnd"/>
      <w:r w:rsidRPr="00B90403">
        <w:rPr>
          <w:rFonts w:ascii="Calibri" w:hAnsi="Calibri" w:cs="Calibri"/>
          <w:color w:val="404040"/>
          <w:szCs w:val="23"/>
          <w:shd w:val="clear" w:color="auto" w:fill="FFFFFF"/>
        </w:rPr>
        <w:t>, Albany, Averill Park, Brunswick-</w:t>
      </w:r>
      <w:proofErr w:type="spellStart"/>
      <w:r w:rsidRPr="00B90403">
        <w:rPr>
          <w:rFonts w:ascii="Calibri" w:hAnsi="Calibri" w:cs="Calibri"/>
          <w:color w:val="404040"/>
          <w:szCs w:val="23"/>
          <w:shd w:val="clear" w:color="auto" w:fill="FFFFFF"/>
        </w:rPr>
        <w:t>Brittonkill</w:t>
      </w:r>
      <w:proofErr w:type="spellEnd"/>
      <w:r w:rsidRPr="00B90403">
        <w:rPr>
          <w:rFonts w:ascii="Calibri" w:hAnsi="Calibri" w:cs="Calibri"/>
          <w:color w:val="404040"/>
          <w:szCs w:val="23"/>
          <w:shd w:val="clear" w:color="auto" w:fill="FFFFFF"/>
        </w:rPr>
        <w:t xml:space="preserve">, Cohoes, Green Island, East Greenbush, </w:t>
      </w:r>
      <w:r w:rsidR="0065480D">
        <w:rPr>
          <w:rFonts w:ascii="Calibri" w:hAnsi="Calibri" w:cs="Calibri"/>
          <w:color w:val="404040"/>
          <w:szCs w:val="23"/>
          <w:shd w:val="clear" w:color="auto" w:fill="FFFFFF"/>
        </w:rPr>
        <w:t xml:space="preserve">Hudson, </w:t>
      </w:r>
      <w:r w:rsidRPr="00B90403">
        <w:rPr>
          <w:rFonts w:ascii="Calibri" w:hAnsi="Calibri" w:cs="Calibri"/>
          <w:color w:val="404040"/>
          <w:szCs w:val="23"/>
          <w:shd w:val="clear" w:color="auto" w:fill="FFFFFF"/>
        </w:rPr>
        <w:t>North Colonie, Rensselaer, Saratoga, Schenectady, Shenendehowa, South Colonie and Watervliet</w:t>
      </w:r>
    </w:p>
    <w:p w14:paraId="3EE29577" w14:textId="77777777" w:rsidR="00B37F28" w:rsidRPr="00472A0A" w:rsidRDefault="00B37F28" w:rsidP="00B37F28">
      <w:pPr>
        <w:spacing w:after="0"/>
        <w:rPr>
          <w:rFonts w:ascii="Calibri" w:hAnsi="Calibri" w:cs="Calibri"/>
          <w:color w:val="404040"/>
          <w:szCs w:val="23"/>
          <w:shd w:val="clear" w:color="auto" w:fill="FFFFFF"/>
        </w:rPr>
      </w:pPr>
    </w:p>
    <w:p w14:paraId="158CC761" w14:textId="77777777" w:rsidR="00B37F28" w:rsidRPr="00472A0A" w:rsidRDefault="00B37F28" w:rsidP="00B37F28">
      <w:pPr>
        <w:spacing w:after="0"/>
        <w:rPr>
          <w:rFonts w:ascii="Times New Roman" w:hAnsi="Times New Roman"/>
          <w:color w:val="auto"/>
          <w:szCs w:val="23"/>
        </w:rPr>
      </w:pPr>
      <w:r w:rsidRPr="00B90403">
        <w:rPr>
          <w:rFonts w:ascii="Calibri" w:hAnsi="Calibri" w:cs="Calibri"/>
          <w:color w:val="404040"/>
          <w:szCs w:val="23"/>
          <w:shd w:val="clear" w:color="auto" w:fill="FFFFFF"/>
        </w:rPr>
        <w:t>Troy Preparatory</w:t>
      </w:r>
      <w:r w:rsidRPr="00472A0A">
        <w:rPr>
          <w:rFonts w:ascii="Calibri" w:hAnsi="Calibri" w:cs="Calibri"/>
          <w:color w:val="404040"/>
          <w:szCs w:val="23"/>
          <w:shd w:val="clear" w:color="auto" w:fill="FFFFFF"/>
        </w:rPr>
        <w:t xml:space="preserve"> Charter School’s sc</w:t>
      </w:r>
      <w:r w:rsidRPr="00472A0A">
        <w:rPr>
          <w:rFonts w:ascii="Calibri" w:hAnsi="Calibri" w:cs="Calibri"/>
          <w:color w:val="404040"/>
          <w:szCs w:val="23"/>
        </w:rPr>
        <w:t>hool design includes seven core components.</w:t>
      </w:r>
    </w:p>
    <w:p w14:paraId="54C9A336" w14:textId="77777777" w:rsidR="00B37F28" w:rsidRPr="00472A0A" w:rsidRDefault="00B37F28" w:rsidP="00B37F28">
      <w:pPr>
        <w:spacing w:after="0"/>
        <w:rPr>
          <w:rFonts w:ascii="Times New Roman" w:hAnsi="Times New Roman"/>
          <w:color w:val="auto"/>
          <w:szCs w:val="23"/>
        </w:rPr>
      </w:pPr>
    </w:p>
    <w:p w14:paraId="568739B0" w14:textId="27231A77" w:rsidR="00B37F28" w:rsidRPr="00650655" w:rsidRDefault="00B37F28" w:rsidP="00B37F28">
      <w:pPr>
        <w:spacing w:after="0"/>
        <w:rPr>
          <w:rFonts w:ascii="Times New Roman" w:hAnsi="Times New Roman"/>
          <w:color w:val="auto"/>
          <w:sz w:val="24"/>
          <w:szCs w:val="24"/>
        </w:rPr>
      </w:pPr>
      <w:bookmarkStart w:id="1" w:name="_Hlk50026818"/>
      <w:r w:rsidRPr="00650655">
        <w:rPr>
          <w:rFonts w:ascii="Calibri" w:hAnsi="Calibri" w:cs="Calibri"/>
          <w:b/>
          <w:bCs/>
          <w:color w:val="404040"/>
          <w:szCs w:val="23"/>
          <w:shd w:val="clear" w:color="auto" w:fill="FFFFFF"/>
        </w:rPr>
        <w:t xml:space="preserve">Focus on Literacy. </w:t>
      </w:r>
      <w:r w:rsidRPr="00650655">
        <w:rPr>
          <w:rFonts w:ascii="Calibri" w:hAnsi="Calibri" w:cs="Calibri"/>
          <w:color w:val="404040"/>
          <w:szCs w:val="23"/>
          <w:shd w:val="clear" w:color="auto" w:fill="FFFFFF"/>
        </w:rPr>
        <w:t xml:space="preserve">Many of our students begin their school career reading substantially below grade level. If a school does not address this dramatic and central issue immediately, students will be at a huge disadvantage in all subjects in high school and college.  The ultimate academic success of </w:t>
      </w:r>
      <w:r w:rsidRPr="004072CB">
        <w:rPr>
          <w:rFonts w:ascii="Calibri" w:hAnsi="Calibri" w:cs="Calibri"/>
          <w:color w:val="404040"/>
          <w:szCs w:val="23"/>
          <w:shd w:val="clear" w:color="auto" w:fill="FFFFFF"/>
        </w:rPr>
        <w:t>Troy Prep</w:t>
      </w:r>
      <w:r w:rsidRPr="00650655">
        <w:rPr>
          <w:rFonts w:ascii="Calibri" w:hAnsi="Calibri" w:cs="Calibri"/>
          <w:color w:val="404040"/>
          <w:szCs w:val="23"/>
          <w:shd w:val="clear" w:color="auto" w:fill="FFFFFF"/>
        </w:rPr>
        <w:t xml:space="preserve"> students, therefore, is tied to mastering this fundamental skill.  In </w:t>
      </w:r>
      <w:r>
        <w:rPr>
          <w:rFonts w:ascii="Calibri" w:hAnsi="Calibri" w:cs="Calibri"/>
          <w:color w:val="404040"/>
          <w:szCs w:val="23"/>
          <w:shd w:val="clear" w:color="auto" w:fill="FFFFFF"/>
        </w:rPr>
        <w:t>20</w:t>
      </w:r>
      <w:r w:rsidR="0065480D">
        <w:rPr>
          <w:rFonts w:ascii="Calibri" w:hAnsi="Calibri" w:cs="Calibri"/>
          <w:color w:val="404040"/>
          <w:szCs w:val="23"/>
          <w:shd w:val="clear" w:color="auto" w:fill="FFFFFF"/>
        </w:rPr>
        <w:t>20</w:t>
      </w:r>
      <w:r>
        <w:rPr>
          <w:rFonts w:ascii="Calibri" w:hAnsi="Calibri" w:cs="Calibri"/>
          <w:color w:val="404040"/>
          <w:szCs w:val="23"/>
          <w:shd w:val="clear" w:color="auto" w:fill="FFFFFF"/>
        </w:rPr>
        <w:t>-202</w:t>
      </w:r>
      <w:r w:rsidR="0065480D">
        <w:rPr>
          <w:rFonts w:ascii="Calibri" w:hAnsi="Calibri" w:cs="Calibri"/>
          <w:color w:val="404040"/>
          <w:szCs w:val="23"/>
          <w:shd w:val="clear" w:color="auto" w:fill="FFFFFF"/>
        </w:rPr>
        <w:t>1</w:t>
      </w:r>
      <w:r>
        <w:rPr>
          <w:rFonts w:ascii="Calibri" w:hAnsi="Calibri" w:cs="Calibri"/>
          <w:color w:val="404040"/>
          <w:szCs w:val="23"/>
          <w:shd w:val="clear" w:color="auto" w:fill="FFFFFF"/>
        </w:rPr>
        <w:t>, Troy Prep</w:t>
      </w:r>
      <w:r w:rsidRPr="00650655">
        <w:rPr>
          <w:rFonts w:ascii="Calibri" w:hAnsi="Calibri" w:cs="Calibri"/>
          <w:color w:val="404040"/>
          <w:szCs w:val="23"/>
          <w:shd w:val="clear" w:color="auto" w:fill="FFFFFF"/>
        </w:rPr>
        <w:t xml:space="preserve"> provided explicit instruction in literacy skills and inculcated the reading habit respective to grade span. </w:t>
      </w:r>
    </w:p>
    <w:p w14:paraId="1CBD046F" w14:textId="77777777" w:rsidR="00B37F28" w:rsidRPr="00650655" w:rsidRDefault="00B37F28" w:rsidP="00B37F28">
      <w:pPr>
        <w:spacing w:after="0"/>
        <w:rPr>
          <w:rFonts w:ascii="Times New Roman" w:hAnsi="Times New Roman"/>
          <w:color w:val="auto"/>
          <w:sz w:val="24"/>
          <w:szCs w:val="24"/>
        </w:rPr>
      </w:pPr>
    </w:p>
    <w:p w14:paraId="1A5FD498" w14:textId="77777777" w:rsidR="00B37F28" w:rsidRPr="00650655" w:rsidRDefault="00B37F28" w:rsidP="00B37F28">
      <w:pPr>
        <w:spacing w:after="0"/>
        <w:rPr>
          <w:rFonts w:ascii="Times New Roman" w:hAnsi="Times New Roman"/>
          <w:color w:val="auto"/>
          <w:sz w:val="24"/>
          <w:szCs w:val="24"/>
        </w:rPr>
      </w:pPr>
      <w:r w:rsidRPr="00650655">
        <w:rPr>
          <w:rFonts w:ascii="Calibri" w:hAnsi="Calibri" w:cs="Calibri"/>
          <w:color w:val="404040"/>
          <w:szCs w:val="23"/>
          <w:shd w:val="clear" w:color="auto" w:fill="FFFFFF"/>
        </w:rPr>
        <w:t>Grades K-4</w:t>
      </w:r>
    </w:p>
    <w:p w14:paraId="696B7C85" w14:textId="77777777" w:rsidR="00B37F28" w:rsidRPr="00650655" w:rsidRDefault="00B37F28" w:rsidP="00A70F9C">
      <w:pPr>
        <w:numPr>
          <w:ilvl w:val="0"/>
          <w:numId w:val="5"/>
        </w:numPr>
        <w:spacing w:after="0"/>
        <w:textAlignment w:val="baseline"/>
        <w:rPr>
          <w:rFonts w:ascii="Calibri" w:hAnsi="Calibri" w:cs="Calibri"/>
          <w:color w:val="404040"/>
          <w:szCs w:val="23"/>
        </w:rPr>
      </w:pPr>
      <w:r w:rsidRPr="00650655">
        <w:rPr>
          <w:rFonts w:ascii="Calibri" w:hAnsi="Calibri" w:cs="Calibri"/>
          <w:color w:val="404040"/>
          <w:szCs w:val="23"/>
          <w:shd w:val="clear" w:color="auto" w:fill="FFFFFF"/>
        </w:rPr>
        <w:t xml:space="preserve">Scholars have nearly three hours of daily reading instruction, which includes a systematic decoding program (Reading Mastery), a teacher-designed reading comprehension curriculum, the use of the STEP Assessment, and daily read </w:t>
      </w:r>
      <w:proofErr w:type="spellStart"/>
      <w:r w:rsidRPr="00650655">
        <w:rPr>
          <w:rFonts w:ascii="Calibri" w:hAnsi="Calibri" w:cs="Calibri"/>
          <w:color w:val="404040"/>
          <w:szCs w:val="23"/>
          <w:shd w:val="clear" w:color="auto" w:fill="FFFFFF"/>
        </w:rPr>
        <w:t>alouds</w:t>
      </w:r>
      <w:proofErr w:type="spellEnd"/>
      <w:r w:rsidRPr="00650655">
        <w:rPr>
          <w:rFonts w:ascii="Calibri" w:hAnsi="Calibri" w:cs="Calibri"/>
          <w:color w:val="404040"/>
          <w:szCs w:val="23"/>
          <w:shd w:val="clear" w:color="auto" w:fill="FFFFFF"/>
        </w:rPr>
        <w:t>.</w:t>
      </w:r>
    </w:p>
    <w:p w14:paraId="5B94E816" w14:textId="77777777" w:rsidR="00B37F28" w:rsidRPr="00650655" w:rsidRDefault="00B37F28" w:rsidP="00A70F9C">
      <w:pPr>
        <w:numPr>
          <w:ilvl w:val="0"/>
          <w:numId w:val="5"/>
        </w:numPr>
        <w:spacing w:after="0"/>
        <w:textAlignment w:val="baseline"/>
        <w:rPr>
          <w:rFonts w:ascii="Calibri" w:hAnsi="Calibri" w:cs="Calibri"/>
          <w:color w:val="404040"/>
          <w:szCs w:val="23"/>
        </w:rPr>
      </w:pPr>
      <w:r w:rsidRPr="00650655">
        <w:rPr>
          <w:rFonts w:ascii="Calibri" w:hAnsi="Calibri" w:cs="Calibri"/>
          <w:color w:val="404040"/>
          <w:szCs w:val="23"/>
          <w:shd w:val="clear" w:color="auto" w:fill="FFFFFF"/>
        </w:rPr>
        <w:t>All classrooms are staffed with two teachers to ensure that the student-to-teacher ratio never exceeds 15:1.</w:t>
      </w:r>
    </w:p>
    <w:p w14:paraId="7A9871CD" w14:textId="77777777" w:rsidR="00B37F28" w:rsidRPr="00650655" w:rsidRDefault="00B37F28" w:rsidP="00A70F9C">
      <w:pPr>
        <w:numPr>
          <w:ilvl w:val="0"/>
          <w:numId w:val="5"/>
        </w:numPr>
        <w:spacing w:after="0"/>
        <w:textAlignment w:val="baseline"/>
        <w:rPr>
          <w:rFonts w:ascii="Calibri" w:hAnsi="Calibri" w:cs="Calibri"/>
          <w:color w:val="404040"/>
          <w:szCs w:val="23"/>
        </w:rPr>
      </w:pPr>
      <w:r w:rsidRPr="00650655">
        <w:rPr>
          <w:rFonts w:ascii="Calibri" w:hAnsi="Calibri" w:cs="Calibri"/>
          <w:color w:val="404040"/>
          <w:szCs w:val="23"/>
          <w:shd w:val="clear" w:color="auto" w:fill="FFFFFF"/>
        </w:rPr>
        <w:t>Students are expected to read for at least 15-20 minutes at home each night in Kindergarten and 1</w:t>
      </w:r>
      <w:r w:rsidRPr="00650655">
        <w:rPr>
          <w:rFonts w:ascii="Calibri" w:hAnsi="Calibri" w:cs="Calibri"/>
          <w:color w:val="404040"/>
          <w:sz w:val="14"/>
          <w:szCs w:val="14"/>
          <w:shd w:val="clear" w:color="auto" w:fill="FFFFFF"/>
          <w:vertAlign w:val="superscript"/>
        </w:rPr>
        <w:t>st</w:t>
      </w:r>
      <w:r w:rsidRPr="00650655">
        <w:rPr>
          <w:rFonts w:ascii="Calibri" w:hAnsi="Calibri" w:cs="Calibri"/>
          <w:color w:val="404040"/>
          <w:szCs w:val="23"/>
          <w:shd w:val="clear" w:color="auto" w:fill="FFFFFF"/>
        </w:rPr>
        <w:t xml:space="preserve"> grade, and for at least 30 minutes each night starting in 2</w:t>
      </w:r>
      <w:r w:rsidRPr="00650655">
        <w:rPr>
          <w:rFonts w:ascii="Calibri" w:hAnsi="Calibri" w:cs="Calibri"/>
          <w:color w:val="404040"/>
          <w:sz w:val="14"/>
          <w:szCs w:val="14"/>
          <w:shd w:val="clear" w:color="auto" w:fill="FFFFFF"/>
          <w:vertAlign w:val="superscript"/>
        </w:rPr>
        <w:t>nd</w:t>
      </w:r>
      <w:r w:rsidRPr="00650655">
        <w:rPr>
          <w:rFonts w:ascii="Calibri" w:hAnsi="Calibri" w:cs="Calibri"/>
          <w:color w:val="404040"/>
          <w:szCs w:val="23"/>
          <w:shd w:val="clear" w:color="auto" w:fill="FFFFFF"/>
        </w:rPr>
        <w:t xml:space="preserve"> grade.</w:t>
      </w:r>
    </w:p>
    <w:p w14:paraId="4552AF32" w14:textId="77777777" w:rsidR="00B37F28" w:rsidRPr="00650655" w:rsidRDefault="00B37F28" w:rsidP="00A70F9C">
      <w:pPr>
        <w:numPr>
          <w:ilvl w:val="0"/>
          <w:numId w:val="5"/>
        </w:numPr>
        <w:spacing w:after="0"/>
        <w:textAlignment w:val="baseline"/>
        <w:rPr>
          <w:rFonts w:ascii="Calibri" w:hAnsi="Calibri" w:cs="Calibri"/>
          <w:color w:val="404040"/>
          <w:szCs w:val="23"/>
        </w:rPr>
      </w:pPr>
      <w:r w:rsidRPr="00650655">
        <w:rPr>
          <w:rFonts w:ascii="Calibri" w:hAnsi="Calibri" w:cs="Calibri"/>
          <w:color w:val="404040"/>
          <w:szCs w:val="23"/>
          <w:shd w:val="clear" w:color="auto" w:fill="FFFFFF"/>
        </w:rPr>
        <w:t>Students write in every class and use the Writer’s Workshop method to cultivate creativity and voice.</w:t>
      </w:r>
    </w:p>
    <w:p w14:paraId="1017F665" w14:textId="77777777" w:rsidR="00B37F28" w:rsidRPr="00650655" w:rsidRDefault="00B37F28" w:rsidP="00B37F28">
      <w:pPr>
        <w:spacing w:after="0"/>
        <w:rPr>
          <w:rFonts w:ascii="Times New Roman" w:hAnsi="Times New Roman"/>
          <w:color w:val="auto"/>
          <w:sz w:val="24"/>
          <w:szCs w:val="24"/>
        </w:rPr>
      </w:pPr>
    </w:p>
    <w:p w14:paraId="02544362" w14:textId="77777777" w:rsidR="00B37F28" w:rsidRPr="00650655" w:rsidRDefault="00B37F28" w:rsidP="00B37F28">
      <w:pPr>
        <w:spacing w:after="0"/>
        <w:rPr>
          <w:rFonts w:ascii="Times New Roman" w:hAnsi="Times New Roman"/>
          <w:color w:val="auto"/>
          <w:sz w:val="24"/>
          <w:szCs w:val="24"/>
        </w:rPr>
      </w:pPr>
      <w:r w:rsidRPr="00650655">
        <w:rPr>
          <w:rFonts w:ascii="Calibri" w:hAnsi="Calibri" w:cs="Calibri"/>
          <w:color w:val="404040"/>
          <w:szCs w:val="23"/>
          <w:shd w:val="clear" w:color="auto" w:fill="FFFFFF"/>
        </w:rPr>
        <w:t>Grades 5-8</w:t>
      </w:r>
    </w:p>
    <w:p w14:paraId="75A9AD09" w14:textId="77777777" w:rsidR="00B37F28" w:rsidRPr="00650655" w:rsidRDefault="00B37F28" w:rsidP="00A70F9C">
      <w:pPr>
        <w:numPr>
          <w:ilvl w:val="0"/>
          <w:numId w:val="6"/>
        </w:numPr>
        <w:spacing w:after="0"/>
        <w:textAlignment w:val="baseline"/>
        <w:rPr>
          <w:rFonts w:ascii="Calibri" w:hAnsi="Calibri" w:cs="Calibri"/>
          <w:color w:val="404040"/>
          <w:szCs w:val="23"/>
        </w:rPr>
      </w:pPr>
      <w:r w:rsidRPr="00650655">
        <w:rPr>
          <w:rFonts w:ascii="Calibri" w:hAnsi="Calibri" w:cs="Calibri"/>
          <w:color w:val="404040"/>
          <w:szCs w:val="23"/>
        </w:rPr>
        <w:t>Scholars have two hours and a half hours of daily reading instruction.</w:t>
      </w:r>
    </w:p>
    <w:p w14:paraId="09603972" w14:textId="25BFE20C" w:rsidR="00B37F28" w:rsidRPr="00650655" w:rsidRDefault="00B37F28" w:rsidP="00A70F9C">
      <w:pPr>
        <w:numPr>
          <w:ilvl w:val="0"/>
          <w:numId w:val="6"/>
        </w:numPr>
        <w:spacing w:after="0"/>
        <w:textAlignment w:val="baseline"/>
        <w:rPr>
          <w:rFonts w:ascii="Calibri" w:hAnsi="Calibri" w:cs="Calibri"/>
          <w:color w:val="404040"/>
          <w:szCs w:val="23"/>
        </w:rPr>
      </w:pPr>
      <w:r w:rsidRPr="00650655">
        <w:rPr>
          <w:rFonts w:ascii="Calibri" w:hAnsi="Calibri" w:cs="Calibri"/>
          <w:color w:val="404040"/>
          <w:szCs w:val="23"/>
        </w:rPr>
        <w:t>Scholars are required to read reading level-appropriate books during the summer. </w:t>
      </w:r>
    </w:p>
    <w:p w14:paraId="4B8888AE" w14:textId="77777777" w:rsidR="00B37F28" w:rsidRPr="00650655" w:rsidRDefault="00B37F28" w:rsidP="00A70F9C">
      <w:pPr>
        <w:numPr>
          <w:ilvl w:val="0"/>
          <w:numId w:val="6"/>
        </w:numPr>
        <w:spacing w:after="0"/>
        <w:textAlignment w:val="baseline"/>
        <w:rPr>
          <w:rFonts w:ascii="Calibri" w:hAnsi="Calibri" w:cs="Calibri"/>
          <w:color w:val="404040"/>
          <w:szCs w:val="23"/>
        </w:rPr>
      </w:pPr>
      <w:r w:rsidRPr="00650655">
        <w:rPr>
          <w:rFonts w:ascii="Calibri" w:hAnsi="Calibri" w:cs="Calibri"/>
          <w:color w:val="404040"/>
          <w:szCs w:val="23"/>
        </w:rPr>
        <w:t>There is required, graded, written work in every class.</w:t>
      </w:r>
    </w:p>
    <w:p w14:paraId="4FF052E0" w14:textId="77777777" w:rsidR="00B37F28" w:rsidRPr="00650655" w:rsidRDefault="00B37F28" w:rsidP="00A70F9C">
      <w:pPr>
        <w:numPr>
          <w:ilvl w:val="0"/>
          <w:numId w:val="6"/>
        </w:numPr>
        <w:spacing w:after="0"/>
        <w:textAlignment w:val="baseline"/>
        <w:rPr>
          <w:rFonts w:ascii="Calibri" w:hAnsi="Calibri" w:cs="Calibri"/>
          <w:color w:val="404040"/>
          <w:szCs w:val="23"/>
        </w:rPr>
      </w:pPr>
      <w:r w:rsidRPr="00650655">
        <w:rPr>
          <w:rFonts w:ascii="Calibri" w:hAnsi="Calibri" w:cs="Calibri"/>
          <w:color w:val="404040"/>
          <w:szCs w:val="23"/>
        </w:rPr>
        <w:t xml:space="preserve">Scholars are required to </w:t>
      </w:r>
      <w:proofErr w:type="spellStart"/>
      <w:r w:rsidRPr="00650655">
        <w:rPr>
          <w:rFonts w:ascii="Calibri" w:hAnsi="Calibri" w:cs="Calibri"/>
          <w:color w:val="404040"/>
          <w:szCs w:val="23"/>
        </w:rPr>
        <w:t>to</w:t>
      </w:r>
      <w:proofErr w:type="spellEnd"/>
      <w:r w:rsidRPr="00650655">
        <w:rPr>
          <w:rFonts w:ascii="Calibri" w:hAnsi="Calibri" w:cs="Calibri"/>
          <w:color w:val="404040"/>
          <w:szCs w:val="23"/>
        </w:rPr>
        <w:t xml:space="preserve"> carry an independent reading book, checked out from our library, to make better use of transition time in the hallways and other periods of downtime throughout the school day. </w:t>
      </w:r>
    </w:p>
    <w:p w14:paraId="51A84925" w14:textId="77777777" w:rsidR="00B37F28" w:rsidRPr="00650655" w:rsidRDefault="00B37F28" w:rsidP="00A70F9C">
      <w:pPr>
        <w:numPr>
          <w:ilvl w:val="0"/>
          <w:numId w:val="6"/>
        </w:numPr>
        <w:spacing w:after="0"/>
        <w:textAlignment w:val="baseline"/>
        <w:rPr>
          <w:rFonts w:ascii="Calibri" w:hAnsi="Calibri" w:cs="Calibri"/>
          <w:color w:val="404040"/>
          <w:szCs w:val="23"/>
        </w:rPr>
      </w:pPr>
      <w:r w:rsidRPr="00650655">
        <w:rPr>
          <w:rFonts w:ascii="Calibri" w:hAnsi="Calibri" w:cs="Calibri"/>
          <w:color w:val="404040"/>
          <w:szCs w:val="23"/>
        </w:rPr>
        <w:t>STAR tested every student 3 times during the year to monitor progress and ensure that students were being challenged by independent reading books on their reading level</w:t>
      </w:r>
    </w:p>
    <w:p w14:paraId="400AEE40" w14:textId="77777777" w:rsidR="00B37F28" w:rsidRPr="00650655" w:rsidRDefault="00B37F28" w:rsidP="00B37F28">
      <w:pPr>
        <w:spacing w:after="0"/>
        <w:rPr>
          <w:rFonts w:ascii="Times New Roman" w:hAnsi="Times New Roman"/>
          <w:color w:val="auto"/>
          <w:sz w:val="24"/>
          <w:szCs w:val="24"/>
        </w:rPr>
      </w:pPr>
    </w:p>
    <w:p w14:paraId="7E62F6F8" w14:textId="77777777" w:rsidR="00B37F28" w:rsidRPr="00650655" w:rsidRDefault="00B37F28" w:rsidP="00B37F28">
      <w:pPr>
        <w:spacing w:after="0"/>
        <w:rPr>
          <w:rFonts w:ascii="Times New Roman" w:hAnsi="Times New Roman"/>
          <w:color w:val="auto"/>
          <w:sz w:val="24"/>
          <w:szCs w:val="24"/>
        </w:rPr>
      </w:pPr>
      <w:r w:rsidRPr="00650655">
        <w:rPr>
          <w:rFonts w:ascii="Calibri" w:hAnsi="Calibri" w:cs="Calibri"/>
          <w:color w:val="404040"/>
          <w:szCs w:val="23"/>
        </w:rPr>
        <w:t>In the elementary and middle academies alike,</w:t>
      </w:r>
      <w:r>
        <w:rPr>
          <w:rFonts w:ascii="Calibri" w:hAnsi="Calibri" w:cs="Calibri"/>
          <w:color w:val="404040"/>
          <w:szCs w:val="23"/>
        </w:rPr>
        <w:t xml:space="preserve"> </w:t>
      </w:r>
      <w:r w:rsidRPr="00650655">
        <w:rPr>
          <w:rFonts w:ascii="Calibri" w:hAnsi="Calibri" w:cs="Calibri"/>
          <w:color w:val="404040"/>
          <w:szCs w:val="23"/>
        </w:rPr>
        <w:t>K-</w:t>
      </w:r>
      <w:proofErr w:type="gramStart"/>
      <w:r w:rsidRPr="00650655">
        <w:rPr>
          <w:rFonts w:ascii="Calibri" w:hAnsi="Calibri" w:cs="Calibri"/>
          <w:color w:val="404040"/>
          <w:szCs w:val="23"/>
        </w:rPr>
        <w:t>8  families</w:t>
      </w:r>
      <w:proofErr w:type="gramEnd"/>
      <w:r w:rsidRPr="00650655">
        <w:rPr>
          <w:rFonts w:ascii="Calibri" w:hAnsi="Calibri" w:cs="Calibri"/>
          <w:color w:val="404040"/>
          <w:szCs w:val="23"/>
        </w:rPr>
        <w:t xml:space="preserve"> and scholars are expected to read together for 20 minutes each night as well. </w:t>
      </w:r>
    </w:p>
    <w:p w14:paraId="35A9939C" w14:textId="77777777" w:rsidR="00B37F28" w:rsidRPr="00650655" w:rsidRDefault="00B37F28" w:rsidP="00B37F28">
      <w:pPr>
        <w:spacing w:after="0"/>
        <w:rPr>
          <w:rFonts w:ascii="Times New Roman" w:hAnsi="Times New Roman"/>
          <w:color w:val="auto"/>
          <w:sz w:val="24"/>
          <w:szCs w:val="24"/>
        </w:rPr>
      </w:pPr>
    </w:p>
    <w:p w14:paraId="4590A9E7" w14:textId="77777777" w:rsidR="00B37F28" w:rsidRPr="00650655" w:rsidRDefault="00B37F28" w:rsidP="00B37F28">
      <w:pPr>
        <w:spacing w:after="0"/>
        <w:rPr>
          <w:rFonts w:ascii="Times New Roman" w:hAnsi="Times New Roman"/>
          <w:color w:val="auto"/>
          <w:sz w:val="24"/>
          <w:szCs w:val="24"/>
        </w:rPr>
      </w:pPr>
      <w:r w:rsidRPr="00650655">
        <w:rPr>
          <w:rFonts w:ascii="Calibri" w:hAnsi="Calibri" w:cs="Calibri"/>
          <w:color w:val="404040"/>
          <w:szCs w:val="23"/>
        </w:rPr>
        <w:t>Grades 9-12</w:t>
      </w:r>
    </w:p>
    <w:p w14:paraId="59D2E1C7" w14:textId="77777777" w:rsidR="00B37F28" w:rsidRPr="00650655" w:rsidRDefault="00B37F28" w:rsidP="00A70F9C">
      <w:pPr>
        <w:numPr>
          <w:ilvl w:val="0"/>
          <w:numId w:val="7"/>
        </w:numPr>
        <w:spacing w:after="0"/>
        <w:textAlignment w:val="baseline"/>
        <w:rPr>
          <w:rFonts w:ascii="Calibri" w:hAnsi="Calibri" w:cs="Calibri"/>
          <w:color w:val="404040"/>
          <w:szCs w:val="23"/>
        </w:rPr>
      </w:pPr>
      <w:r w:rsidRPr="00650655">
        <w:rPr>
          <w:rFonts w:ascii="Calibri" w:hAnsi="Calibri" w:cs="Calibri"/>
          <w:color w:val="404040"/>
          <w:szCs w:val="23"/>
        </w:rPr>
        <w:t>Scholars have two and a half hours of daily reading instruction. </w:t>
      </w:r>
    </w:p>
    <w:p w14:paraId="0A2C677D" w14:textId="77777777" w:rsidR="00B37F28" w:rsidRPr="00650655" w:rsidRDefault="00B37F28" w:rsidP="00A70F9C">
      <w:pPr>
        <w:numPr>
          <w:ilvl w:val="0"/>
          <w:numId w:val="7"/>
        </w:numPr>
        <w:spacing w:after="0"/>
        <w:textAlignment w:val="baseline"/>
        <w:rPr>
          <w:rFonts w:ascii="Calibri" w:hAnsi="Calibri" w:cs="Calibri"/>
          <w:color w:val="404040"/>
          <w:szCs w:val="23"/>
        </w:rPr>
      </w:pPr>
      <w:r w:rsidRPr="00650655">
        <w:rPr>
          <w:rFonts w:ascii="Calibri" w:hAnsi="Calibri" w:cs="Calibri"/>
          <w:color w:val="404040"/>
          <w:szCs w:val="23"/>
        </w:rPr>
        <w:t xml:space="preserve">The curricula </w:t>
      </w:r>
      <w:proofErr w:type="gramStart"/>
      <w:r w:rsidRPr="00650655">
        <w:rPr>
          <w:rFonts w:ascii="Calibri" w:hAnsi="Calibri" w:cs="Calibri"/>
          <w:color w:val="404040"/>
          <w:szCs w:val="23"/>
        </w:rPr>
        <w:t>addresses</w:t>
      </w:r>
      <w:proofErr w:type="gramEnd"/>
      <w:r w:rsidRPr="00650655">
        <w:rPr>
          <w:rFonts w:ascii="Calibri" w:hAnsi="Calibri" w:cs="Calibri"/>
          <w:color w:val="404040"/>
          <w:szCs w:val="23"/>
        </w:rPr>
        <w:t xml:space="preserve"> five components of early literacy: phonemic awareness, phonics, vocabulary, fluency, and comprehension. </w:t>
      </w:r>
    </w:p>
    <w:p w14:paraId="648AD1DE" w14:textId="77777777" w:rsidR="00B37F28" w:rsidRPr="00650655" w:rsidRDefault="00B37F28" w:rsidP="00A70F9C">
      <w:pPr>
        <w:numPr>
          <w:ilvl w:val="0"/>
          <w:numId w:val="7"/>
        </w:numPr>
        <w:spacing w:after="0"/>
        <w:textAlignment w:val="baseline"/>
        <w:rPr>
          <w:rFonts w:ascii="Calibri" w:hAnsi="Calibri" w:cs="Calibri"/>
          <w:color w:val="404040"/>
          <w:szCs w:val="23"/>
        </w:rPr>
      </w:pPr>
      <w:r w:rsidRPr="00650655">
        <w:rPr>
          <w:rFonts w:ascii="Calibri" w:hAnsi="Calibri" w:cs="Calibri"/>
          <w:color w:val="404040"/>
          <w:szCs w:val="23"/>
        </w:rPr>
        <w:t xml:space="preserve">The foundation of our reading curriculum lies in four complementary, research-based programs – Direct Instruction (Reading Mastery); </w:t>
      </w:r>
      <w:proofErr w:type="spellStart"/>
      <w:r w:rsidRPr="00650655">
        <w:rPr>
          <w:rFonts w:ascii="Calibri" w:hAnsi="Calibri" w:cs="Calibri"/>
          <w:color w:val="404040"/>
          <w:szCs w:val="23"/>
        </w:rPr>
        <w:t>Riverdeep</w:t>
      </w:r>
      <w:proofErr w:type="spellEnd"/>
      <w:r w:rsidRPr="00650655">
        <w:rPr>
          <w:rFonts w:ascii="Calibri" w:hAnsi="Calibri" w:cs="Calibri"/>
          <w:color w:val="404040"/>
          <w:szCs w:val="23"/>
        </w:rPr>
        <w:t xml:space="preserve"> Destination Reading Program (computer program); reading comprehension instruction based on the lesson plans of other Uncommon Schools teachers; guided reading instruction based on the STEP assessment, and explicit vocabulary instruction through Text Talk (designed by noted vocabulary expert Isabel Beck). We incorporate these five components of early literacy to provide a rigorous reading education.</w:t>
      </w:r>
    </w:p>
    <w:bookmarkEnd w:id="1"/>
    <w:p w14:paraId="3CA218FA" w14:textId="77777777" w:rsidR="00B37F28" w:rsidRPr="00472A0A" w:rsidRDefault="00B37F28" w:rsidP="00B37F28">
      <w:pPr>
        <w:spacing w:after="0"/>
        <w:ind w:left="720"/>
        <w:textAlignment w:val="baseline"/>
        <w:rPr>
          <w:rFonts w:ascii="Calibri" w:hAnsi="Calibri" w:cs="Calibri"/>
          <w:color w:val="404040"/>
          <w:szCs w:val="23"/>
        </w:rPr>
      </w:pPr>
    </w:p>
    <w:p w14:paraId="31A4F4CE" w14:textId="77777777" w:rsidR="00B37F28" w:rsidRPr="00472A0A" w:rsidRDefault="00B37F28" w:rsidP="00B37F28">
      <w:pPr>
        <w:spacing w:after="0"/>
        <w:rPr>
          <w:rFonts w:ascii="Times New Roman" w:hAnsi="Times New Roman"/>
          <w:color w:val="auto"/>
          <w:szCs w:val="23"/>
        </w:rPr>
      </w:pPr>
    </w:p>
    <w:p w14:paraId="20504F57" w14:textId="77777777" w:rsidR="00B37F28" w:rsidRDefault="00B37F28" w:rsidP="00B37F28">
      <w:pPr>
        <w:spacing w:after="0"/>
        <w:rPr>
          <w:rFonts w:ascii="Calibri" w:hAnsi="Calibri" w:cs="Calibri"/>
          <w:b/>
          <w:bCs/>
          <w:color w:val="404040"/>
          <w:szCs w:val="23"/>
          <w:shd w:val="clear" w:color="auto" w:fill="FFFFFF"/>
        </w:rPr>
      </w:pPr>
      <w:r w:rsidRPr="00472A0A">
        <w:rPr>
          <w:rFonts w:ascii="Calibri" w:hAnsi="Calibri" w:cs="Calibri"/>
          <w:b/>
          <w:bCs/>
          <w:color w:val="404040"/>
          <w:szCs w:val="23"/>
        </w:rPr>
        <w:t>Target Curriculum Focused on Basic Skills.</w:t>
      </w:r>
      <w:r w:rsidRPr="00472A0A">
        <w:rPr>
          <w:rFonts w:ascii="Calibri" w:hAnsi="Calibri" w:cs="Calibri"/>
          <w:b/>
          <w:bCs/>
          <w:color w:val="404040"/>
          <w:szCs w:val="23"/>
          <w:shd w:val="clear" w:color="auto" w:fill="FFFFFF"/>
        </w:rPr>
        <w:t xml:space="preserve"> </w:t>
      </w:r>
      <w:r w:rsidRPr="00B90403">
        <w:rPr>
          <w:rFonts w:ascii="Calibri" w:hAnsi="Calibri" w:cs="Calibri"/>
          <w:color w:val="404040"/>
          <w:szCs w:val="23"/>
          <w:shd w:val="clear" w:color="auto" w:fill="FFFFFF"/>
        </w:rPr>
        <w:t>Troy Preparatory Charter School</w:t>
      </w:r>
      <w:r w:rsidRPr="00472A0A">
        <w:rPr>
          <w:rFonts w:ascii="Calibri" w:hAnsi="Calibri" w:cs="Calibri"/>
          <w:color w:val="404040"/>
          <w:szCs w:val="23"/>
          <w:shd w:val="clear" w:color="auto" w:fill="FFFFFF"/>
        </w:rPr>
        <w:t xml:space="preserve"> does not use an off-the-shelf curriculum. Rather, </w:t>
      </w: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xml:space="preserve"> uses curriculum developed by our Curriculum Assessment Team (CAT) and Lead Lesson Planners (LLP). Our CAT and LLP develop curriculum directly from the New York State Learning Standards that ensures students master a core set of basic academic skills before they can master higher-level, abstract material.</w:t>
      </w:r>
      <w:r w:rsidRPr="00472A0A">
        <w:rPr>
          <w:rFonts w:ascii="Calibri" w:hAnsi="Calibri" w:cs="Calibri"/>
          <w:b/>
          <w:bCs/>
          <w:color w:val="404040"/>
          <w:szCs w:val="23"/>
          <w:shd w:val="clear" w:color="auto" w:fill="FFFFFF"/>
        </w:rPr>
        <w:t xml:space="preserve"> </w:t>
      </w:r>
    </w:p>
    <w:p w14:paraId="4400818A" w14:textId="77777777" w:rsidR="00B37F28" w:rsidRDefault="00B37F28" w:rsidP="00B37F28">
      <w:pPr>
        <w:spacing w:after="0"/>
        <w:rPr>
          <w:rFonts w:ascii="Calibri" w:hAnsi="Calibri" w:cs="Calibri"/>
          <w:b/>
          <w:bCs/>
          <w:color w:val="404040"/>
          <w:szCs w:val="23"/>
          <w:shd w:val="clear" w:color="auto" w:fill="FFFFFF"/>
        </w:rPr>
      </w:pPr>
    </w:p>
    <w:p w14:paraId="6276692B" w14:textId="77777777" w:rsidR="00B37F28" w:rsidRDefault="00B37F28" w:rsidP="00B37F28">
      <w:pPr>
        <w:spacing w:after="0"/>
        <w:rPr>
          <w:rFonts w:ascii="Calibri" w:hAnsi="Calibri" w:cs="Calibri"/>
          <w:color w:val="404040"/>
          <w:szCs w:val="23"/>
          <w:shd w:val="clear" w:color="auto" w:fill="FFFFFF"/>
        </w:rPr>
      </w:pPr>
      <w:r w:rsidRPr="00472A0A">
        <w:rPr>
          <w:rFonts w:ascii="Calibri" w:hAnsi="Calibri" w:cs="Calibri"/>
          <w:color w:val="404040"/>
          <w:szCs w:val="23"/>
          <w:shd w:val="clear" w:color="auto" w:fill="FFFFFF"/>
        </w:rPr>
        <w:t xml:space="preserve">Our Curriculum Assessment Team (CAT) and Lead Lesson Planners (LLP) pay particularly close attention to the topics, sequence, and performance standards outlined in the New York State standards.  This ensures that students are mastering the same material as their peers throughout New York State.  </w:t>
      </w:r>
    </w:p>
    <w:p w14:paraId="73AD6EE2" w14:textId="77777777" w:rsidR="00B37F28" w:rsidRDefault="00B37F28" w:rsidP="00B37F28">
      <w:pPr>
        <w:spacing w:after="0"/>
        <w:rPr>
          <w:rFonts w:ascii="Calibri" w:hAnsi="Calibri" w:cs="Calibri"/>
          <w:color w:val="404040"/>
          <w:szCs w:val="23"/>
          <w:shd w:val="clear" w:color="auto" w:fill="FFFFFF"/>
        </w:rPr>
      </w:pPr>
    </w:p>
    <w:p w14:paraId="5F83D341" w14:textId="77777777" w:rsidR="00B37F28" w:rsidRPr="00472A0A" w:rsidRDefault="00B37F28" w:rsidP="00B37F28">
      <w:pPr>
        <w:spacing w:after="0"/>
        <w:rPr>
          <w:rFonts w:ascii="Times New Roman" w:hAnsi="Times New Roman"/>
          <w:color w:val="auto"/>
          <w:szCs w:val="23"/>
        </w:rPr>
      </w:pPr>
      <w:r w:rsidRPr="00472A0A">
        <w:rPr>
          <w:rFonts w:ascii="Calibri" w:hAnsi="Calibri" w:cs="Calibri"/>
          <w:color w:val="404040"/>
          <w:szCs w:val="23"/>
          <w:shd w:val="clear" w:color="auto" w:fill="FFFFFF"/>
        </w:rPr>
        <w:t xml:space="preserve">At the same time, both teams adapt the subject topics and performance standards according to their professional expertise and from data-driven feedback from our teachers.  CAT and our LLP create a comprehensive curriculum for their subject, saved on our network’s shared drive, with a year-long scope and sequence, individual unit plans, daily lesson plans, and assessment materials. </w:t>
      </w: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xml:space="preserve"> teachers will then save their lessons to our school’s shared drive with any edits they have adapted for their classroo</w:t>
      </w:r>
      <w:r w:rsidRPr="00472A0A">
        <w:rPr>
          <w:rFonts w:ascii="Calibri" w:hAnsi="Calibri" w:cs="Calibri"/>
          <w:color w:val="404040"/>
          <w:szCs w:val="23"/>
        </w:rPr>
        <w:t>m.  Not only does this provide the school with a record of individual course instruction but this also serves as a valuable curricular planning resource for returning and future teachers.</w:t>
      </w:r>
    </w:p>
    <w:p w14:paraId="5F4C47E4" w14:textId="77777777" w:rsidR="00B37F28" w:rsidRPr="00472A0A" w:rsidRDefault="00B37F28" w:rsidP="00B37F28">
      <w:pPr>
        <w:spacing w:after="0"/>
        <w:rPr>
          <w:rFonts w:ascii="Times New Roman" w:hAnsi="Times New Roman"/>
          <w:color w:val="auto"/>
          <w:szCs w:val="23"/>
        </w:rPr>
      </w:pPr>
    </w:p>
    <w:p w14:paraId="1601582E" w14:textId="0E863749" w:rsidR="00B37F28" w:rsidRPr="00472A0A" w:rsidRDefault="00B37F28" w:rsidP="00C62418">
      <w:pPr>
        <w:spacing w:after="0"/>
        <w:rPr>
          <w:rFonts w:ascii="Times New Roman" w:hAnsi="Times New Roman"/>
          <w:color w:val="auto"/>
          <w:szCs w:val="23"/>
        </w:rPr>
      </w:pPr>
      <w:r w:rsidRPr="00472A0A">
        <w:rPr>
          <w:rFonts w:ascii="Calibri" w:hAnsi="Calibri" w:cs="Calibri"/>
          <w:b/>
          <w:bCs/>
          <w:color w:val="404040"/>
          <w:szCs w:val="23"/>
        </w:rPr>
        <w:t xml:space="preserve">Assess Early and Often to Drive the Instructional Program. </w:t>
      </w:r>
      <w:r w:rsidRPr="00472A0A">
        <w:rPr>
          <w:rFonts w:ascii="Calibri" w:hAnsi="Calibri" w:cs="Calibri"/>
          <w:color w:val="404040"/>
          <w:szCs w:val="23"/>
        </w:rPr>
        <w:t xml:space="preserve">The most effective schools use assessment to diagnose student needs, measure instructional impact, and build a culture of continuous reflection and improvement.  </w:t>
      </w:r>
      <w:r w:rsidRPr="00B90403">
        <w:rPr>
          <w:rFonts w:ascii="Calibri" w:hAnsi="Calibri" w:cs="Calibri"/>
          <w:color w:val="404040"/>
          <w:szCs w:val="23"/>
        </w:rPr>
        <w:t xml:space="preserve">Prior to the scheduled </w:t>
      </w:r>
      <w:r w:rsidRPr="00472A0A">
        <w:rPr>
          <w:rFonts w:ascii="Calibri" w:hAnsi="Calibri" w:cs="Calibri"/>
          <w:color w:val="404040"/>
          <w:szCs w:val="23"/>
        </w:rPr>
        <w:t xml:space="preserve">New York State Social Studies, Mathematics, English Language Arts, and Science exams, </w:t>
      </w:r>
      <w:r w:rsidRPr="00B90403">
        <w:rPr>
          <w:rFonts w:ascii="Calibri" w:hAnsi="Calibri" w:cs="Calibri"/>
          <w:color w:val="404040"/>
          <w:szCs w:val="23"/>
        </w:rPr>
        <w:t>Troy Prep</w:t>
      </w:r>
      <w:r w:rsidRPr="00472A0A">
        <w:rPr>
          <w:rFonts w:ascii="Calibri" w:hAnsi="Calibri" w:cs="Calibri"/>
          <w:color w:val="404040"/>
          <w:szCs w:val="23"/>
        </w:rPr>
        <w:t xml:space="preserve"> administered </w:t>
      </w:r>
      <w:r w:rsidRPr="00B90403">
        <w:rPr>
          <w:rFonts w:ascii="Calibri" w:hAnsi="Calibri" w:cs="Calibri"/>
          <w:color w:val="404040"/>
          <w:szCs w:val="23"/>
        </w:rPr>
        <w:t>two</w:t>
      </w:r>
      <w:r w:rsidRPr="00472A0A">
        <w:rPr>
          <w:rFonts w:ascii="Calibri" w:hAnsi="Calibri" w:cs="Calibri"/>
          <w:color w:val="404040"/>
          <w:szCs w:val="23"/>
        </w:rPr>
        <w:t xml:space="preserve"> </w:t>
      </w:r>
      <w:r w:rsidRPr="00B90403">
        <w:rPr>
          <w:rFonts w:ascii="Calibri" w:hAnsi="Calibri" w:cs="Calibri"/>
          <w:color w:val="404040"/>
          <w:szCs w:val="23"/>
        </w:rPr>
        <w:t>internally aligned</w:t>
      </w:r>
      <w:r w:rsidRPr="00472A0A">
        <w:rPr>
          <w:rFonts w:ascii="Calibri" w:hAnsi="Calibri" w:cs="Calibri"/>
          <w:color w:val="404040"/>
          <w:szCs w:val="23"/>
        </w:rPr>
        <w:t xml:space="preserve"> Interim Assessments (</w:t>
      </w:r>
      <w:r w:rsidRPr="00B90403">
        <w:rPr>
          <w:rFonts w:ascii="Calibri" w:hAnsi="Calibri" w:cs="Calibri"/>
          <w:color w:val="404040"/>
          <w:szCs w:val="23"/>
        </w:rPr>
        <w:t>3</w:t>
      </w:r>
      <w:r w:rsidRPr="00472A0A">
        <w:rPr>
          <w:rFonts w:ascii="Calibri" w:hAnsi="Calibri" w:cs="Calibri"/>
          <w:color w:val="404040"/>
          <w:szCs w:val="23"/>
        </w:rPr>
        <w:t xml:space="preserve"> in</w:t>
      </w:r>
      <w:r w:rsidRPr="00B90403">
        <w:rPr>
          <w:rFonts w:ascii="Calibri" w:hAnsi="Calibri" w:cs="Calibri"/>
          <w:color w:val="404040"/>
          <w:szCs w:val="23"/>
        </w:rPr>
        <w:t xml:space="preserve"> ELA, 4 in</w:t>
      </w:r>
      <w:r w:rsidRPr="00472A0A">
        <w:rPr>
          <w:rFonts w:ascii="Calibri" w:hAnsi="Calibri" w:cs="Calibri"/>
          <w:color w:val="404040"/>
          <w:szCs w:val="23"/>
        </w:rPr>
        <w:t xml:space="preserve"> Math)</w:t>
      </w:r>
      <w:r w:rsidRPr="00B90403">
        <w:rPr>
          <w:rFonts w:ascii="Calibri" w:hAnsi="Calibri" w:cs="Calibri"/>
          <w:color w:val="404040"/>
          <w:szCs w:val="23"/>
        </w:rPr>
        <w:t xml:space="preserve">. </w:t>
      </w:r>
      <w:r w:rsidRPr="00472A0A">
        <w:rPr>
          <w:rFonts w:ascii="Calibri" w:hAnsi="Calibri" w:cs="Calibri"/>
          <w:color w:val="404040"/>
          <w:szCs w:val="23"/>
        </w:rPr>
        <w:t>In the 9-1</w:t>
      </w:r>
      <w:r w:rsidRPr="00B90403">
        <w:rPr>
          <w:rFonts w:ascii="Calibri" w:hAnsi="Calibri" w:cs="Calibri"/>
          <w:color w:val="404040"/>
          <w:szCs w:val="23"/>
        </w:rPr>
        <w:t>1</w:t>
      </w:r>
      <w:r w:rsidRPr="00472A0A">
        <w:rPr>
          <w:rFonts w:ascii="Calibri" w:hAnsi="Calibri" w:cs="Calibri"/>
          <w:color w:val="404040"/>
          <w:szCs w:val="23"/>
        </w:rPr>
        <w:t xml:space="preserve"> Grades, students take quarterly interim assessments in all core subjects, four SAT Diagnostics annually, and the PSAT.  These tests assessed ongoing student mastery of Math, Reading/Writing, Science and History skills and standards throughout the year and provided immediate data on individual studen</w:t>
      </w:r>
      <w:r w:rsidRPr="00472A0A">
        <w:rPr>
          <w:rFonts w:ascii="Calibri" w:hAnsi="Calibri" w:cs="Calibri"/>
          <w:color w:val="404040"/>
          <w:szCs w:val="23"/>
          <w:shd w:val="clear" w:color="auto" w:fill="FFFFFF"/>
        </w:rPr>
        <w:t>t and class growth. </w:t>
      </w:r>
      <w:r w:rsidRPr="00B90403">
        <w:rPr>
          <w:rFonts w:ascii="Calibri" w:hAnsi="Calibri" w:cs="Calibri"/>
          <w:color w:val="404040"/>
          <w:szCs w:val="23"/>
          <w:shd w:val="clear" w:color="auto" w:fill="FFFFFF"/>
        </w:rPr>
        <w:t xml:space="preserve"> These assessments were also administered during the </w:t>
      </w:r>
      <w:r w:rsidR="00C62418">
        <w:rPr>
          <w:rFonts w:ascii="Calibri" w:hAnsi="Calibri" w:cs="Calibri"/>
          <w:color w:val="404040"/>
          <w:szCs w:val="23"/>
          <w:shd w:val="clear" w:color="auto" w:fill="FFFFFF"/>
        </w:rPr>
        <w:t>school year, even with remote students v</w:t>
      </w:r>
      <w:r w:rsidRPr="00B90403">
        <w:rPr>
          <w:rFonts w:ascii="Calibri" w:hAnsi="Calibri" w:cs="Calibri"/>
          <w:color w:val="404040"/>
          <w:szCs w:val="23"/>
          <w:shd w:val="clear" w:color="auto" w:fill="FFFFFF"/>
        </w:rPr>
        <w:t>irtually.</w:t>
      </w:r>
      <w:r w:rsidRPr="00472A0A">
        <w:rPr>
          <w:rFonts w:ascii="Calibri" w:hAnsi="Calibri" w:cs="Calibri"/>
          <w:color w:val="404040"/>
          <w:szCs w:val="23"/>
          <w:shd w:val="clear" w:color="auto" w:fill="FFFFFF"/>
        </w:rPr>
        <w:t xml:space="preserve"> </w:t>
      </w: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xml:space="preserve"> teachers, with the support of the Principal, used this data to identify standards mastered and standards in need of re-teaching so that lesson plans could be continuously adjusted.  </w:t>
      </w:r>
    </w:p>
    <w:p w14:paraId="4CA08D6A" w14:textId="77777777" w:rsidR="00B37F28" w:rsidRPr="00472A0A" w:rsidRDefault="00B37F28" w:rsidP="00B37F28">
      <w:pPr>
        <w:spacing w:after="0"/>
        <w:rPr>
          <w:rFonts w:ascii="Times New Roman" w:hAnsi="Times New Roman"/>
          <w:color w:val="auto"/>
          <w:szCs w:val="23"/>
        </w:rPr>
      </w:pPr>
    </w:p>
    <w:p w14:paraId="465DF7E5" w14:textId="77777777" w:rsidR="00B37F28" w:rsidRPr="004072CB" w:rsidRDefault="00B37F28" w:rsidP="00B37F28">
      <w:pPr>
        <w:spacing w:after="0"/>
        <w:rPr>
          <w:rFonts w:ascii="Calibri" w:hAnsi="Calibri" w:cs="Calibri"/>
          <w:color w:val="404040"/>
          <w:szCs w:val="23"/>
        </w:rPr>
      </w:pPr>
      <w:r w:rsidRPr="00472A0A">
        <w:rPr>
          <w:rFonts w:ascii="Calibri" w:hAnsi="Calibri" w:cs="Calibri"/>
          <w:b/>
          <w:bCs/>
          <w:color w:val="404040"/>
          <w:szCs w:val="23"/>
        </w:rPr>
        <w:t xml:space="preserve">Make More Time. </w:t>
      </w:r>
      <w:r w:rsidRPr="004072CB">
        <w:rPr>
          <w:rFonts w:ascii="Calibri" w:hAnsi="Calibri" w:cs="Calibri"/>
          <w:color w:val="404040"/>
          <w:szCs w:val="23"/>
        </w:rPr>
        <w:t xml:space="preserve">In order to provide students with a comprehensive, college preparatory education, Troy Preparatory Charter </w:t>
      </w:r>
      <w:proofErr w:type="gramStart"/>
      <w:r w:rsidRPr="004072CB">
        <w:rPr>
          <w:rFonts w:ascii="Calibri" w:hAnsi="Calibri" w:cs="Calibri"/>
          <w:color w:val="404040"/>
          <w:szCs w:val="23"/>
        </w:rPr>
        <w:t>School  has</w:t>
      </w:r>
      <w:proofErr w:type="gramEnd"/>
      <w:r w:rsidRPr="004072CB">
        <w:rPr>
          <w:rFonts w:ascii="Calibri" w:hAnsi="Calibri" w:cs="Calibri"/>
          <w:color w:val="404040"/>
          <w:szCs w:val="23"/>
        </w:rPr>
        <w:t xml:space="preserve"> an extended school day and school year.  For most students, the regular school day began at 7:15 A.M. and ended at 4:00 P.M. Troy Prep provides its students with every possible opportunity to learn.</w:t>
      </w:r>
    </w:p>
    <w:p w14:paraId="1DFBE49C" w14:textId="77777777" w:rsidR="00B37F28" w:rsidRPr="004072CB" w:rsidRDefault="00B37F28" w:rsidP="00B37F28">
      <w:pPr>
        <w:spacing w:after="0"/>
        <w:rPr>
          <w:rFonts w:ascii="Calibri" w:hAnsi="Calibri" w:cs="Calibri"/>
          <w:color w:val="404040"/>
          <w:szCs w:val="23"/>
        </w:rPr>
      </w:pPr>
    </w:p>
    <w:p w14:paraId="637DF509" w14:textId="77777777" w:rsidR="00B37F28" w:rsidRDefault="00B37F28" w:rsidP="00B37F28">
      <w:pPr>
        <w:spacing w:after="0"/>
        <w:rPr>
          <w:rFonts w:ascii="Calibri" w:hAnsi="Calibri" w:cs="Calibri"/>
          <w:color w:val="404040"/>
          <w:szCs w:val="23"/>
        </w:rPr>
      </w:pPr>
      <w:r w:rsidRPr="004072CB">
        <w:rPr>
          <w:rFonts w:ascii="Calibri" w:hAnsi="Calibri" w:cs="Calibri"/>
          <w:color w:val="404040"/>
          <w:szCs w:val="23"/>
        </w:rPr>
        <w:t>Troy Prep students extend their learning beyond the school day completing, on average, one-and-a-half to two hours of homework every night. Each student, beginning in kindergarten, takes home at least 20 minutes of homework, every evening – including weekends and holidays. Parents/guardians review and sign each evening’s assignment upon completion. Families and scholars are expected to read together for 20 minutes each night as well.</w:t>
      </w:r>
    </w:p>
    <w:p w14:paraId="722E353B" w14:textId="77777777" w:rsidR="00B37F28" w:rsidRPr="00472A0A" w:rsidRDefault="00B37F28" w:rsidP="00B37F28">
      <w:pPr>
        <w:spacing w:after="0"/>
        <w:rPr>
          <w:rFonts w:ascii="Times New Roman" w:hAnsi="Times New Roman"/>
          <w:color w:val="auto"/>
          <w:szCs w:val="23"/>
        </w:rPr>
      </w:pPr>
      <w:r w:rsidRPr="00472A0A">
        <w:rPr>
          <w:rFonts w:ascii="Calibri" w:hAnsi="Calibri" w:cs="Calibri"/>
          <w:color w:val="404040"/>
          <w:szCs w:val="23"/>
        </w:rPr>
        <w:t> </w:t>
      </w:r>
    </w:p>
    <w:p w14:paraId="71BD05E7" w14:textId="77777777" w:rsidR="00B37F28" w:rsidRPr="00472A0A" w:rsidRDefault="00B37F28" w:rsidP="00B37F28">
      <w:pPr>
        <w:spacing w:after="0"/>
        <w:rPr>
          <w:rFonts w:ascii="Times New Roman" w:hAnsi="Times New Roman"/>
          <w:color w:val="auto"/>
          <w:szCs w:val="23"/>
        </w:rPr>
      </w:pPr>
      <w:r w:rsidRPr="00472A0A">
        <w:rPr>
          <w:rFonts w:ascii="Calibri" w:hAnsi="Calibri" w:cs="Calibri"/>
          <w:b/>
          <w:bCs/>
          <w:color w:val="404040"/>
          <w:szCs w:val="23"/>
          <w:shd w:val="clear" w:color="auto" w:fill="FFFFFF"/>
        </w:rPr>
        <w:t xml:space="preserve">Emphasis on College. </w:t>
      </w:r>
      <w:r w:rsidRPr="00472A0A">
        <w:rPr>
          <w:rFonts w:ascii="Calibri" w:hAnsi="Calibri" w:cs="Calibri"/>
          <w:color w:val="404040"/>
          <w:szCs w:val="23"/>
          <w:shd w:val="clear" w:color="auto" w:fill="FFFFFF"/>
        </w:rPr>
        <w:t xml:space="preserve">For too many at-risk students, college only exists in the abstract.  For </w:t>
      </w: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xml:space="preserve"> students, freshman year of college will be a natural extension of their educational experience at </w:t>
      </w: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w:t>
      </w:r>
    </w:p>
    <w:p w14:paraId="7B98574A" w14:textId="77777777" w:rsidR="00B37F28" w:rsidRPr="00472A0A" w:rsidRDefault="00B37F28" w:rsidP="00B37F28">
      <w:pPr>
        <w:spacing w:after="0"/>
        <w:rPr>
          <w:rFonts w:ascii="Times New Roman" w:hAnsi="Times New Roman"/>
          <w:color w:val="auto"/>
          <w:szCs w:val="23"/>
        </w:rPr>
      </w:pPr>
    </w:p>
    <w:p w14:paraId="1E59B323" w14:textId="77777777" w:rsidR="00B37F28" w:rsidRPr="00472A0A" w:rsidRDefault="00B37F28" w:rsidP="00B37F28">
      <w:pPr>
        <w:spacing w:after="0"/>
        <w:rPr>
          <w:rFonts w:ascii="Times New Roman" w:hAnsi="Times New Roman"/>
          <w:color w:val="auto"/>
          <w:szCs w:val="23"/>
        </w:rPr>
      </w:pP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xml:space="preserve"> students began talking about</w:t>
      </w:r>
      <w:r w:rsidRPr="00472A0A">
        <w:rPr>
          <w:rFonts w:ascii="Calibri" w:hAnsi="Calibri" w:cs="Calibri"/>
          <w:color w:val="404040"/>
          <w:szCs w:val="23"/>
        </w:rPr>
        <w:t xml:space="preserve"> college on the first day of school as their advisories are named after the alma maters of their teachers.  Through informal conversations in advisory and in classes, students learned about the college application process, financial aid, dorm-life, selecting a major, and other important aspects of college survival. </w:t>
      </w:r>
    </w:p>
    <w:p w14:paraId="723A05ED" w14:textId="77777777" w:rsidR="00B37F28" w:rsidRPr="00472A0A" w:rsidRDefault="00B37F28" w:rsidP="00B37F28">
      <w:pPr>
        <w:spacing w:after="0"/>
        <w:rPr>
          <w:rFonts w:ascii="Times New Roman" w:hAnsi="Times New Roman"/>
          <w:color w:val="auto"/>
          <w:szCs w:val="23"/>
        </w:rPr>
      </w:pPr>
    </w:p>
    <w:p w14:paraId="6D1EF27F" w14:textId="019D0DBF" w:rsidR="00B37F28" w:rsidRPr="00472A0A" w:rsidRDefault="00B37F28" w:rsidP="00B37F28">
      <w:pPr>
        <w:spacing w:after="0"/>
        <w:rPr>
          <w:rFonts w:ascii="Times New Roman" w:hAnsi="Times New Roman"/>
          <w:color w:val="auto"/>
          <w:szCs w:val="23"/>
        </w:rPr>
      </w:pPr>
      <w:r w:rsidRPr="00472A0A">
        <w:rPr>
          <w:rFonts w:ascii="Calibri" w:hAnsi="Calibri" w:cs="Calibri"/>
          <w:b/>
          <w:bCs/>
          <w:color w:val="404040"/>
          <w:szCs w:val="23"/>
        </w:rPr>
        <w:t xml:space="preserve">Insist on Family Involvement. </w:t>
      </w:r>
      <w:r w:rsidRPr="00472A0A">
        <w:rPr>
          <w:rFonts w:ascii="Calibri" w:hAnsi="Calibri" w:cs="Calibri"/>
          <w:color w:val="404040"/>
          <w:szCs w:val="23"/>
        </w:rPr>
        <w:t> </w:t>
      </w:r>
      <w:r w:rsidRPr="00B90403">
        <w:rPr>
          <w:rFonts w:ascii="Calibri" w:hAnsi="Calibri" w:cs="Calibri"/>
          <w:color w:val="404040"/>
          <w:szCs w:val="23"/>
          <w:shd w:val="clear" w:color="auto" w:fill="FFFFFF"/>
        </w:rPr>
        <w:t>Troy Prep’s</w:t>
      </w:r>
      <w:r w:rsidRPr="00472A0A">
        <w:rPr>
          <w:rFonts w:ascii="Calibri" w:hAnsi="Calibri" w:cs="Calibri"/>
          <w:color w:val="404040"/>
          <w:szCs w:val="23"/>
          <w:shd w:val="clear" w:color="auto" w:fill="FFFFFF"/>
        </w:rPr>
        <w:t xml:space="preserve"> educational program is structured so that families must be involved in their child’s academic pursuits.  In 20</w:t>
      </w:r>
      <w:r w:rsidR="00C62418">
        <w:rPr>
          <w:rFonts w:ascii="Calibri" w:hAnsi="Calibri" w:cs="Calibri"/>
          <w:color w:val="404040"/>
          <w:szCs w:val="23"/>
          <w:shd w:val="clear" w:color="auto" w:fill="FFFFFF"/>
        </w:rPr>
        <w:t>20</w:t>
      </w:r>
      <w:r w:rsidRPr="00B90403">
        <w:rPr>
          <w:rFonts w:ascii="Calibri" w:hAnsi="Calibri" w:cs="Calibri"/>
          <w:color w:val="404040"/>
          <w:szCs w:val="23"/>
          <w:shd w:val="clear" w:color="auto" w:fill="FFFFFF"/>
        </w:rPr>
        <w:t>-2</w:t>
      </w:r>
      <w:r w:rsidR="00C62418">
        <w:rPr>
          <w:rFonts w:ascii="Calibri" w:hAnsi="Calibri" w:cs="Calibri"/>
          <w:color w:val="404040"/>
          <w:szCs w:val="23"/>
          <w:shd w:val="clear" w:color="auto" w:fill="FFFFFF"/>
        </w:rPr>
        <w:t>1</w:t>
      </w:r>
      <w:r w:rsidRPr="00472A0A">
        <w:rPr>
          <w:rFonts w:ascii="Calibri" w:hAnsi="Calibri" w:cs="Calibri"/>
          <w:color w:val="404040"/>
          <w:szCs w:val="23"/>
          <w:shd w:val="clear" w:color="auto" w:fill="FFFFFF"/>
        </w:rPr>
        <w:t xml:space="preserve">, </w:t>
      </w:r>
      <w:r w:rsidRPr="00B90403">
        <w:rPr>
          <w:rFonts w:ascii="Calibri" w:hAnsi="Calibri" w:cs="Calibri"/>
          <w:color w:val="404040"/>
          <w:szCs w:val="23"/>
          <w:shd w:val="clear" w:color="auto" w:fill="FFFFFF"/>
        </w:rPr>
        <w:t>Troy Prep</w:t>
      </w:r>
      <w:r w:rsidRPr="00472A0A">
        <w:rPr>
          <w:rFonts w:ascii="Calibri" w:hAnsi="Calibri" w:cs="Calibri"/>
          <w:color w:val="404040"/>
          <w:szCs w:val="23"/>
          <w:shd w:val="clear" w:color="auto" w:fill="FFFFFF"/>
        </w:rPr>
        <w:t xml:space="preserve"> fam</w:t>
      </w:r>
      <w:r w:rsidRPr="00472A0A">
        <w:rPr>
          <w:rFonts w:ascii="Calibri" w:hAnsi="Calibri" w:cs="Calibri"/>
          <w:color w:val="404040"/>
          <w:szCs w:val="23"/>
        </w:rPr>
        <w:t>ilies:</w:t>
      </w:r>
    </w:p>
    <w:p w14:paraId="5749F064" w14:textId="487F9552" w:rsidR="00B37F28" w:rsidRPr="00472A0A" w:rsidRDefault="00C62418" w:rsidP="00A70F9C">
      <w:pPr>
        <w:numPr>
          <w:ilvl w:val="0"/>
          <w:numId w:val="4"/>
        </w:numPr>
        <w:spacing w:after="0"/>
        <w:textAlignment w:val="baseline"/>
        <w:rPr>
          <w:rFonts w:ascii="Calibri" w:hAnsi="Calibri" w:cs="Calibri"/>
          <w:color w:val="404040"/>
          <w:szCs w:val="23"/>
        </w:rPr>
      </w:pPr>
      <w:r>
        <w:rPr>
          <w:rFonts w:ascii="Calibri" w:hAnsi="Calibri" w:cs="Calibri"/>
          <w:color w:val="404040"/>
          <w:szCs w:val="23"/>
        </w:rPr>
        <w:t>received</w:t>
      </w:r>
      <w:r w:rsidR="00B37F28" w:rsidRPr="00472A0A">
        <w:rPr>
          <w:rFonts w:ascii="Calibri" w:hAnsi="Calibri" w:cs="Calibri"/>
          <w:color w:val="404040"/>
          <w:szCs w:val="23"/>
        </w:rPr>
        <w:t xml:space="preserve"> their child’s report card </w:t>
      </w:r>
      <w:r>
        <w:rPr>
          <w:rFonts w:ascii="Calibri" w:hAnsi="Calibri" w:cs="Calibri"/>
          <w:color w:val="404040"/>
          <w:szCs w:val="23"/>
        </w:rPr>
        <w:t>through a</w:t>
      </w:r>
      <w:r w:rsidR="00B37F28" w:rsidRPr="00B90403">
        <w:rPr>
          <w:rFonts w:ascii="Calibri" w:hAnsi="Calibri" w:cs="Calibri"/>
          <w:color w:val="404040"/>
          <w:szCs w:val="23"/>
        </w:rPr>
        <w:t xml:space="preserve"> virtual report card conference</w:t>
      </w:r>
      <w:r>
        <w:rPr>
          <w:rFonts w:ascii="Calibri" w:hAnsi="Calibri" w:cs="Calibri"/>
          <w:color w:val="404040"/>
          <w:szCs w:val="23"/>
        </w:rPr>
        <w:t xml:space="preserve"> where they met one on one with their child’s advisor </w:t>
      </w:r>
      <w:proofErr w:type="gramStart"/>
      <w:r>
        <w:rPr>
          <w:rFonts w:ascii="Calibri" w:hAnsi="Calibri" w:cs="Calibri"/>
          <w:color w:val="404040"/>
          <w:szCs w:val="23"/>
        </w:rPr>
        <w:t>virtually</w:t>
      </w:r>
      <w:r w:rsidR="00B37F28" w:rsidRPr="00472A0A">
        <w:rPr>
          <w:rFonts w:ascii="Calibri" w:hAnsi="Calibri" w:cs="Calibri"/>
          <w:color w:val="404040"/>
          <w:szCs w:val="23"/>
        </w:rPr>
        <w:t>;</w:t>
      </w:r>
      <w:proofErr w:type="gramEnd"/>
    </w:p>
    <w:p w14:paraId="4A9808B7" w14:textId="40300FB0" w:rsidR="00B37F28" w:rsidRPr="00472A0A" w:rsidRDefault="002E054F" w:rsidP="00A70F9C">
      <w:pPr>
        <w:numPr>
          <w:ilvl w:val="0"/>
          <w:numId w:val="4"/>
        </w:numPr>
        <w:spacing w:after="0"/>
        <w:textAlignment w:val="baseline"/>
        <w:rPr>
          <w:rFonts w:ascii="Calibri" w:hAnsi="Calibri" w:cs="Calibri"/>
          <w:color w:val="404040"/>
          <w:szCs w:val="23"/>
        </w:rPr>
      </w:pPr>
      <w:r>
        <w:rPr>
          <w:rFonts w:ascii="Calibri" w:hAnsi="Calibri" w:cs="Calibri"/>
          <w:color w:val="404040"/>
          <w:szCs w:val="23"/>
        </w:rPr>
        <w:t>discuss</w:t>
      </w:r>
      <w:r w:rsidR="00B37F28" w:rsidRPr="00472A0A">
        <w:rPr>
          <w:rFonts w:ascii="Calibri" w:hAnsi="Calibri" w:cs="Calibri"/>
          <w:color w:val="404040"/>
          <w:szCs w:val="23"/>
        </w:rPr>
        <w:t xml:space="preserve"> with teachers and staff on multiple occasions to formally and informally discuss their child’s academic and behavioral performance</w:t>
      </w:r>
      <w:r>
        <w:rPr>
          <w:rFonts w:ascii="Calibri" w:hAnsi="Calibri" w:cs="Calibri"/>
          <w:color w:val="404040"/>
          <w:szCs w:val="23"/>
        </w:rPr>
        <w:t xml:space="preserve"> via phone </w:t>
      </w:r>
      <w:proofErr w:type="gramStart"/>
      <w:r>
        <w:rPr>
          <w:rFonts w:ascii="Calibri" w:hAnsi="Calibri" w:cs="Calibri"/>
          <w:color w:val="404040"/>
          <w:szCs w:val="23"/>
        </w:rPr>
        <w:t>calls</w:t>
      </w:r>
      <w:r w:rsidR="00B37F28" w:rsidRPr="00472A0A">
        <w:rPr>
          <w:rFonts w:ascii="Calibri" w:hAnsi="Calibri" w:cs="Calibri"/>
          <w:color w:val="404040"/>
          <w:szCs w:val="23"/>
        </w:rPr>
        <w:t>;</w:t>
      </w:r>
      <w:proofErr w:type="gramEnd"/>
    </w:p>
    <w:p w14:paraId="45932CE5" w14:textId="77777777" w:rsidR="00B37F28" w:rsidRPr="00472A0A" w:rsidRDefault="00B37F28" w:rsidP="00A70F9C">
      <w:pPr>
        <w:numPr>
          <w:ilvl w:val="0"/>
          <w:numId w:val="4"/>
        </w:numPr>
        <w:spacing w:after="0"/>
        <w:textAlignment w:val="baseline"/>
        <w:rPr>
          <w:rFonts w:ascii="Calibri" w:hAnsi="Calibri" w:cs="Calibri"/>
          <w:color w:val="404040"/>
          <w:szCs w:val="23"/>
        </w:rPr>
      </w:pPr>
      <w:r w:rsidRPr="00472A0A">
        <w:rPr>
          <w:rFonts w:ascii="Calibri" w:hAnsi="Calibri" w:cs="Calibri"/>
          <w:color w:val="404040"/>
          <w:szCs w:val="23"/>
        </w:rPr>
        <w:t xml:space="preserve">maintained an open line of communication with their child’s teachers through in-person meetings, weekly dashboards, semi-monthly progress reports, advisory calls and </w:t>
      </w:r>
      <w:proofErr w:type="gramStart"/>
      <w:r w:rsidRPr="00472A0A">
        <w:rPr>
          <w:rFonts w:ascii="Calibri" w:hAnsi="Calibri" w:cs="Calibri"/>
          <w:color w:val="404040"/>
          <w:szCs w:val="23"/>
        </w:rPr>
        <w:t>e-mails;</w:t>
      </w:r>
      <w:proofErr w:type="gramEnd"/>
    </w:p>
    <w:p w14:paraId="3A2E33EB" w14:textId="77777777" w:rsidR="00B37F28" w:rsidRPr="00472A0A" w:rsidRDefault="00B37F28" w:rsidP="00A70F9C">
      <w:pPr>
        <w:numPr>
          <w:ilvl w:val="0"/>
          <w:numId w:val="4"/>
        </w:numPr>
        <w:spacing w:after="0"/>
        <w:textAlignment w:val="baseline"/>
        <w:rPr>
          <w:rFonts w:ascii="Calibri" w:hAnsi="Calibri" w:cs="Calibri"/>
          <w:color w:val="404040"/>
          <w:szCs w:val="23"/>
        </w:rPr>
      </w:pPr>
      <w:r w:rsidRPr="00472A0A">
        <w:rPr>
          <w:rFonts w:ascii="Calibri" w:hAnsi="Calibri" w:cs="Calibri"/>
          <w:color w:val="404040"/>
          <w:szCs w:val="23"/>
        </w:rPr>
        <w:t xml:space="preserve">were notified at home or at work each day if their child earned a </w:t>
      </w:r>
      <w:proofErr w:type="gramStart"/>
      <w:r w:rsidRPr="00472A0A">
        <w:rPr>
          <w:rFonts w:ascii="Calibri" w:hAnsi="Calibri" w:cs="Calibri"/>
          <w:color w:val="404040"/>
          <w:szCs w:val="23"/>
        </w:rPr>
        <w:t>detention;</w:t>
      </w:r>
      <w:proofErr w:type="gramEnd"/>
      <w:r w:rsidRPr="00472A0A">
        <w:rPr>
          <w:rFonts w:ascii="Calibri" w:hAnsi="Calibri" w:cs="Calibri"/>
          <w:color w:val="404040"/>
          <w:szCs w:val="23"/>
        </w:rPr>
        <w:t>  </w:t>
      </w:r>
    </w:p>
    <w:p w14:paraId="198A9956" w14:textId="77777777" w:rsidR="00B37F28" w:rsidRPr="00472A0A" w:rsidRDefault="00B37F28" w:rsidP="00A70F9C">
      <w:pPr>
        <w:numPr>
          <w:ilvl w:val="0"/>
          <w:numId w:val="4"/>
        </w:numPr>
        <w:spacing w:after="0"/>
        <w:textAlignment w:val="baseline"/>
        <w:rPr>
          <w:rFonts w:ascii="Calibri" w:hAnsi="Calibri" w:cs="Calibri"/>
          <w:color w:val="404040"/>
          <w:szCs w:val="23"/>
        </w:rPr>
      </w:pPr>
      <w:r w:rsidRPr="00472A0A">
        <w:rPr>
          <w:rFonts w:ascii="Calibri" w:hAnsi="Calibri" w:cs="Calibri"/>
          <w:color w:val="404040"/>
          <w:szCs w:val="23"/>
        </w:rPr>
        <w:t xml:space="preserve">were asked to offer input on the school on mid-year and year-end surveys, grading the </w:t>
      </w:r>
      <w:proofErr w:type="gramStart"/>
      <w:r w:rsidRPr="00472A0A">
        <w:rPr>
          <w:rFonts w:ascii="Calibri" w:hAnsi="Calibri" w:cs="Calibri"/>
          <w:color w:val="404040"/>
          <w:szCs w:val="23"/>
        </w:rPr>
        <w:t>school;</w:t>
      </w:r>
      <w:proofErr w:type="gramEnd"/>
    </w:p>
    <w:p w14:paraId="75293F59" w14:textId="77777777" w:rsidR="00B37F28" w:rsidRPr="00472A0A" w:rsidRDefault="00B37F28" w:rsidP="00A70F9C">
      <w:pPr>
        <w:numPr>
          <w:ilvl w:val="0"/>
          <w:numId w:val="4"/>
        </w:numPr>
        <w:spacing w:after="0"/>
        <w:textAlignment w:val="baseline"/>
        <w:rPr>
          <w:rFonts w:ascii="Calibri" w:hAnsi="Calibri" w:cs="Calibri"/>
          <w:color w:val="404040"/>
          <w:szCs w:val="23"/>
        </w:rPr>
      </w:pPr>
      <w:r w:rsidRPr="00472A0A">
        <w:rPr>
          <w:rFonts w:ascii="Calibri" w:hAnsi="Calibri" w:cs="Calibri"/>
          <w:color w:val="404040"/>
          <w:szCs w:val="23"/>
        </w:rPr>
        <w:t xml:space="preserve">were offered the opportunity to participate in a potluck and watch their children perform in their chosen Enrichment activity at three public performances </w:t>
      </w:r>
      <w:proofErr w:type="gramStart"/>
      <w:r w:rsidRPr="00472A0A">
        <w:rPr>
          <w:rFonts w:ascii="Calibri" w:hAnsi="Calibri" w:cs="Calibri"/>
          <w:color w:val="404040"/>
          <w:szCs w:val="23"/>
        </w:rPr>
        <w:t>during the course of</w:t>
      </w:r>
      <w:proofErr w:type="gramEnd"/>
      <w:r w:rsidRPr="00472A0A">
        <w:rPr>
          <w:rFonts w:ascii="Calibri" w:hAnsi="Calibri" w:cs="Calibri"/>
          <w:color w:val="404040"/>
          <w:szCs w:val="23"/>
        </w:rPr>
        <w:t xml:space="preserve"> the year</w:t>
      </w:r>
    </w:p>
    <w:p w14:paraId="4A7021A2" w14:textId="77777777" w:rsidR="00B37F28" w:rsidRPr="00B90403" w:rsidRDefault="00B37F28" w:rsidP="00A70F9C">
      <w:pPr>
        <w:numPr>
          <w:ilvl w:val="0"/>
          <w:numId w:val="4"/>
        </w:numPr>
        <w:spacing w:after="0"/>
        <w:textAlignment w:val="baseline"/>
        <w:rPr>
          <w:rFonts w:ascii="Calibri" w:hAnsi="Calibri" w:cs="Calibri"/>
          <w:color w:val="404040"/>
          <w:szCs w:val="23"/>
        </w:rPr>
      </w:pPr>
      <w:r w:rsidRPr="00472A0A">
        <w:rPr>
          <w:rFonts w:ascii="Calibri" w:hAnsi="Calibri" w:cs="Calibri"/>
          <w:color w:val="404040"/>
          <w:szCs w:val="23"/>
        </w:rPr>
        <w:t>were invited to multiple social events with scholars, teachers and families focused on strengthening the involvement of parents in the school community</w:t>
      </w:r>
    </w:p>
    <w:p w14:paraId="4AC717B2" w14:textId="77777777" w:rsidR="00B37F28" w:rsidRPr="00472A0A" w:rsidRDefault="00B37F28" w:rsidP="00B37F28">
      <w:pPr>
        <w:spacing w:after="0"/>
        <w:ind w:left="720"/>
        <w:textAlignment w:val="baseline"/>
        <w:rPr>
          <w:rFonts w:ascii="Calibri" w:hAnsi="Calibri" w:cs="Calibri"/>
          <w:color w:val="404040"/>
          <w:szCs w:val="23"/>
        </w:rPr>
      </w:pPr>
    </w:p>
    <w:p w14:paraId="52E4EB51" w14:textId="4C6EBB1A" w:rsidR="00B37F28" w:rsidRPr="00B90403" w:rsidRDefault="002E054F" w:rsidP="00B37F28">
      <w:pPr>
        <w:widowControl w:val="0"/>
        <w:rPr>
          <w:rFonts w:ascii="Calibri" w:hAnsi="Calibri" w:cs="Calibri"/>
          <w:b/>
          <w:bCs/>
          <w:color w:val="404040"/>
          <w:szCs w:val="23"/>
        </w:rPr>
      </w:pPr>
      <w:r>
        <w:rPr>
          <w:rFonts w:ascii="Calibri" w:hAnsi="Calibri" w:cs="Calibri"/>
          <w:b/>
          <w:bCs/>
          <w:color w:val="404040"/>
          <w:szCs w:val="23"/>
        </w:rPr>
        <w:t>Instructional Modalities due to COVID-19</w:t>
      </w:r>
    </w:p>
    <w:p w14:paraId="79A4134C" w14:textId="77777777" w:rsidR="00CA22FD" w:rsidRDefault="00B37F28" w:rsidP="00B37F28">
      <w:pPr>
        <w:widowControl w:val="0"/>
        <w:rPr>
          <w:rFonts w:ascii="Calibri" w:hAnsi="Calibri" w:cs="Calibri"/>
          <w:color w:val="404040"/>
          <w:szCs w:val="23"/>
          <w:shd w:val="clear" w:color="auto" w:fill="FFFFFF"/>
        </w:rPr>
      </w:pPr>
      <w:r w:rsidRPr="00B90403">
        <w:rPr>
          <w:rFonts w:ascii="Calibri" w:hAnsi="Calibri" w:cs="Calibri"/>
          <w:color w:val="404040"/>
          <w:szCs w:val="23"/>
          <w:shd w:val="clear" w:color="auto" w:fill="FFFFFF"/>
        </w:rPr>
        <w:t xml:space="preserve">During the </w:t>
      </w:r>
      <w:r w:rsidR="002E054F">
        <w:rPr>
          <w:rFonts w:ascii="Calibri" w:hAnsi="Calibri" w:cs="Calibri"/>
          <w:color w:val="404040"/>
          <w:szCs w:val="23"/>
          <w:shd w:val="clear" w:color="auto" w:fill="FFFFFF"/>
        </w:rPr>
        <w:t>continued</w:t>
      </w:r>
      <w:r w:rsidRPr="00B90403">
        <w:rPr>
          <w:rFonts w:ascii="Calibri" w:hAnsi="Calibri" w:cs="Calibri"/>
          <w:color w:val="404040"/>
          <w:szCs w:val="23"/>
          <w:shd w:val="clear" w:color="auto" w:fill="FFFFFF"/>
        </w:rPr>
        <w:t xml:space="preserve"> school closure due to COVID-19, Troy Prep continued remote learning for all our students through </w:t>
      </w:r>
      <w:r w:rsidR="002E054F">
        <w:rPr>
          <w:rFonts w:ascii="Calibri" w:hAnsi="Calibri" w:cs="Calibri"/>
          <w:color w:val="404040"/>
          <w:szCs w:val="23"/>
          <w:shd w:val="clear" w:color="auto" w:fill="FFFFFF"/>
        </w:rPr>
        <w:t>October</w:t>
      </w:r>
      <w:r w:rsidRPr="00B90403">
        <w:rPr>
          <w:rFonts w:ascii="Calibri" w:hAnsi="Calibri" w:cs="Calibri"/>
          <w:color w:val="404040"/>
          <w:szCs w:val="23"/>
          <w:shd w:val="clear" w:color="auto" w:fill="FFFFFF"/>
        </w:rPr>
        <w:t xml:space="preserve"> 2020.</w:t>
      </w:r>
      <w:r w:rsidR="00456898">
        <w:rPr>
          <w:rFonts w:ascii="Calibri" w:hAnsi="Calibri" w:cs="Calibri"/>
          <w:color w:val="404040"/>
          <w:szCs w:val="23"/>
          <w:shd w:val="clear" w:color="auto" w:fill="FFFFFF"/>
        </w:rPr>
        <w:t xml:space="preserve"> During this time </w:t>
      </w:r>
      <w:r w:rsidR="00CA22FD">
        <w:rPr>
          <w:rFonts w:ascii="Calibri" w:hAnsi="Calibri" w:cs="Calibri"/>
          <w:color w:val="404040"/>
          <w:szCs w:val="23"/>
          <w:shd w:val="clear" w:color="auto" w:fill="FFFFFF"/>
        </w:rPr>
        <w:t xml:space="preserve">full remote instruction was offered for all K-12 students, which was </w:t>
      </w:r>
      <w:proofErr w:type="gramStart"/>
      <w:r w:rsidR="00CA22FD">
        <w:rPr>
          <w:rFonts w:ascii="Calibri" w:hAnsi="Calibri" w:cs="Calibri"/>
          <w:color w:val="404040"/>
          <w:szCs w:val="23"/>
          <w:shd w:val="clear" w:color="auto" w:fill="FFFFFF"/>
        </w:rPr>
        <w:t>similar to</w:t>
      </w:r>
      <w:proofErr w:type="gramEnd"/>
      <w:r w:rsidR="00CA22FD">
        <w:rPr>
          <w:rFonts w:ascii="Calibri" w:hAnsi="Calibri" w:cs="Calibri"/>
          <w:color w:val="404040"/>
          <w:szCs w:val="23"/>
          <w:shd w:val="clear" w:color="auto" w:fill="FFFFFF"/>
        </w:rPr>
        <w:t xml:space="preserve"> the remote learning program offered in the spring. During this time, elementary schools received remote instruction in Reading, Writing, Math, Science and History. Middle School scholars received remote instruction in ELA, Math, History and Science. They utilized the five key components of learning for the remote launch of the school year:</w:t>
      </w:r>
    </w:p>
    <w:p w14:paraId="4BC5969E" w14:textId="5F1858F7" w:rsidR="00CA22FD" w:rsidRPr="00CA22FD" w:rsidRDefault="00CA22FD" w:rsidP="00CA22FD">
      <w:pPr>
        <w:widowControl w:val="0"/>
        <w:rPr>
          <w:rFonts w:ascii="Calibri" w:hAnsi="Calibri" w:cs="Calibri"/>
          <w:color w:val="404040"/>
          <w:szCs w:val="23"/>
          <w:shd w:val="clear" w:color="auto" w:fill="FFFFFF"/>
        </w:rPr>
      </w:pPr>
      <w:r w:rsidRPr="00CA22FD">
        <w:rPr>
          <w:rFonts w:ascii="Calibri" w:hAnsi="Calibri" w:cs="Calibri"/>
          <w:b/>
          <w:bCs/>
          <w:color w:val="404040"/>
          <w:szCs w:val="23"/>
          <w:shd w:val="clear" w:color="auto" w:fill="FFFFFF"/>
        </w:rPr>
        <w:t>Instructional Videos</w:t>
      </w:r>
      <w:r w:rsidRPr="00CA22FD">
        <w:rPr>
          <w:rFonts w:ascii="Calibri" w:hAnsi="Calibri" w:cs="Calibri"/>
          <w:color w:val="404040"/>
          <w:szCs w:val="23"/>
          <w:shd w:val="clear" w:color="auto" w:fill="FFFFFF"/>
        </w:rPr>
        <w:t xml:space="preserve">: Scholars will watch engaging and informative videos throughout the week </w:t>
      </w:r>
      <w:r w:rsidRPr="00CA22FD">
        <w:rPr>
          <w:rFonts w:ascii="Calibri" w:hAnsi="Calibri" w:cs="Calibri"/>
          <w:color w:val="404040"/>
          <w:szCs w:val="23"/>
          <w:shd w:val="clear" w:color="auto" w:fill="FFFFFF"/>
        </w:rPr>
        <w:lastRenderedPageBreak/>
        <w:t>that introduce new content.</w:t>
      </w:r>
    </w:p>
    <w:p w14:paraId="763007EF" w14:textId="77777777" w:rsidR="00CA22FD" w:rsidRPr="00CA22FD" w:rsidRDefault="00CA22FD" w:rsidP="00CA22FD">
      <w:pPr>
        <w:widowControl w:val="0"/>
        <w:rPr>
          <w:rFonts w:ascii="Calibri" w:hAnsi="Calibri" w:cs="Calibri"/>
          <w:color w:val="404040"/>
          <w:szCs w:val="23"/>
          <w:shd w:val="clear" w:color="auto" w:fill="FFFFFF"/>
        </w:rPr>
      </w:pPr>
      <w:r w:rsidRPr="00CA22FD">
        <w:rPr>
          <w:rFonts w:ascii="Calibri" w:hAnsi="Calibri" w:cs="Calibri"/>
          <w:b/>
          <w:bCs/>
          <w:color w:val="404040"/>
          <w:szCs w:val="23"/>
          <w:shd w:val="clear" w:color="auto" w:fill="FFFFFF"/>
        </w:rPr>
        <w:t>Student Packets and Deliverables:</w:t>
      </w:r>
      <w:r w:rsidRPr="00CA22FD">
        <w:rPr>
          <w:rFonts w:ascii="Calibri" w:hAnsi="Calibri" w:cs="Calibri"/>
          <w:color w:val="404040"/>
          <w:szCs w:val="23"/>
          <w:shd w:val="clear" w:color="auto" w:fill="FFFFFF"/>
        </w:rPr>
        <w:t xml:space="preserve"> Scholars will complete their daily work packets and deliverables on paper or via Google Classroom based on grade level. Each day, scholars will have a deliverable per each subject block that they will submit to their teacher directly or via Google Classroom based on grade level.</w:t>
      </w:r>
    </w:p>
    <w:p w14:paraId="4D3D04D5" w14:textId="745DF4F1" w:rsidR="00CA22FD" w:rsidRPr="00CA22FD" w:rsidRDefault="00CA22FD" w:rsidP="00CA22FD">
      <w:pPr>
        <w:widowControl w:val="0"/>
        <w:rPr>
          <w:rFonts w:ascii="Calibri" w:hAnsi="Calibri" w:cs="Calibri"/>
          <w:color w:val="404040"/>
          <w:szCs w:val="23"/>
          <w:shd w:val="clear" w:color="auto" w:fill="FFFFFF"/>
        </w:rPr>
      </w:pPr>
      <w:r w:rsidRPr="00CA22FD">
        <w:rPr>
          <w:rFonts w:ascii="Calibri" w:hAnsi="Calibri" w:cs="Calibri"/>
          <w:b/>
          <w:bCs/>
          <w:color w:val="404040"/>
          <w:szCs w:val="23"/>
          <w:shd w:val="clear" w:color="auto" w:fill="FFFFFF"/>
        </w:rPr>
        <w:t>Independent Reading</w:t>
      </w:r>
      <w:r w:rsidRPr="00CA22FD">
        <w:rPr>
          <w:rFonts w:ascii="Calibri" w:hAnsi="Calibri" w:cs="Calibri"/>
          <w:color w:val="404040"/>
          <w:szCs w:val="23"/>
          <w:shd w:val="clear" w:color="auto" w:fill="FFFFFF"/>
        </w:rPr>
        <w:t>: Scholars will engage with high-quality books at their reading level for 20-30 minutes daily through K-4 and 5-8 reading platforms that will be accessible from any device.</w:t>
      </w:r>
    </w:p>
    <w:p w14:paraId="38EF3D91" w14:textId="2F427096" w:rsidR="00CA22FD" w:rsidRPr="00CA22FD" w:rsidRDefault="00CA22FD" w:rsidP="00CA22FD">
      <w:pPr>
        <w:widowControl w:val="0"/>
        <w:rPr>
          <w:rFonts w:ascii="Calibri" w:hAnsi="Calibri" w:cs="Calibri"/>
          <w:color w:val="404040"/>
          <w:szCs w:val="23"/>
          <w:shd w:val="clear" w:color="auto" w:fill="FFFFFF"/>
        </w:rPr>
      </w:pPr>
      <w:r w:rsidRPr="00CA22FD">
        <w:rPr>
          <w:rFonts w:ascii="Calibri" w:hAnsi="Calibri" w:cs="Calibri"/>
          <w:b/>
          <w:bCs/>
          <w:color w:val="404040"/>
          <w:szCs w:val="23"/>
          <w:shd w:val="clear" w:color="auto" w:fill="FFFFFF"/>
        </w:rPr>
        <w:t>Teacher Office Hours</w:t>
      </w:r>
      <w:r w:rsidRPr="00CA22FD">
        <w:rPr>
          <w:rFonts w:ascii="Calibri" w:hAnsi="Calibri" w:cs="Calibri"/>
          <w:color w:val="404040"/>
          <w:szCs w:val="23"/>
          <w:shd w:val="clear" w:color="auto" w:fill="FFFFFF"/>
        </w:rPr>
        <w:t>: Teachers will provide daily off</w:t>
      </w:r>
      <w:r>
        <w:rPr>
          <w:rFonts w:ascii="Calibri" w:hAnsi="Calibri" w:cs="Calibri"/>
          <w:color w:val="404040"/>
          <w:szCs w:val="23"/>
          <w:shd w:val="clear" w:color="auto" w:fill="FFFFFF"/>
        </w:rPr>
        <w:t>i</w:t>
      </w:r>
      <w:r w:rsidRPr="00CA22FD">
        <w:rPr>
          <w:rFonts w:ascii="Calibri" w:hAnsi="Calibri" w:cs="Calibri"/>
          <w:color w:val="404040"/>
          <w:szCs w:val="23"/>
          <w:shd w:val="clear" w:color="auto" w:fill="FFFFFF"/>
        </w:rPr>
        <w:t>ce hours Monday–Thursday for additional support. Off</w:t>
      </w:r>
      <w:r>
        <w:rPr>
          <w:rFonts w:ascii="Calibri" w:hAnsi="Calibri" w:cs="Calibri"/>
          <w:color w:val="404040"/>
          <w:szCs w:val="23"/>
          <w:shd w:val="clear" w:color="auto" w:fill="FFFFFF"/>
        </w:rPr>
        <w:t>i</w:t>
      </w:r>
      <w:r w:rsidRPr="00CA22FD">
        <w:rPr>
          <w:rFonts w:ascii="Calibri" w:hAnsi="Calibri" w:cs="Calibri"/>
          <w:color w:val="404040"/>
          <w:szCs w:val="23"/>
          <w:shd w:val="clear" w:color="auto" w:fill="FFFFFF"/>
        </w:rPr>
        <w:t>ce hour specif</w:t>
      </w:r>
      <w:r>
        <w:rPr>
          <w:rFonts w:ascii="Calibri" w:hAnsi="Calibri" w:cs="Calibri"/>
          <w:color w:val="404040"/>
          <w:szCs w:val="23"/>
          <w:shd w:val="clear" w:color="auto" w:fill="FFFFFF"/>
        </w:rPr>
        <w:t>i</w:t>
      </w:r>
      <w:r w:rsidRPr="00CA22FD">
        <w:rPr>
          <w:rFonts w:ascii="Calibri" w:hAnsi="Calibri" w:cs="Calibri"/>
          <w:color w:val="404040"/>
          <w:szCs w:val="23"/>
          <w:shd w:val="clear" w:color="auto" w:fill="FFFFFF"/>
        </w:rPr>
        <w:t>cs will be shared by schools and teachers.</w:t>
      </w:r>
    </w:p>
    <w:p w14:paraId="7BB21D4B" w14:textId="6BA2CF80" w:rsidR="00CA22FD" w:rsidRDefault="00CA22FD" w:rsidP="00CA22FD">
      <w:pPr>
        <w:widowControl w:val="0"/>
        <w:rPr>
          <w:rFonts w:ascii="Calibri" w:hAnsi="Calibri" w:cs="Calibri"/>
          <w:color w:val="404040"/>
          <w:szCs w:val="23"/>
          <w:shd w:val="clear" w:color="auto" w:fill="FFFFFF"/>
        </w:rPr>
      </w:pPr>
      <w:r w:rsidRPr="00CA22FD">
        <w:rPr>
          <w:rFonts w:ascii="Calibri" w:hAnsi="Calibri" w:cs="Calibri"/>
          <w:b/>
          <w:bCs/>
          <w:color w:val="404040"/>
          <w:szCs w:val="23"/>
          <w:shd w:val="clear" w:color="auto" w:fill="FFFFFF"/>
        </w:rPr>
        <w:t>Teacher/Parent Check-Ins</w:t>
      </w:r>
      <w:r w:rsidRPr="00CA22FD">
        <w:rPr>
          <w:rFonts w:ascii="Calibri" w:hAnsi="Calibri" w:cs="Calibri"/>
          <w:color w:val="404040"/>
          <w:szCs w:val="23"/>
          <w:shd w:val="clear" w:color="auto" w:fill="FFFFFF"/>
        </w:rPr>
        <w:t xml:space="preserve">: Teachers will schedule check-ins with scholars and families at least once per </w:t>
      </w:r>
      <w:proofErr w:type="gramStart"/>
      <w:r w:rsidRPr="00CA22FD">
        <w:rPr>
          <w:rFonts w:ascii="Calibri" w:hAnsi="Calibri" w:cs="Calibri"/>
          <w:color w:val="404040"/>
          <w:szCs w:val="23"/>
          <w:shd w:val="clear" w:color="auto" w:fill="FFFFFF"/>
        </w:rPr>
        <w:t>week, and</w:t>
      </w:r>
      <w:proofErr w:type="gramEnd"/>
      <w:r w:rsidRPr="00CA22FD">
        <w:rPr>
          <w:rFonts w:ascii="Calibri" w:hAnsi="Calibri" w:cs="Calibri"/>
          <w:color w:val="404040"/>
          <w:szCs w:val="23"/>
          <w:shd w:val="clear" w:color="auto" w:fill="FFFFFF"/>
        </w:rPr>
        <w:t xml:space="preserve"> answer any questions about the scholar’s work.</w:t>
      </w:r>
      <w:r>
        <w:rPr>
          <w:rFonts w:ascii="Calibri" w:hAnsi="Calibri" w:cs="Calibri"/>
          <w:color w:val="404040"/>
          <w:szCs w:val="23"/>
          <w:shd w:val="clear" w:color="auto" w:fill="FFFFFF"/>
        </w:rPr>
        <w:t xml:space="preserve"> K-4 students had packets to complete. Students were required to watch recorded instruction videos and submit a set of work deliverables each week.  Assignments were submitted directly to the teachers. Students utilized Zoom to attend office hours and have weekly check-ins with teachers. During remote instruction, grades 5-8 continues to access work through Google Classroom. In addition, each week they watched previously recorded instructional videos and submitted work deliverables for each subject area.</w:t>
      </w:r>
    </w:p>
    <w:p w14:paraId="2EE7F2AE" w14:textId="25471067" w:rsidR="00CA22FD" w:rsidRDefault="00CA22FD" w:rsidP="00B37F28">
      <w:pPr>
        <w:widowControl w:val="0"/>
        <w:rPr>
          <w:rFonts w:ascii="Calibri" w:hAnsi="Calibri" w:cs="Calibri"/>
          <w:color w:val="404040"/>
          <w:szCs w:val="23"/>
          <w:shd w:val="clear" w:color="auto" w:fill="FFFFFF"/>
        </w:rPr>
      </w:pPr>
      <w:r>
        <w:rPr>
          <w:rFonts w:ascii="Calibri" w:hAnsi="Calibri" w:cs="Calibri"/>
          <w:color w:val="404040"/>
          <w:szCs w:val="23"/>
          <w:shd w:val="clear" w:color="auto" w:fill="FFFFFF"/>
        </w:rPr>
        <w:t>By late fall, Troy Prep was at a 1:1 student to Chromebook ratio.</w:t>
      </w:r>
    </w:p>
    <w:p w14:paraId="4BA0EDF1" w14:textId="0AD06A16" w:rsidR="00CA22FD" w:rsidRPr="00CA22FD" w:rsidRDefault="00CA22FD" w:rsidP="00B37F28">
      <w:pPr>
        <w:widowControl w:val="0"/>
        <w:rPr>
          <w:rFonts w:ascii="Calibri" w:hAnsi="Calibri" w:cs="Calibri"/>
          <w:b/>
          <w:bCs/>
          <w:color w:val="404040"/>
          <w:szCs w:val="23"/>
          <w:shd w:val="clear" w:color="auto" w:fill="FFFFFF"/>
        </w:rPr>
      </w:pPr>
      <w:r>
        <w:rPr>
          <w:rFonts w:ascii="Calibri" w:hAnsi="Calibri" w:cs="Calibri"/>
          <w:b/>
          <w:bCs/>
          <w:color w:val="404040"/>
          <w:szCs w:val="23"/>
          <w:shd w:val="clear" w:color="auto" w:fill="FFFFFF"/>
        </w:rPr>
        <w:t>K-8 Hybrid Learning</w:t>
      </w:r>
    </w:p>
    <w:p w14:paraId="1E435566" w14:textId="4475B360" w:rsidR="00456898" w:rsidRDefault="00456898" w:rsidP="00B37F28">
      <w:pPr>
        <w:widowControl w:val="0"/>
        <w:rPr>
          <w:rFonts w:ascii="Calibri" w:hAnsi="Calibri" w:cs="Calibri"/>
          <w:color w:val="404040"/>
          <w:szCs w:val="23"/>
          <w:shd w:val="clear" w:color="auto" w:fill="FFFFFF"/>
        </w:rPr>
      </w:pPr>
      <w:r>
        <w:rPr>
          <w:rFonts w:ascii="Calibri" w:hAnsi="Calibri" w:cs="Calibri"/>
          <w:color w:val="404040"/>
          <w:szCs w:val="23"/>
          <w:shd w:val="clear" w:color="auto" w:fill="FFFFFF"/>
        </w:rPr>
        <w:t xml:space="preserve">Beginning October </w:t>
      </w:r>
      <w:r w:rsidR="00CA22FD">
        <w:rPr>
          <w:rFonts w:ascii="Calibri" w:hAnsi="Calibri" w:cs="Calibri"/>
          <w:color w:val="404040"/>
          <w:szCs w:val="23"/>
          <w:shd w:val="clear" w:color="auto" w:fill="FFFFFF"/>
        </w:rPr>
        <w:t>5th</w:t>
      </w:r>
      <w:r>
        <w:rPr>
          <w:rFonts w:ascii="Calibri" w:hAnsi="Calibri" w:cs="Calibri"/>
          <w:color w:val="404040"/>
          <w:szCs w:val="23"/>
          <w:shd w:val="clear" w:color="auto" w:fill="FFFFFF"/>
        </w:rPr>
        <w:t xml:space="preserve">, 2020, students and their families had the option to continue remote instruction or opt into hybrid learning.  In grades K-8, students attending in-person learning on a hybrid basis where they attended </w:t>
      </w:r>
      <w:r w:rsidR="00CA22FD">
        <w:rPr>
          <w:rFonts w:ascii="Calibri" w:hAnsi="Calibri" w:cs="Calibri"/>
          <w:color w:val="404040"/>
          <w:szCs w:val="23"/>
          <w:shd w:val="clear" w:color="auto" w:fill="FFFFFF"/>
        </w:rPr>
        <w:t xml:space="preserve">at least 2 days per week which consisted of </w:t>
      </w:r>
      <w:r>
        <w:rPr>
          <w:rFonts w:ascii="Calibri" w:hAnsi="Calibri" w:cs="Calibri"/>
          <w:color w:val="404040"/>
          <w:szCs w:val="23"/>
          <w:shd w:val="clear" w:color="auto" w:fill="FFFFFF"/>
        </w:rPr>
        <w:t xml:space="preserve">either Monday and Wednesday, or Tuesday and Thursday.  Special Education students also had the opportunity to attend 4 days per week, Monday through Thursday. All students had asynchronous learning on Friday’s.  Students in grades 9-12 who opted into hybrid learning attended in-person learning 4 days per week, consisting of Monday through Thursday, with synchronous learning on Friday’s.  All students who continued remote learning instruction attended classes through </w:t>
      </w:r>
      <w:r w:rsidR="006B1365">
        <w:rPr>
          <w:rFonts w:ascii="Calibri" w:hAnsi="Calibri" w:cs="Calibri"/>
          <w:color w:val="404040"/>
          <w:szCs w:val="23"/>
          <w:shd w:val="clear" w:color="auto" w:fill="FFFFFF"/>
        </w:rPr>
        <w:t>Zoom</w:t>
      </w:r>
      <w:r>
        <w:rPr>
          <w:rFonts w:ascii="Calibri" w:hAnsi="Calibri" w:cs="Calibri"/>
          <w:color w:val="404040"/>
          <w:szCs w:val="23"/>
          <w:shd w:val="clear" w:color="auto" w:fill="FFFFFF"/>
        </w:rPr>
        <w:t xml:space="preserve"> with their subject teacher.</w:t>
      </w:r>
    </w:p>
    <w:p w14:paraId="1EB5C65B" w14:textId="52339A9F" w:rsidR="00456898" w:rsidRDefault="006B1365" w:rsidP="00B37F28">
      <w:pPr>
        <w:widowControl w:val="0"/>
        <w:rPr>
          <w:rFonts w:ascii="Calibri" w:hAnsi="Calibri" w:cs="Calibri"/>
          <w:color w:val="404040"/>
          <w:szCs w:val="23"/>
          <w:shd w:val="clear" w:color="auto" w:fill="FFFFFF"/>
        </w:rPr>
      </w:pPr>
      <w:r>
        <w:rPr>
          <w:rFonts w:ascii="Calibri" w:hAnsi="Calibri" w:cs="Calibri"/>
          <w:color w:val="404040"/>
          <w:szCs w:val="23"/>
          <w:shd w:val="clear" w:color="auto" w:fill="FFFFFF"/>
        </w:rPr>
        <w:t xml:space="preserve">In-person and remote instruction relied on paper and online platforms, including Zoom and Google Classroom, where scholars accessed interactive, online curriculum for </w:t>
      </w:r>
      <w:proofErr w:type="gramStart"/>
      <w:r>
        <w:rPr>
          <w:rFonts w:ascii="Calibri" w:hAnsi="Calibri" w:cs="Calibri"/>
          <w:color w:val="404040"/>
          <w:szCs w:val="23"/>
          <w:shd w:val="clear" w:color="auto" w:fill="FFFFFF"/>
        </w:rPr>
        <w:t>the majority of</w:t>
      </w:r>
      <w:proofErr w:type="gramEnd"/>
      <w:r>
        <w:rPr>
          <w:rFonts w:ascii="Calibri" w:hAnsi="Calibri" w:cs="Calibri"/>
          <w:color w:val="404040"/>
          <w:szCs w:val="23"/>
          <w:shd w:val="clear" w:color="auto" w:fill="FFFFFF"/>
        </w:rPr>
        <w:t xml:space="preserve"> their independent instruction.</w:t>
      </w:r>
    </w:p>
    <w:p w14:paraId="68C711A2" w14:textId="434AA1FC" w:rsidR="00456898" w:rsidRDefault="006B1365" w:rsidP="00B37F28">
      <w:pPr>
        <w:widowControl w:val="0"/>
        <w:rPr>
          <w:rFonts w:ascii="Calibri" w:hAnsi="Calibri" w:cs="Calibri"/>
          <w:color w:val="404040"/>
          <w:szCs w:val="23"/>
          <w:shd w:val="clear" w:color="auto" w:fill="FFFFFF"/>
        </w:rPr>
      </w:pPr>
      <w:r w:rsidRPr="006B1365">
        <w:rPr>
          <w:rFonts w:ascii="Calibri" w:hAnsi="Calibri" w:cs="Calibri"/>
          <w:color w:val="404040"/>
          <w:szCs w:val="23"/>
          <w:shd w:val="clear" w:color="auto" w:fill="FFFFFF"/>
        </w:rPr>
        <w:t>In-Person Days focus</w:t>
      </w:r>
      <w:r>
        <w:rPr>
          <w:rFonts w:ascii="Calibri" w:hAnsi="Calibri" w:cs="Calibri"/>
          <w:color w:val="404040"/>
          <w:szCs w:val="23"/>
          <w:shd w:val="clear" w:color="auto" w:fill="FFFFFF"/>
        </w:rPr>
        <w:t>ed</w:t>
      </w:r>
      <w:r w:rsidRPr="006B1365">
        <w:rPr>
          <w:rFonts w:ascii="Calibri" w:hAnsi="Calibri" w:cs="Calibri"/>
          <w:color w:val="404040"/>
          <w:szCs w:val="23"/>
          <w:shd w:val="clear" w:color="auto" w:fill="FFFFFF"/>
        </w:rPr>
        <w:t xml:space="preserve"> on instruction that students will most benef</w:t>
      </w:r>
      <w:r>
        <w:rPr>
          <w:rFonts w:ascii="Calibri" w:hAnsi="Calibri" w:cs="Calibri"/>
          <w:color w:val="404040"/>
          <w:szCs w:val="23"/>
          <w:shd w:val="clear" w:color="auto" w:fill="FFFFFF"/>
        </w:rPr>
        <w:t>i</w:t>
      </w:r>
      <w:r w:rsidRPr="006B1365">
        <w:rPr>
          <w:rFonts w:ascii="Calibri" w:hAnsi="Calibri" w:cs="Calibri"/>
          <w:color w:val="404040"/>
          <w:szCs w:val="23"/>
          <w:shd w:val="clear" w:color="auto" w:fill="FFFFFF"/>
        </w:rPr>
        <w:t>t from having in person, such as text-based discussion.</w:t>
      </w:r>
    </w:p>
    <w:p w14:paraId="213526AD" w14:textId="478BFAA4" w:rsidR="006B1365" w:rsidRDefault="006B1365" w:rsidP="00B37F28">
      <w:pPr>
        <w:widowControl w:val="0"/>
        <w:rPr>
          <w:rFonts w:ascii="Calibri" w:hAnsi="Calibri" w:cs="Calibri"/>
          <w:color w:val="404040"/>
          <w:szCs w:val="23"/>
          <w:shd w:val="clear" w:color="auto" w:fill="FFFFFF"/>
        </w:rPr>
      </w:pPr>
      <w:r w:rsidRPr="006B1365">
        <w:rPr>
          <w:rFonts w:ascii="Calibri" w:hAnsi="Calibri" w:cs="Calibri"/>
          <w:color w:val="404040"/>
          <w:szCs w:val="23"/>
          <w:shd w:val="clear" w:color="auto" w:fill="FFFFFF"/>
        </w:rPr>
        <w:t>In addition to our instructional curriculum, the hybrid learning model also introduce</w:t>
      </w:r>
      <w:r>
        <w:rPr>
          <w:rFonts w:ascii="Calibri" w:hAnsi="Calibri" w:cs="Calibri"/>
          <w:color w:val="404040"/>
          <w:szCs w:val="23"/>
          <w:shd w:val="clear" w:color="auto" w:fill="FFFFFF"/>
        </w:rPr>
        <w:t>d</w:t>
      </w:r>
      <w:r w:rsidRPr="006B1365">
        <w:rPr>
          <w:rFonts w:ascii="Calibri" w:hAnsi="Calibri" w:cs="Calibri"/>
          <w:color w:val="404040"/>
          <w:szCs w:val="23"/>
          <w:shd w:val="clear" w:color="auto" w:fill="FFFFFF"/>
        </w:rPr>
        <w:t xml:space="preserve"> non-instructional specials and wellness curriculum to support scholars in prioritizing their well-being mentally, physically, and emotionally.</w:t>
      </w:r>
      <w:r>
        <w:rPr>
          <w:rFonts w:ascii="Calibri" w:hAnsi="Calibri" w:cs="Calibri"/>
          <w:color w:val="404040"/>
          <w:szCs w:val="23"/>
          <w:shd w:val="clear" w:color="auto" w:fill="FFFFFF"/>
        </w:rPr>
        <w:t xml:space="preserve"> </w:t>
      </w:r>
      <w:r w:rsidRPr="006B1365">
        <w:rPr>
          <w:rFonts w:ascii="Calibri" w:hAnsi="Calibri" w:cs="Calibri"/>
          <w:color w:val="404040"/>
          <w:szCs w:val="23"/>
          <w:shd w:val="clear" w:color="auto" w:fill="FFFFFF"/>
        </w:rPr>
        <w:t>This include</w:t>
      </w:r>
      <w:r>
        <w:rPr>
          <w:rFonts w:ascii="Calibri" w:hAnsi="Calibri" w:cs="Calibri"/>
          <w:color w:val="404040"/>
          <w:szCs w:val="23"/>
          <w:shd w:val="clear" w:color="auto" w:fill="FFFFFF"/>
        </w:rPr>
        <w:t>d</w:t>
      </w:r>
      <w:r w:rsidRPr="006B1365">
        <w:rPr>
          <w:rFonts w:ascii="Calibri" w:hAnsi="Calibri" w:cs="Calibri"/>
          <w:color w:val="404040"/>
          <w:szCs w:val="23"/>
          <w:shd w:val="clear" w:color="auto" w:fill="FFFFFF"/>
        </w:rPr>
        <w:t xml:space="preserve"> components of Performing Arts, Physical Education and wellness lessons along with in-person activities adhering to our health and safety procedures.</w:t>
      </w:r>
    </w:p>
    <w:p w14:paraId="1F54104E" w14:textId="6D8FB813" w:rsidR="00B37F28" w:rsidRDefault="00B37F28" w:rsidP="00F5016C">
      <w:pPr>
        <w:widowControl w:val="0"/>
        <w:rPr>
          <w:rFonts w:ascii="Calibri" w:hAnsi="Calibri" w:cs="Calibri"/>
          <w:color w:val="404040"/>
          <w:szCs w:val="23"/>
          <w:shd w:val="clear" w:color="auto" w:fill="FFFFFF"/>
        </w:rPr>
      </w:pPr>
      <w:r w:rsidRPr="00F5016C">
        <w:rPr>
          <w:rFonts w:ascii="Calibri" w:hAnsi="Calibri" w:cs="Calibri"/>
          <w:color w:val="404040"/>
          <w:szCs w:val="23"/>
          <w:shd w:val="clear" w:color="auto" w:fill="FFFFFF"/>
        </w:rPr>
        <w:t xml:space="preserve">Troy Prep High School </w:t>
      </w:r>
      <w:r w:rsidR="00F5016C" w:rsidRPr="00F5016C">
        <w:rPr>
          <w:rFonts w:ascii="Calibri" w:hAnsi="Calibri" w:cs="Calibri"/>
          <w:color w:val="404040"/>
          <w:szCs w:val="23"/>
          <w:shd w:val="clear" w:color="auto" w:fill="FFFFFF"/>
        </w:rPr>
        <w:t xml:space="preserve">students who attended in-person hybrid learning, attended school Monday through Thursday, and attended remote instruction on Friday’s. Students were enrolled in </w:t>
      </w:r>
      <w:proofErr w:type="gramStart"/>
      <w:r w:rsidR="00F5016C" w:rsidRPr="00F5016C">
        <w:rPr>
          <w:rFonts w:ascii="Calibri" w:hAnsi="Calibri" w:cs="Calibri"/>
          <w:color w:val="404040"/>
          <w:szCs w:val="23"/>
          <w:shd w:val="clear" w:color="auto" w:fill="FFFFFF"/>
        </w:rPr>
        <w:t>all of</w:t>
      </w:r>
      <w:proofErr w:type="gramEnd"/>
      <w:r w:rsidR="00F5016C" w:rsidRPr="00F5016C">
        <w:rPr>
          <w:rFonts w:ascii="Calibri" w:hAnsi="Calibri" w:cs="Calibri"/>
          <w:color w:val="404040"/>
          <w:szCs w:val="23"/>
          <w:shd w:val="clear" w:color="auto" w:fill="FFFFFF"/>
        </w:rPr>
        <w:t xml:space="preserve"> the classes they would have been enrolled in previously, including electives, whether they were remote </w:t>
      </w:r>
      <w:r w:rsidR="00F5016C" w:rsidRPr="00F5016C">
        <w:rPr>
          <w:rFonts w:ascii="Calibri" w:hAnsi="Calibri" w:cs="Calibri"/>
          <w:color w:val="404040"/>
          <w:szCs w:val="23"/>
          <w:shd w:val="clear" w:color="auto" w:fill="FFFFFF"/>
        </w:rPr>
        <w:lastRenderedPageBreak/>
        <w:t xml:space="preserve">or in-person. Troy Prep High School maximized the benefits of in-person days both in classroom teaching and learning, and in the opportunities to socialize and connect as </w:t>
      </w:r>
      <w:proofErr w:type="spellStart"/>
      <w:r w:rsidR="00F5016C" w:rsidRPr="00F5016C">
        <w:rPr>
          <w:rFonts w:ascii="Calibri" w:hAnsi="Calibri" w:cs="Calibri"/>
          <w:color w:val="404040"/>
          <w:szCs w:val="23"/>
          <w:shd w:val="clear" w:color="auto" w:fill="FFFFFF"/>
        </w:rPr>
        <w:t>acommunity</w:t>
      </w:r>
      <w:proofErr w:type="spellEnd"/>
      <w:r w:rsidR="00F5016C" w:rsidRPr="00F5016C">
        <w:rPr>
          <w:rFonts w:ascii="Calibri" w:hAnsi="Calibri" w:cs="Calibri"/>
          <w:color w:val="404040"/>
          <w:szCs w:val="23"/>
          <w:shd w:val="clear" w:color="auto" w:fill="FFFFFF"/>
        </w:rPr>
        <w:t xml:space="preserve"> to support student socioemotional wellness. </w:t>
      </w:r>
    </w:p>
    <w:p w14:paraId="782BB5F0" w14:textId="3FEFC175" w:rsidR="002E054F" w:rsidRDefault="002E054F" w:rsidP="00B37F28">
      <w:pPr>
        <w:widowControl w:val="0"/>
        <w:rPr>
          <w:rFonts w:ascii="Calibri" w:hAnsi="Calibri" w:cs="Calibri"/>
          <w:color w:val="404040"/>
          <w:szCs w:val="23"/>
          <w:shd w:val="clear" w:color="auto" w:fill="FFFFFF"/>
        </w:rPr>
      </w:pPr>
    </w:p>
    <w:p w14:paraId="6A916B9A" w14:textId="722C405B" w:rsidR="002E054F" w:rsidRDefault="002E054F" w:rsidP="00B37F28">
      <w:pPr>
        <w:widowControl w:val="0"/>
        <w:rPr>
          <w:rFonts w:ascii="Calibri" w:hAnsi="Calibri" w:cs="Calibri"/>
          <w:b/>
          <w:bCs/>
          <w:color w:val="404040"/>
          <w:szCs w:val="23"/>
          <w:shd w:val="clear" w:color="auto" w:fill="FFFFFF"/>
        </w:rPr>
      </w:pPr>
      <w:r>
        <w:rPr>
          <w:rFonts w:ascii="Calibri" w:hAnsi="Calibri" w:cs="Calibri"/>
          <w:b/>
          <w:bCs/>
          <w:color w:val="404040"/>
          <w:szCs w:val="23"/>
          <w:shd w:val="clear" w:color="auto" w:fill="FFFFFF"/>
        </w:rPr>
        <w:t>Mental Health, Behavioral, and Emotional Support Services and Programs</w:t>
      </w:r>
    </w:p>
    <w:p w14:paraId="21BDC1EE" w14:textId="4AB635BD" w:rsidR="002E054F" w:rsidRDefault="002E054F" w:rsidP="00B37F28">
      <w:pPr>
        <w:widowControl w:val="0"/>
        <w:rPr>
          <w:rFonts w:ascii="Calibri" w:hAnsi="Calibri" w:cs="Calibri"/>
          <w:color w:val="404040"/>
          <w:szCs w:val="23"/>
          <w:shd w:val="clear" w:color="auto" w:fill="FFFFFF"/>
        </w:rPr>
      </w:pPr>
      <w:r>
        <w:rPr>
          <w:rFonts w:ascii="Calibri" w:hAnsi="Calibri" w:cs="Calibri"/>
          <w:color w:val="404040"/>
          <w:szCs w:val="23"/>
          <w:shd w:val="clear" w:color="auto" w:fill="FFFFFF"/>
        </w:rPr>
        <w:t xml:space="preserve">In </w:t>
      </w:r>
      <w:r w:rsidRPr="002E054F">
        <w:rPr>
          <w:rFonts w:ascii="Calibri" w:hAnsi="Calibri" w:cs="Calibri"/>
          <w:color w:val="404040"/>
          <w:szCs w:val="23"/>
          <w:shd w:val="clear" w:color="auto" w:fill="FFFFFF"/>
        </w:rPr>
        <w:t xml:space="preserve">its continued and expanding effort to support students in need of additional mental health, behavioral and emotional support, Uncommon Schools Troy Prep </w:t>
      </w:r>
      <w:r>
        <w:rPr>
          <w:rFonts w:ascii="Calibri" w:hAnsi="Calibri" w:cs="Calibri"/>
          <w:color w:val="404040"/>
          <w:szCs w:val="23"/>
          <w:shd w:val="clear" w:color="auto" w:fill="FFFFFF"/>
        </w:rPr>
        <w:t>had</w:t>
      </w:r>
      <w:r w:rsidRPr="002E054F">
        <w:rPr>
          <w:rFonts w:ascii="Calibri" w:hAnsi="Calibri" w:cs="Calibri"/>
          <w:color w:val="404040"/>
          <w:szCs w:val="23"/>
          <w:shd w:val="clear" w:color="auto" w:fill="FFFFFF"/>
        </w:rPr>
        <w:t xml:space="preserve"> the following three centralized priorities for school year 2020-21. </w:t>
      </w:r>
    </w:p>
    <w:p w14:paraId="3EADF37D"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xml:space="preserve">1. Centralized Sharing of Wellness Resources - Schools will include a “Wellness Corner” in weekly communications to families and staff that has both student and teacher-facing wellness resources and activities. These resources will be organized by an assigned “Wellness Lesson” of the month. Wellness Corner will also be added to a “Virtual Calming Room Website” which will be found on all Uncommon Schools’ websites. </w:t>
      </w:r>
    </w:p>
    <w:p w14:paraId="14E1FDD9"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xml:space="preserve">2. Streamlined Systems for Wellness Service Referral/Documentation - A “Student Wellness Referral and Tracker” tool will be utilized to identify </w:t>
      </w:r>
      <w:proofErr w:type="gramStart"/>
      <w:r w:rsidRPr="002E054F">
        <w:rPr>
          <w:rFonts w:ascii="Calibri" w:hAnsi="Calibri" w:cs="Calibri"/>
          <w:color w:val="404040"/>
          <w:szCs w:val="23"/>
          <w:shd w:val="clear" w:color="auto" w:fill="FFFFFF"/>
        </w:rPr>
        <w:t>any and all</w:t>
      </w:r>
      <w:proofErr w:type="gramEnd"/>
      <w:r w:rsidRPr="002E054F">
        <w:rPr>
          <w:rFonts w:ascii="Calibri" w:hAnsi="Calibri" w:cs="Calibri"/>
          <w:color w:val="404040"/>
          <w:szCs w:val="23"/>
          <w:shd w:val="clear" w:color="auto" w:fill="FFFFFF"/>
        </w:rPr>
        <w:t xml:space="preserve"> supports that students may need. This will allow teachers and staff to submit a referral directly to social workers and/or counselors who can determine the appropriate next steps. </w:t>
      </w:r>
    </w:p>
    <w:p w14:paraId="684DD27C"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xml:space="preserve">3. Explicit Wellness Instruction - Teachers will be provided with lesson plans specific to their </w:t>
      </w:r>
      <w:proofErr w:type="spellStart"/>
      <w:r w:rsidRPr="002E054F">
        <w:rPr>
          <w:rFonts w:ascii="Calibri" w:hAnsi="Calibri" w:cs="Calibri"/>
          <w:color w:val="404040"/>
          <w:szCs w:val="23"/>
          <w:shd w:val="clear" w:color="auto" w:fill="FFFFFF"/>
        </w:rPr>
        <w:t>gradespan</w:t>
      </w:r>
      <w:proofErr w:type="spellEnd"/>
      <w:r w:rsidRPr="002E054F">
        <w:rPr>
          <w:rFonts w:ascii="Calibri" w:hAnsi="Calibri" w:cs="Calibri"/>
          <w:color w:val="404040"/>
          <w:szCs w:val="23"/>
          <w:shd w:val="clear" w:color="auto" w:fill="FFFFFF"/>
        </w:rPr>
        <w:t xml:space="preserve"> that align with the monthly Wellness Lesson and will teach those lessons monthly - either remotely or in-person. These lessons will be incorporated into the curriculum exploring intellectual, physical, emotional, social, and spiritual wellness. The objective is to provide students with safe spaces to explore their emotions during these challenging times and take care of their whole selves</w:t>
      </w:r>
      <w:r>
        <w:rPr>
          <w:rFonts w:ascii="Calibri" w:hAnsi="Calibri" w:cs="Calibri"/>
          <w:color w:val="404040"/>
          <w:szCs w:val="23"/>
          <w:shd w:val="clear" w:color="auto" w:fill="FFFFFF"/>
        </w:rPr>
        <w:t>.</w:t>
      </w:r>
    </w:p>
    <w:p w14:paraId="12A85430"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In addition, before the start of the 2020-21 school year</w:t>
      </w:r>
      <w:r>
        <w:rPr>
          <w:rFonts w:ascii="Calibri" w:hAnsi="Calibri" w:cs="Calibri"/>
          <w:color w:val="404040"/>
          <w:szCs w:val="23"/>
          <w:shd w:val="clear" w:color="auto" w:fill="FFFFFF"/>
        </w:rPr>
        <w:t>,</w:t>
      </w:r>
      <w:r w:rsidRPr="002E054F">
        <w:rPr>
          <w:rFonts w:ascii="Calibri" w:hAnsi="Calibri" w:cs="Calibri"/>
          <w:color w:val="404040"/>
          <w:szCs w:val="23"/>
          <w:shd w:val="clear" w:color="auto" w:fill="FFFFFF"/>
        </w:rPr>
        <w:t xml:space="preserve"> Uncommon Schools Social Worker Supervisors </w:t>
      </w:r>
      <w:r>
        <w:rPr>
          <w:rFonts w:ascii="Calibri" w:hAnsi="Calibri" w:cs="Calibri"/>
          <w:color w:val="404040"/>
          <w:szCs w:val="23"/>
          <w:shd w:val="clear" w:color="auto" w:fill="FFFFFF"/>
        </w:rPr>
        <w:t>conducted</w:t>
      </w:r>
      <w:r w:rsidRPr="002E054F">
        <w:rPr>
          <w:rFonts w:ascii="Calibri" w:hAnsi="Calibri" w:cs="Calibri"/>
          <w:color w:val="404040"/>
          <w:szCs w:val="23"/>
          <w:shd w:val="clear" w:color="auto" w:fill="FFFFFF"/>
        </w:rPr>
        <w:t xml:space="preserve"> two days of virtual professional development for all school-based social workers and counselors on the following topics: </w:t>
      </w:r>
    </w:p>
    <w:p w14:paraId="7C50379C"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xml:space="preserve">● Trauma - Fostering Resilient Learners &amp; Trauma Sensitive Classrooms </w:t>
      </w:r>
    </w:p>
    <w:p w14:paraId="38AEC3F8"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xml:space="preserve">● Social Emotional Learning (SEL) </w:t>
      </w:r>
    </w:p>
    <w:p w14:paraId="6CF334E2" w14:textId="77777777"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xml:space="preserve">● Wellness </w:t>
      </w:r>
    </w:p>
    <w:p w14:paraId="6BDD7659" w14:textId="4940A7DB" w:rsidR="002E054F" w:rsidRDefault="002E054F" w:rsidP="00B37F28">
      <w:pPr>
        <w:widowControl w:val="0"/>
        <w:rPr>
          <w:rFonts w:ascii="Calibri" w:hAnsi="Calibri" w:cs="Calibri"/>
          <w:color w:val="404040"/>
          <w:szCs w:val="23"/>
          <w:shd w:val="clear" w:color="auto" w:fill="FFFFFF"/>
        </w:rPr>
      </w:pPr>
      <w:r w:rsidRPr="002E054F">
        <w:rPr>
          <w:rFonts w:ascii="Calibri" w:hAnsi="Calibri" w:cs="Calibri"/>
          <w:color w:val="404040"/>
          <w:szCs w:val="23"/>
          <w:shd w:val="clear" w:color="auto" w:fill="FFFFFF"/>
        </w:rPr>
        <w:t>● Grief, Loss, and Anxiety</w:t>
      </w:r>
    </w:p>
    <w:p w14:paraId="4DC24533" w14:textId="6C419174" w:rsidR="00356B0F" w:rsidRDefault="002E054F" w:rsidP="00B37F28">
      <w:pPr>
        <w:widowControl w:val="0"/>
        <w:rPr>
          <w:rFonts w:ascii="Calibri" w:hAnsi="Calibri" w:cs="Calibri"/>
          <w:color w:val="404040"/>
          <w:szCs w:val="23"/>
          <w:shd w:val="clear" w:color="auto" w:fill="FFFFFF"/>
        </w:rPr>
      </w:pPr>
      <w:r>
        <w:rPr>
          <w:rFonts w:ascii="Calibri" w:hAnsi="Calibri" w:cs="Calibri"/>
          <w:color w:val="404040"/>
          <w:szCs w:val="23"/>
          <w:shd w:val="clear" w:color="auto" w:fill="FFFFFF"/>
        </w:rPr>
        <w:t xml:space="preserve">In the 2021-2022 school year, Uncommon Schools and Troy Prep is developing and implementing a social emotional learning curriculum that will be worked into all </w:t>
      </w:r>
      <w:r w:rsidR="00F5016C">
        <w:rPr>
          <w:rFonts w:ascii="Calibri" w:hAnsi="Calibri" w:cs="Calibri"/>
          <w:color w:val="404040"/>
          <w:szCs w:val="23"/>
          <w:shd w:val="clear" w:color="auto" w:fill="FFFFFF"/>
        </w:rPr>
        <w:t>student’s</w:t>
      </w:r>
      <w:r>
        <w:rPr>
          <w:rFonts w:ascii="Calibri" w:hAnsi="Calibri" w:cs="Calibri"/>
          <w:color w:val="404040"/>
          <w:szCs w:val="23"/>
          <w:shd w:val="clear" w:color="auto" w:fill="FFFFFF"/>
        </w:rPr>
        <w:t xml:space="preserve"> instruction.</w:t>
      </w:r>
    </w:p>
    <w:p w14:paraId="0F918A51" w14:textId="5C633D83" w:rsidR="00356B0F" w:rsidRDefault="00356B0F" w:rsidP="00356B0F">
      <w:pPr>
        <w:widowControl w:val="0"/>
        <w:rPr>
          <w:rFonts w:ascii="Calibri" w:hAnsi="Calibri" w:cs="Calibri"/>
          <w:b/>
          <w:bCs/>
          <w:color w:val="404040"/>
          <w:szCs w:val="23"/>
          <w:shd w:val="clear" w:color="auto" w:fill="FFFFFF"/>
        </w:rPr>
      </w:pPr>
      <w:proofErr w:type="spellStart"/>
      <w:r>
        <w:rPr>
          <w:rFonts w:ascii="Calibri" w:hAnsi="Calibri" w:cs="Calibri"/>
          <w:color w:val="404040"/>
          <w:szCs w:val="23"/>
          <w:shd w:val="clear" w:color="auto" w:fill="FFFFFF"/>
        </w:rPr>
        <w:t>Uncommon’s</w:t>
      </w:r>
      <w:proofErr w:type="spellEnd"/>
      <w:r>
        <w:rPr>
          <w:rFonts w:ascii="Calibri" w:hAnsi="Calibri" w:cs="Calibri"/>
          <w:color w:val="404040"/>
          <w:szCs w:val="23"/>
          <w:shd w:val="clear" w:color="auto" w:fill="FFFFFF"/>
        </w:rPr>
        <w:t xml:space="preserve"> focus as we head into 2021-2022 is to reverse 100% of COVID-related learning loss by June 2022. Uncommon Schools and Troy Prep have created a K-12 instruction model that will meet the academic and social-emotional needs of our students using five key pillars.</w:t>
      </w:r>
      <w:r>
        <w:rPr>
          <w:rFonts w:ascii="Calibri" w:hAnsi="Calibri" w:cs="Calibri"/>
          <w:color w:val="404040"/>
          <w:szCs w:val="23"/>
          <w:shd w:val="clear" w:color="auto" w:fill="FFFFFF"/>
        </w:rPr>
        <w:br/>
      </w:r>
      <w:r>
        <w:rPr>
          <w:rFonts w:ascii="Calibri" w:hAnsi="Calibri" w:cs="Calibri"/>
          <w:color w:val="404040"/>
          <w:szCs w:val="23"/>
          <w:shd w:val="clear" w:color="auto" w:fill="FFFFFF"/>
        </w:rPr>
        <w:br/>
        <w:t xml:space="preserve">1. </w:t>
      </w:r>
      <w:r w:rsidRPr="00356B0F">
        <w:rPr>
          <w:rFonts w:ascii="Calibri" w:hAnsi="Calibri" w:cs="Calibri"/>
          <w:b/>
          <w:bCs/>
          <w:color w:val="404040"/>
          <w:szCs w:val="23"/>
          <w:shd w:val="clear" w:color="auto" w:fill="FFFFFF"/>
        </w:rPr>
        <w:t>Staff and Student Wellness</w:t>
      </w:r>
    </w:p>
    <w:p w14:paraId="663BA70D" w14:textId="3139E1B0" w:rsidR="00356B0F" w:rsidRDefault="00356B0F" w:rsidP="00356B0F">
      <w:pPr>
        <w:widowControl w:val="0"/>
        <w:rPr>
          <w:rFonts w:ascii="Calibri" w:hAnsi="Calibri" w:cs="Calibri"/>
          <w:b/>
          <w:bCs/>
          <w:color w:val="404040"/>
          <w:szCs w:val="23"/>
          <w:shd w:val="clear" w:color="auto" w:fill="FFFFFF"/>
        </w:rPr>
      </w:pPr>
      <w:r w:rsidRPr="00356B0F">
        <w:rPr>
          <w:rFonts w:ascii="Calibri" w:hAnsi="Calibri" w:cs="Calibri"/>
          <w:color w:val="404040"/>
          <w:szCs w:val="23"/>
          <w:shd w:val="clear" w:color="auto" w:fill="FFFFFF"/>
        </w:rPr>
        <w:t>2.</w:t>
      </w:r>
      <w:r>
        <w:rPr>
          <w:rFonts w:ascii="Calibri" w:hAnsi="Calibri" w:cs="Calibri"/>
          <w:b/>
          <w:bCs/>
          <w:color w:val="404040"/>
          <w:szCs w:val="23"/>
          <w:shd w:val="clear" w:color="auto" w:fill="FFFFFF"/>
        </w:rPr>
        <w:t xml:space="preserve"> Prioritize Reading Instruction in K-6</w:t>
      </w:r>
    </w:p>
    <w:p w14:paraId="1493E9E4" w14:textId="0CDB07BF" w:rsidR="00356B0F" w:rsidRDefault="00356B0F" w:rsidP="00356B0F">
      <w:pPr>
        <w:widowControl w:val="0"/>
        <w:rPr>
          <w:rFonts w:ascii="Calibri" w:hAnsi="Calibri" w:cs="Calibri"/>
          <w:b/>
          <w:bCs/>
          <w:color w:val="404040"/>
          <w:szCs w:val="23"/>
          <w:shd w:val="clear" w:color="auto" w:fill="FFFFFF"/>
        </w:rPr>
      </w:pPr>
      <w:r>
        <w:rPr>
          <w:rFonts w:ascii="Calibri" w:hAnsi="Calibri" w:cs="Calibri"/>
          <w:color w:val="404040"/>
          <w:szCs w:val="23"/>
          <w:shd w:val="clear" w:color="auto" w:fill="FFFFFF"/>
        </w:rPr>
        <w:t xml:space="preserve">3. </w:t>
      </w:r>
      <w:r>
        <w:rPr>
          <w:rFonts w:ascii="Calibri" w:hAnsi="Calibri" w:cs="Calibri"/>
          <w:b/>
          <w:bCs/>
          <w:color w:val="404040"/>
          <w:szCs w:val="23"/>
          <w:shd w:val="clear" w:color="auto" w:fill="FFFFFF"/>
        </w:rPr>
        <w:t>Small Group Instruction Focused on Accelerating Student Learning</w:t>
      </w:r>
    </w:p>
    <w:p w14:paraId="49C4E9ED" w14:textId="3B2EABE9" w:rsidR="00356B0F" w:rsidRDefault="00356B0F" w:rsidP="00356B0F">
      <w:pPr>
        <w:widowControl w:val="0"/>
        <w:rPr>
          <w:rFonts w:ascii="Calibri" w:hAnsi="Calibri" w:cs="Calibri"/>
          <w:b/>
          <w:bCs/>
          <w:color w:val="404040"/>
          <w:szCs w:val="23"/>
          <w:shd w:val="clear" w:color="auto" w:fill="FFFFFF"/>
        </w:rPr>
      </w:pPr>
      <w:r>
        <w:rPr>
          <w:rFonts w:ascii="Calibri" w:hAnsi="Calibri" w:cs="Calibri"/>
          <w:color w:val="404040"/>
          <w:szCs w:val="23"/>
          <w:shd w:val="clear" w:color="auto" w:fill="FFFFFF"/>
        </w:rPr>
        <w:lastRenderedPageBreak/>
        <w:t>4.</w:t>
      </w:r>
      <w:r>
        <w:rPr>
          <w:rFonts w:ascii="Calibri" w:hAnsi="Calibri" w:cs="Calibri"/>
          <w:b/>
          <w:bCs/>
          <w:color w:val="404040"/>
          <w:szCs w:val="23"/>
          <w:shd w:val="clear" w:color="auto" w:fill="FFFFFF"/>
        </w:rPr>
        <w:t xml:space="preserve"> Streamlined Assessment</w:t>
      </w:r>
    </w:p>
    <w:p w14:paraId="0885E489" w14:textId="45B96FAB" w:rsidR="00356B0F" w:rsidRPr="00356B0F" w:rsidRDefault="00356B0F" w:rsidP="00356B0F">
      <w:pPr>
        <w:widowControl w:val="0"/>
        <w:rPr>
          <w:rFonts w:ascii="Calibri" w:hAnsi="Calibri" w:cs="Calibri"/>
          <w:color w:val="404040"/>
          <w:szCs w:val="23"/>
          <w:shd w:val="clear" w:color="auto" w:fill="FFFFFF"/>
        </w:rPr>
      </w:pPr>
      <w:r>
        <w:rPr>
          <w:rFonts w:ascii="Calibri" w:hAnsi="Calibri" w:cs="Calibri"/>
          <w:color w:val="404040"/>
          <w:szCs w:val="23"/>
          <w:shd w:val="clear" w:color="auto" w:fill="FFFFFF"/>
        </w:rPr>
        <w:t xml:space="preserve">5. </w:t>
      </w:r>
      <w:r>
        <w:rPr>
          <w:rFonts w:ascii="Calibri" w:hAnsi="Calibri" w:cs="Calibri"/>
          <w:b/>
          <w:bCs/>
          <w:color w:val="404040"/>
          <w:szCs w:val="23"/>
          <w:shd w:val="clear" w:color="auto" w:fill="FFFFFF"/>
        </w:rPr>
        <w:t>Integrated Technology</w:t>
      </w:r>
      <w:r>
        <w:rPr>
          <w:rFonts w:ascii="Calibri" w:hAnsi="Calibri" w:cs="Calibri"/>
          <w:color w:val="404040"/>
          <w:szCs w:val="23"/>
          <w:shd w:val="clear" w:color="auto" w:fill="FFFFFF"/>
        </w:rPr>
        <w:br/>
      </w:r>
    </w:p>
    <w:p w14:paraId="64324C05" w14:textId="1389D5AD" w:rsidR="00056BFE" w:rsidRPr="00DD2508" w:rsidRDefault="5FA1A31B" w:rsidP="52172790">
      <w:pPr>
        <w:widowControl w:val="0"/>
      </w:pPr>
      <w:r w:rsidRPr="52172790">
        <w:rPr>
          <w:rFonts w:ascii="Calibri" w:eastAsia="Calibri" w:hAnsi="Calibri" w:cs="Calibri"/>
          <w:caps/>
          <w:color w:val="365F91" w:themeColor="accent1" w:themeShade="BF"/>
          <w:sz w:val="36"/>
          <w:szCs w:val="36"/>
        </w:rPr>
        <w:t>ENROLLMENT SUMMARY</w:t>
      </w:r>
    </w:p>
    <w:p w14:paraId="7EA4CDBB" w14:textId="77777777" w:rsidR="00056BFE" w:rsidRPr="003D00FB" w:rsidRDefault="00056BFE" w:rsidP="00056BFE">
      <w:pPr>
        <w:pStyle w:val="TableHeader"/>
      </w:pPr>
      <w:r w:rsidRPr="003D00FB">
        <w:t>School Enrollment by Grade Level and School Year</w:t>
      </w:r>
    </w:p>
    <w:tbl>
      <w:tblPr>
        <w:tblW w:w="0" w:type="auto"/>
        <w:jc w:val="cente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1152"/>
        <w:gridCol w:w="576"/>
        <w:gridCol w:w="576"/>
        <w:gridCol w:w="576"/>
        <w:gridCol w:w="576"/>
        <w:gridCol w:w="576"/>
        <w:gridCol w:w="576"/>
        <w:gridCol w:w="576"/>
        <w:gridCol w:w="576"/>
        <w:gridCol w:w="576"/>
        <w:gridCol w:w="576"/>
        <w:gridCol w:w="576"/>
        <w:gridCol w:w="576"/>
        <w:gridCol w:w="576"/>
        <w:gridCol w:w="639"/>
      </w:tblGrid>
      <w:tr w:rsidR="00056BFE" w:rsidRPr="00DD2508" w14:paraId="05F9B0C5" w14:textId="77777777" w:rsidTr="52172790">
        <w:trPr>
          <w:jc w:val="center"/>
        </w:trPr>
        <w:tc>
          <w:tcPr>
            <w:tcW w:w="1152" w:type="dxa"/>
            <w:vAlign w:val="center"/>
          </w:tcPr>
          <w:p w14:paraId="137576AC"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School Year</w:t>
            </w:r>
          </w:p>
        </w:tc>
        <w:tc>
          <w:tcPr>
            <w:tcW w:w="576" w:type="dxa"/>
            <w:vAlign w:val="center"/>
          </w:tcPr>
          <w:p w14:paraId="1C566227"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K</w:t>
            </w:r>
          </w:p>
        </w:tc>
        <w:tc>
          <w:tcPr>
            <w:tcW w:w="576" w:type="dxa"/>
            <w:vAlign w:val="center"/>
          </w:tcPr>
          <w:p w14:paraId="39003874"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1</w:t>
            </w:r>
          </w:p>
        </w:tc>
        <w:tc>
          <w:tcPr>
            <w:tcW w:w="576" w:type="dxa"/>
            <w:vAlign w:val="center"/>
          </w:tcPr>
          <w:p w14:paraId="58827C27"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2</w:t>
            </w:r>
          </w:p>
        </w:tc>
        <w:tc>
          <w:tcPr>
            <w:tcW w:w="576" w:type="dxa"/>
            <w:vAlign w:val="center"/>
          </w:tcPr>
          <w:p w14:paraId="20E1BEFC"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3</w:t>
            </w:r>
          </w:p>
        </w:tc>
        <w:tc>
          <w:tcPr>
            <w:tcW w:w="576" w:type="dxa"/>
            <w:vAlign w:val="center"/>
          </w:tcPr>
          <w:p w14:paraId="0F6882B8"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4</w:t>
            </w:r>
          </w:p>
        </w:tc>
        <w:tc>
          <w:tcPr>
            <w:tcW w:w="576" w:type="dxa"/>
            <w:vAlign w:val="center"/>
          </w:tcPr>
          <w:p w14:paraId="376B9706"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5</w:t>
            </w:r>
          </w:p>
        </w:tc>
        <w:tc>
          <w:tcPr>
            <w:tcW w:w="576" w:type="dxa"/>
            <w:vAlign w:val="center"/>
          </w:tcPr>
          <w:p w14:paraId="358D9447"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6</w:t>
            </w:r>
          </w:p>
        </w:tc>
        <w:tc>
          <w:tcPr>
            <w:tcW w:w="576" w:type="dxa"/>
            <w:vAlign w:val="center"/>
          </w:tcPr>
          <w:p w14:paraId="137E2C21"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7</w:t>
            </w:r>
          </w:p>
        </w:tc>
        <w:tc>
          <w:tcPr>
            <w:tcW w:w="576" w:type="dxa"/>
            <w:vAlign w:val="center"/>
          </w:tcPr>
          <w:p w14:paraId="6A6FBAA3"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8</w:t>
            </w:r>
          </w:p>
        </w:tc>
        <w:tc>
          <w:tcPr>
            <w:tcW w:w="576" w:type="dxa"/>
            <w:vAlign w:val="center"/>
          </w:tcPr>
          <w:p w14:paraId="5B57F873"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9</w:t>
            </w:r>
          </w:p>
        </w:tc>
        <w:tc>
          <w:tcPr>
            <w:tcW w:w="576" w:type="dxa"/>
            <w:vAlign w:val="center"/>
          </w:tcPr>
          <w:p w14:paraId="58E32992"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10</w:t>
            </w:r>
          </w:p>
        </w:tc>
        <w:tc>
          <w:tcPr>
            <w:tcW w:w="576" w:type="dxa"/>
            <w:vAlign w:val="center"/>
          </w:tcPr>
          <w:p w14:paraId="1DBE9F0E"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11</w:t>
            </w:r>
          </w:p>
        </w:tc>
        <w:tc>
          <w:tcPr>
            <w:tcW w:w="576" w:type="dxa"/>
            <w:vAlign w:val="center"/>
          </w:tcPr>
          <w:p w14:paraId="34E8ADD5"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12</w:t>
            </w:r>
          </w:p>
        </w:tc>
        <w:tc>
          <w:tcPr>
            <w:tcW w:w="639" w:type="dxa"/>
            <w:vAlign w:val="center"/>
          </w:tcPr>
          <w:p w14:paraId="5D61A4BC" w14:textId="77777777" w:rsidR="00056BFE" w:rsidRPr="00DE3E14" w:rsidRDefault="00056BFE" w:rsidP="002C1A58">
            <w:pPr>
              <w:widowControl w:val="0"/>
              <w:spacing w:after="0"/>
              <w:jc w:val="center"/>
              <w:rPr>
                <w:rFonts w:ascii="Calibri" w:hAnsi="Calibri"/>
                <w:sz w:val="20"/>
              </w:rPr>
            </w:pPr>
            <w:r w:rsidRPr="00DE3E14">
              <w:rPr>
                <w:rFonts w:ascii="Calibri" w:hAnsi="Calibri"/>
                <w:sz w:val="20"/>
              </w:rPr>
              <w:t>Total</w:t>
            </w:r>
          </w:p>
        </w:tc>
      </w:tr>
      <w:tr w:rsidR="0065480D" w:rsidRPr="00DD2508" w14:paraId="4E758CA3" w14:textId="77777777" w:rsidTr="52172790">
        <w:trPr>
          <w:trHeight w:val="377"/>
          <w:jc w:val="center"/>
        </w:trPr>
        <w:tc>
          <w:tcPr>
            <w:tcW w:w="1152" w:type="dxa"/>
            <w:vAlign w:val="center"/>
          </w:tcPr>
          <w:p w14:paraId="56FF1B54" w14:textId="5C338DCB" w:rsidR="0065480D" w:rsidRPr="00DE3E14" w:rsidRDefault="0065480D" w:rsidP="0065480D">
            <w:pPr>
              <w:widowControl w:val="0"/>
              <w:spacing w:after="0"/>
              <w:jc w:val="center"/>
              <w:rPr>
                <w:rFonts w:ascii="Calibri" w:hAnsi="Calibri"/>
                <w:sz w:val="20"/>
              </w:rPr>
            </w:pPr>
            <w:r w:rsidRPr="52172790">
              <w:rPr>
                <w:rFonts w:ascii="Calibri" w:hAnsi="Calibri"/>
                <w:sz w:val="20"/>
              </w:rPr>
              <w:t>201</w:t>
            </w:r>
            <w:r>
              <w:rPr>
                <w:rFonts w:ascii="Calibri" w:hAnsi="Calibri"/>
                <w:sz w:val="20"/>
              </w:rPr>
              <w:t>6</w:t>
            </w:r>
            <w:r w:rsidRPr="52172790">
              <w:rPr>
                <w:rFonts w:ascii="Calibri" w:hAnsi="Calibri"/>
                <w:sz w:val="20"/>
              </w:rPr>
              <w:t>-1</w:t>
            </w:r>
            <w:r>
              <w:rPr>
                <w:rFonts w:ascii="Calibri" w:hAnsi="Calibri"/>
                <w:sz w:val="20"/>
              </w:rPr>
              <w:t>7</w:t>
            </w:r>
          </w:p>
        </w:tc>
        <w:tc>
          <w:tcPr>
            <w:tcW w:w="576" w:type="dxa"/>
            <w:vAlign w:val="center"/>
          </w:tcPr>
          <w:p w14:paraId="13C85456" w14:textId="19C03AB8" w:rsidR="0065480D" w:rsidRPr="00DE3E14" w:rsidRDefault="0065480D" w:rsidP="0065480D">
            <w:pPr>
              <w:widowControl w:val="0"/>
              <w:spacing w:after="0"/>
              <w:jc w:val="center"/>
              <w:rPr>
                <w:rFonts w:ascii="Calibri" w:hAnsi="Calibri"/>
                <w:sz w:val="20"/>
              </w:rPr>
            </w:pPr>
            <w:r>
              <w:rPr>
                <w:rFonts w:ascii="Calibri" w:hAnsi="Calibri"/>
                <w:sz w:val="20"/>
              </w:rPr>
              <w:t>62</w:t>
            </w:r>
          </w:p>
        </w:tc>
        <w:tc>
          <w:tcPr>
            <w:tcW w:w="576" w:type="dxa"/>
            <w:vAlign w:val="center"/>
          </w:tcPr>
          <w:p w14:paraId="07583386" w14:textId="7E996D72" w:rsidR="0065480D" w:rsidRPr="00DE3E14" w:rsidRDefault="0065480D" w:rsidP="0065480D">
            <w:pPr>
              <w:widowControl w:val="0"/>
              <w:spacing w:after="0"/>
              <w:jc w:val="center"/>
              <w:rPr>
                <w:rFonts w:ascii="Calibri" w:hAnsi="Calibri"/>
                <w:sz w:val="20"/>
              </w:rPr>
            </w:pPr>
            <w:r>
              <w:rPr>
                <w:rFonts w:ascii="Calibri" w:hAnsi="Calibri"/>
                <w:sz w:val="20"/>
              </w:rPr>
              <w:t>59</w:t>
            </w:r>
          </w:p>
        </w:tc>
        <w:tc>
          <w:tcPr>
            <w:tcW w:w="576" w:type="dxa"/>
            <w:vAlign w:val="center"/>
          </w:tcPr>
          <w:p w14:paraId="5DBD4BB5" w14:textId="5F08AEFD" w:rsidR="0065480D" w:rsidRPr="00DE3E14" w:rsidRDefault="0065480D" w:rsidP="0065480D">
            <w:pPr>
              <w:widowControl w:val="0"/>
              <w:spacing w:after="0"/>
              <w:jc w:val="center"/>
              <w:rPr>
                <w:rFonts w:ascii="Calibri" w:hAnsi="Calibri"/>
                <w:sz w:val="20"/>
              </w:rPr>
            </w:pPr>
            <w:r>
              <w:rPr>
                <w:rFonts w:ascii="Calibri" w:hAnsi="Calibri"/>
                <w:sz w:val="20"/>
              </w:rPr>
              <w:t>62</w:t>
            </w:r>
          </w:p>
        </w:tc>
        <w:tc>
          <w:tcPr>
            <w:tcW w:w="576" w:type="dxa"/>
            <w:vAlign w:val="center"/>
          </w:tcPr>
          <w:p w14:paraId="420E4927" w14:textId="6B2E146C" w:rsidR="0065480D" w:rsidRPr="00DE3E14" w:rsidRDefault="0065480D" w:rsidP="0065480D">
            <w:pPr>
              <w:widowControl w:val="0"/>
              <w:spacing w:after="0"/>
              <w:jc w:val="center"/>
              <w:rPr>
                <w:rFonts w:ascii="Calibri" w:hAnsi="Calibri"/>
                <w:sz w:val="20"/>
              </w:rPr>
            </w:pPr>
            <w:r>
              <w:rPr>
                <w:rFonts w:ascii="Calibri" w:hAnsi="Calibri"/>
                <w:sz w:val="20"/>
              </w:rPr>
              <w:t>62</w:t>
            </w:r>
          </w:p>
        </w:tc>
        <w:tc>
          <w:tcPr>
            <w:tcW w:w="576" w:type="dxa"/>
            <w:vAlign w:val="center"/>
          </w:tcPr>
          <w:p w14:paraId="3919344F" w14:textId="61D25E61" w:rsidR="0065480D" w:rsidRPr="00DE3E14" w:rsidRDefault="0065480D" w:rsidP="0065480D">
            <w:pPr>
              <w:widowControl w:val="0"/>
              <w:spacing w:after="0"/>
              <w:jc w:val="center"/>
              <w:rPr>
                <w:rFonts w:ascii="Calibri" w:hAnsi="Calibri"/>
                <w:sz w:val="20"/>
              </w:rPr>
            </w:pPr>
            <w:r>
              <w:rPr>
                <w:rFonts w:ascii="Calibri" w:hAnsi="Calibri"/>
                <w:sz w:val="20"/>
              </w:rPr>
              <w:t>61</w:t>
            </w:r>
          </w:p>
        </w:tc>
        <w:tc>
          <w:tcPr>
            <w:tcW w:w="576" w:type="dxa"/>
            <w:vAlign w:val="center"/>
          </w:tcPr>
          <w:p w14:paraId="16F89E0F" w14:textId="5E7BA5D9" w:rsidR="0065480D" w:rsidRPr="00DE3E14" w:rsidRDefault="0065480D" w:rsidP="0065480D">
            <w:pPr>
              <w:widowControl w:val="0"/>
              <w:spacing w:after="0"/>
              <w:jc w:val="center"/>
              <w:rPr>
                <w:rFonts w:ascii="Calibri" w:hAnsi="Calibri"/>
                <w:sz w:val="20"/>
              </w:rPr>
            </w:pPr>
            <w:r>
              <w:rPr>
                <w:rFonts w:ascii="Calibri" w:hAnsi="Calibri"/>
                <w:sz w:val="20"/>
              </w:rPr>
              <w:t>61</w:t>
            </w:r>
          </w:p>
        </w:tc>
        <w:tc>
          <w:tcPr>
            <w:tcW w:w="576" w:type="dxa"/>
            <w:vAlign w:val="center"/>
          </w:tcPr>
          <w:p w14:paraId="5AD45361" w14:textId="48966447" w:rsidR="0065480D" w:rsidRPr="00DE3E14" w:rsidRDefault="0065480D" w:rsidP="0065480D">
            <w:pPr>
              <w:widowControl w:val="0"/>
              <w:spacing w:after="0"/>
              <w:jc w:val="center"/>
              <w:rPr>
                <w:rFonts w:ascii="Calibri" w:hAnsi="Calibri"/>
                <w:sz w:val="20"/>
              </w:rPr>
            </w:pPr>
            <w:r>
              <w:rPr>
                <w:rFonts w:ascii="Calibri" w:hAnsi="Calibri"/>
                <w:sz w:val="20"/>
              </w:rPr>
              <w:t>61</w:t>
            </w:r>
          </w:p>
        </w:tc>
        <w:tc>
          <w:tcPr>
            <w:tcW w:w="576" w:type="dxa"/>
            <w:vAlign w:val="center"/>
          </w:tcPr>
          <w:p w14:paraId="1E8F9758" w14:textId="4C91C797" w:rsidR="0065480D" w:rsidRPr="00DE3E14" w:rsidRDefault="0065480D" w:rsidP="0065480D">
            <w:pPr>
              <w:widowControl w:val="0"/>
              <w:spacing w:after="0"/>
              <w:jc w:val="center"/>
              <w:rPr>
                <w:rFonts w:ascii="Calibri" w:hAnsi="Calibri"/>
                <w:sz w:val="20"/>
              </w:rPr>
            </w:pPr>
            <w:r>
              <w:rPr>
                <w:rFonts w:ascii="Calibri" w:hAnsi="Calibri"/>
                <w:sz w:val="20"/>
              </w:rPr>
              <w:t>51</w:t>
            </w:r>
          </w:p>
        </w:tc>
        <w:tc>
          <w:tcPr>
            <w:tcW w:w="576" w:type="dxa"/>
            <w:vAlign w:val="center"/>
          </w:tcPr>
          <w:p w14:paraId="05ADBC0D" w14:textId="0FA2D6DB" w:rsidR="0065480D" w:rsidRPr="00DE3E14" w:rsidRDefault="0065480D" w:rsidP="0065480D">
            <w:pPr>
              <w:widowControl w:val="0"/>
              <w:spacing w:after="0"/>
              <w:jc w:val="center"/>
              <w:rPr>
                <w:rFonts w:ascii="Calibri" w:hAnsi="Calibri"/>
                <w:sz w:val="20"/>
              </w:rPr>
            </w:pPr>
            <w:r>
              <w:rPr>
                <w:rFonts w:ascii="Calibri" w:hAnsi="Calibri"/>
                <w:sz w:val="20"/>
              </w:rPr>
              <w:t>51</w:t>
            </w:r>
          </w:p>
        </w:tc>
        <w:tc>
          <w:tcPr>
            <w:tcW w:w="576" w:type="dxa"/>
            <w:vAlign w:val="center"/>
          </w:tcPr>
          <w:p w14:paraId="7513F139" w14:textId="77777777" w:rsidR="0065480D" w:rsidRPr="00DE3E14" w:rsidRDefault="0065480D" w:rsidP="0065480D">
            <w:pPr>
              <w:widowControl w:val="0"/>
              <w:spacing w:after="0"/>
              <w:jc w:val="center"/>
              <w:rPr>
                <w:rFonts w:ascii="Calibri" w:hAnsi="Calibri"/>
                <w:sz w:val="20"/>
              </w:rPr>
            </w:pPr>
          </w:p>
        </w:tc>
        <w:tc>
          <w:tcPr>
            <w:tcW w:w="576" w:type="dxa"/>
            <w:vAlign w:val="center"/>
          </w:tcPr>
          <w:p w14:paraId="191A01E2" w14:textId="77777777" w:rsidR="0065480D" w:rsidRPr="00DE3E14" w:rsidRDefault="0065480D" w:rsidP="0065480D">
            <w:pPr>
              <w:widowControl w:val="0"/>
              <w:spacing w:after="0"/>
              <w:jc w:val="center"/>
              <w:rPr>
                <w:rFonts w:ascii="Calibri" w:hAnsi="Calibri"/>
                <w:sz w:val="20"/>
              </w:rPr>
            </w:pPr>
          </w:p>
        </w:tc>
        <w:tc>
          <w:tcPr>
            <w:tcW w:w="576" w:type="dxa"/>
            <w:vAlign w:val="center"/>
          </w:tcPr>
          <w:p w14:paraId="15C6FD6A" w14:textId="77777777" w:rsidR="0065480D" w:rsidRPr="00DE3E14" w:rsidRDefault="0065480D" w:rsidP="0065480D">
            <w:pPr>
              <w:widowControl w:val="0"/>
              <w:spacing w:after="0"/>
              <w:jc w:val="center"/>
              <w:rPr>
                <w:rFonts w:ascii="Calibri" w:hAnsi="Calibri"/>
                <w:sz w:val="20"/>
              </w:rPr>
            </w:pPr>
          </w:p>
        </w:tc>
        <w:tc>
          <w:tcPr>
            <w:tcW w:w="576" w:type="dxa"/>
            <w:vAlign w:val="center"/>
          </w:tcPr>
          <w:p w14:paraId="0DF49BD6" w14:textId="77777777" w:rsidR="0065480D" w:rsidRPr="00DE3E14" w:rsidRDefault="0065480D" w:rsidP="0065480D">
            <w:pPr>
              <w:widowControl w:val="0"/>
              <w:spacing w:after="0"/>
              <w:jc w:val="center"/>
              <w:rPr>
                <w:rFonts w:ascii="Calibri" w:hAnsi="Calibri"/>
                <w:sz w:val="20"/>
              </w:rPr>
            </w:pPr>
          </w:p>
        </w:tc>
        <w:tc>
          <w:tcPr>
            <w:tcW w:w="639" w:type="dxa"/>
            <w:vAlign w:val="center"/>
          </w:tcPr>
          <w:p w14:paraId="7C0B096D" w14:textId="751951B8" w:rsidR="0065480D" w:rsidRPr="00DE3E14" w:rsidRDefault="0065480D" w:rsidP="0065480D">
            <w:pPr>
              <w:widowControl w:val="0"/>
              <w:spacing w:after="0"/>
              <w:jc w:val="center"/>
              <w:rPr>
                <w:rFonts w:ascii="Calibri" w:hAnsi="Calibri"/>
                <w:sz w:val="20"/>
              </w:rPr>
            </w:pPr>
            <w:r>
              <w:rPr>
                <w:rFonts w:ascii="Calibri" w:hAnsi="Calibri"/>
                <w:sz w:val="20"/>
              </w:rPr>
              <w:t>530</w:t>
            </w:r>
          </w:p>
        </w:tc>
      </w:tr>
      <w:tr w:rsidR="0065480D" w:rsidRPr="00DD2508" w14:paraId="63D64CA1" w14:textId="77777777" w:rsidTr="52172790">
        <w:trPr>
          <w:trHeight w:val="413"/>
          <w:jc w:val="center"/>
        </w:trPr>
        <w:tc>
          <w:tcPr>
            <w:tcW w:w="1152" w:type="dxa"/>
            <w:vAlign w:val="center"/>
          </w:tcPr>
          <w:p w14:paraId="0EA134BE" w14:textId="53A88183" w:rsidR="0065480D" w:rsidRPr="00DE3E14" w:rsidRDefault="0065480D" w:rsidP="0065480D">
            <w:pPr>
              <w:widowControl w:val="0"/>
              <w:spacing w:after="0"/>
              <w:jc w:val="center"/>
              <w:rPr>
                <w:rFonts w:ascii="Calibri" w:hAnsi="Calibri"/>
                <w:sz w:val="20"/>
              </w:rPr>
            </w:pPr>
            <w:r w:rsidRPr="52172790">
              <w:rPr>
                <w:rFonts w:ascii="Calibri" w:hAnsi="Calibri"/>
                <w:sz w:val="20"/>
              </w:rPr>
              <w:t>201</w:t>
            </w:r>
            <w:r>
              <w:rPr>
                <w:rFonts w:ascii="Calibri" w:hAnsi="Calibri"/>
                <w:sz w:val="20"/>
              </w:rPr>
              <w:t>7</w:t>
            </w:r>
            <w:r w:rsidRPr="52172790">
              <w:rPr>
                <w:rFonts w:ascii="Calibri" w:hAnsi="Calibri"/>
                <w:sz w:val="20"/>
              </w:rPr>
              <w:t>-1</w:t>
            </w:r>
            <w:r>
              <w:rPr>
                <w:rFonts w:ascii="Calibri" w:hAnsi="Calibri"/>
                <w:sz w:val="20"/>
              </w:rPr>
              <w:t>8</w:t>
            </w:r>
          </w:p>
        </w:tc>
        <w:tc>
          <w:tcPr>
            <w:tcW w:w="576" w:type="dxa"/>
            <w:vAlign w:val="center"/>
          </w:tcPr>
          <w:p w14:paraId="5971033C" w14:textId="6760E897" w:rsidR="0065480D" w:rsidRPr="00DE3E14" w:rsidRDefault="0065480D" w:rsidP="0065480D">
            <w:pPr>
              <w:widowControl w:val="0"/>
              <w:spacing w:after="0"/>
              <w:jc w:val="center"/>
              <w:rPr>
                <w:rFonts w:ascii="Calibri" w:hAnsi="Calibri"/>
                <w:sz w:val="20"/>
              </w:rPr>
            </w:pPr>
            <w:r>
              <w:rPr>
                <w:rFonts w:ascii="Calibri" w:hAnsi="Calibri"/>
                <w:sz w:val="20"/>
              </w:rPr>
              <w:t>63</w:t>
            </w:r>
          </w:p>
        </w:tc>
        <w:tc>
          <w:tcPr>
            <w:tcW w:w="576" w:type="dxa"/>
            <w:vAlign w:val="center"/>
          </w:tcPr>
          <w:p w14:paraId="5F960710" w14:textId="0BC7E6AA"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1999CABB" w14:textId="0EE8BA43"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3C031A36" w14:textId="113E6027"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5E115EE2" w14:textId="20FB7A68" w:rsidR="0065480D" w:rsidRPr="00DE3E14" w:rsidRDefault="0065480D" w:rsidP="0065480D">
            <w:pPr>
              <w:widowControl w:val="0"/>
              <w:spacing w:after="0"/>
              <w:jc w:val="center"/>
              <w:rPr>
                <w:rFonts w:ascii="Calibri" w:hAnsi="Calibri"/>
                <w:sz w:val="20"/>
              </w:rPr>
            </w:pPr>
            <w:r>
              <w:rPr>
                <w:rFonts w:ascii="Calibri" w:hAnsi="Calibri"/>
                <w:sz w:val="20"/>
              </w:rPr>
              <w:t>60</w:t>
            </w:r>
          </w:p>
        </w:tc>
        <w:tc>
          <w:tcPr>
            <w:tcW w:w="576" w:type="dxa"/>
            <w:vAlign w:val="center"/>
          </w:tcPr>
          <w:p w14:paraId="5B71F910" w14:textId="6A93B122"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3E6CC968" w14:textId="3EFF5EE3" w:rsidR="0065480D" w:rsidRPr="00DE3E14" w:rsidRDefault="0065480D" w:rsidP="0065480D">
            <w:pPr>
              <w:widowControl w:val="0"/>
              <w:spacing w:after="0"/>
              <w:jc w:val="center"/>
              <w:rPr>
                <w:rFonts w:ascii="Calibri" w:hAnsi="Calibri"/>
                <w:sz w:val="20"/>
              </w:rPr>
            </w:pPr>
            <w:r>
              <w:rPr>
                <w:rFonts w:ascii="Calibri" w:hAnsi="Calibri"/>
                <w:sz w:val="20"/>
              </w:rPr>
              <w:t>62</w:t>
            </w:r>
          </w:p>
        </w:tc>
        <w:tc>
          <w:tcPr>
            <w:tcW w:w="576" w:type="dxa"/>
            <w:vAlign w:val="center"/>
          </w:tcPr>
          <w:p w14:paraId="6E777884" w14:textId="65E7F5C4" w:rsidR="0065480D" w:rsidRPr="00DE3E14" w:rsidRDefault="0065480D" w:rsidP="0065480D">
            <w:pPr>
              <w:widowControl w:val="0"/>
              <w:spacing w:after="0"/>
              <w:jc w:val="center"/>
              <w:rPr>
                <w:rFonts w:ascii="Calibri" w:hAnsi="Calibri"/>
                <w:sz w:val="20"/>
              </w:rPr>
            </w:pPr>
            <w:r>
              <w:rPr>
                <w:rFonts w:ascii="Calibri" w:hAnsi="Calibri"/>
                <w:sz w:val="20"/>
              </w:rPr>
              <w:t>58</w:t>
            </w:r>
          </w:p>
        </w:tc>
        <w:tc>
          <w:tcPr>
            <w:tcW w:w="576" w:type="dxa"/>
            <w:vAlign w:val="center"/>
          </w:tcPr>
          <w:p w14:paraId="785742B5" w14:textId="0ECC4F1A" w:rsidR="0065480D" w:rsidRPr="00DE3E14" w:rsidRDefault="0065480D" w:rsidP="0065480D">
            <w:pPr>
              <w:widowControl w:val="0"/>
              <w:spacing w:after="0"/>
              <w:jc w:val="center"/>
              <w:rPr>
                <w:rFonts w:ascii="Calibri" w:hAnsi="Calibri"/>
                <w:sz w:val="20"/>
              </w:rPr>
            </w:pPr>
            <w:r>
              <w:rPr>
                <w:rFonts w:ascii="Calibri" w:hAnsi="Calibri"/>
                <w:sz w:val="20"/>
              </w:rPr>
              <w:t>39</w:t>
            </w:r>
          </w:p>
        </w:tc>
        <w:tc>
          <w:tcPr>
            <w:tcW w:w="576" w:type="dxa"/>
            <w:vAlign w:val="center"/>
          </w:tcPr>
          <w:p w14:paraId="46A7032E" w14:textId="4F034554" w:rsidR="0065480D" w:rsidRPr="00DE3E14" w:rsidRDefault="0065480D" w:rsidP="0065480D">
            <w:pPr>
              <w:widowControl w:val="0"/>
              <w:spacing w:after="0"/>
              <w:jc w:val="center"/>
              <w:rPr>
                <w:rFonts w:ascii="Calibri" w:hAnsi="Calibri"/>
                <w:sz w:val="20"/>
              </w:rPr>
            </w:pPr>
            <w:r>
              <w:rPr>
                <w:rFonts w:ascii="Calibri" w:hAnsi="Calibri"/>
                <w:sz w:val="20"/>
              </w:rPr>
              <w:t>42</w:t>
            </w:r>
          </w:p>
        </w:tc>
        <w:tc>
          <w:tcPr>
            <w:tcW w:w="576" w:type="dxa"/>
            <w:vAlign w:val="center"/>
          </w:tcPr>
          <w:p w14:paraId="1031C512" w14:textId="77777777" w:rsidR="0065480D" w:rsidRPr="00DE3E14" w:rsidRDefault="0065480D" w:rsidP="0065480D">
            <w:pPr>
              <w:widowControl w:val="0"/>
              <w:spacing w:after="0"/>
              <w:jc w:val="center"/>
              <w:rPr>
                <w:rFonts w:ascii="Calibri" w:hAnsi="Calibri"/>
                <w:sz w:val="20"/>
              </w:rPr>
            </w:pPr>
          </w:p>
        </w:tc>
        <w:tc>
          <w:tcPr>
            <w:tcW w:w="576" w:type="dxa"/>
            <w:vAlign w:val="center"/>
          </w:tcPr>
          <w:p w14:paraId="6061F058" w14:textId="77777777" w:rsidR="0065480D" w:rsidRPr="00DE3E14" w:rsidRDefault="0065480D" w:rsidP="0065480D">
            <w:pPr>
              <w:widowControl w:val="0"/>
              <w:spacing w:after="0"/>
              <w:jc w:val="center"/>
              <w:rPr>
                <w:rFonts w:ascii="Calibri" w:hAnsi="Calibri"/>
                <w:sz w:val="20"/>
              </w:rPr>
            </w:pPr>
          </w:p>
        </w:tc>
        <w:tc>
          <w:tcPr>
            <w:tcW w:w="576" w:type="dxa"/>
            <w:vAlign w:val="center"/>
          </w:tcPr>
          <w:p w14:paraId="284E51A3" w14:textId="77777777" w:rsidR="0065480D" w:rsidRPr="00DE3E14" w:rsidRDefault="0065480D" w:rsidP="0065480D">
            <w:pPr>
              <w:widowControl w:val="0"/>
              <w:spacing w:after="0"/>
              <w:jc w:val="center"/>
              <w:rPr>
                <w:rFonts w:ascii="Calibri" w:hAnsi="Calibri"/>
                <w:sz w:val="20"/>
              </w:rPr>
            </w:pPr>
          </w:p>
        </w:tc>
        <w:tc>
          <w:tcPr>
            <w:tcW w:w="639" w:type="dxa"/>
            <w:vAlign w:val="center"/>
          </w:tcPr>
          <w:p w14:paraId="5F9EA2BE" w14:textId="4B8779C9" w:rsidR="0065480D" w:rsidRPr="00DE3E14" w:rsidRDefault="0065480D" w:rsidP="0065480D">
            <w:pPr>
              <w:widowControl w:val="0"/>
              <w:spacing w:after="0"/>
              <w:jc w:val="center"/>
              <w:rPr>
                <w:rFonts w:ascii="Calibri" w:hAnsi="Calibri"/>
                <w:sz w:val="20"/>
              </w:rPr>
            </w:pPr>
            <w:r>
              <w:rPr>
                <w:rFonts w:ascii="Calibri" w:hAnsi="Calibri"/>
                <w:sz w:val="20"/>
              </w:rPr>
              <w:t>580</w:t>
            </w:r>
          </w:p>
        </w:tc>
      </w:tr>
      <w:tr w:rsidR="0065480D" w:rsidRPr="00DD2508" w14:paraId="122BAB27" w14:textId="77777777" w:rsidTr="52172790">
        <w:trPr>
          <w:trHeight w:val="413"/>
          <w:jc w:val="center"/>
        </w:trPr>
        <w:tc>
          <w:tcPr>
            <w:tcW w:w="1152" w:type="dxa"/>
            <w:vAlign w:val="center"/>
          </w:tcPr>
          <w:p w14:paraId="2F46B520" w14:textId="1C29558E" w:rsidR="0065480D" w:rsidRPr="00DE3E14" w:rsidRDefault="0065480D" w:rsidP="0065480D">
            <w:pPr>
              <w:widowControl w:val="0"/>
              <w:spacing w:after="0"/>
              <w:jc w:val="center"/>
              <w:rPr>
                <w:rFonts w:ascii="Calibri" w:hAnsi="Calibri"/>
                <w:sz w:val="20"/>
              </w:rPr>
            </w:pPr>
            <w:r w:rsidRPr="52172790">
              <w:rPr>
                <w:rFonts w:ascii="Calibri" w:hAnsi="Calibri"/>
                <w:sz w:val="20"/>
              </w:rPr>
              <w:t>201</w:t>
            </w:r>
            <w:r>
              <w:rPr>
                <w:rFonts w:ascii="Calibri" w:hAnsi="Calibri"/>
                <w:sz w:val="20"/>
              </w:rPr>
              <w:t>8</w:t>
            </w:r>
            <w:r w:rsidRPr="52172790">
              <w:rPr>
                <w:rFonts w:ascii="Calibri" w:hAnsi="Calibri"/>
                <w:sz w:val="20"/>
              </w:rPr>
              <w:t>-1</w:t>
            </w:r>
            <w:r>
              <w:rPr>
                <w:rFonts w:ascii="Calibri" w:hAnsi="Calibri"/>
                <w:sz w:val="20"/>
              </w:rPr>
              <w:t>9</w:t>
            </w:r>
          </w:p>
        </w:tc>
        <w:tc>
          <w:tcPr>
            <w:tcW w:w="576" w:type="dxa"/>
            <w:vAlign w:val="center"/>
          </w:tcPr>
          <w:p w14:paraId="469F5109" w14:textId="2757FECB"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68F499E3" w14:textId="75D6855D"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0AC08E95" w14:textId="41C735E6" w:rsidR="0065480D" w:rsidRPr="00DE3E14" w:rsidRDefault="0065480D" w:rsidP="0065480D">
            <w:pPr>
              <w:widowControl w:val="0"/>
              <w:spacing w:after="0"/>
              <w:jc w:val="center"/>
              <w:rPr>
                <w:rFonts w:ascii="Calibri" w:hAnsi="Calibri"/>
                <w:sz w:val="20"/>
              </w:rPr>
            </w:pPr>
            <w:r>
              <w:rPr>
                <w:rFonts w:ascii="Calibri" w:hAnsi="Calibri"/>
                <w:sz w:val="20"/>
              </w:rPr>
              <w:t>63</w:t>
            </w:r>
          </w:p>
        </w:tc>
        <w:tc>
          <w:tcPr>
            <w:tcW w:w="576" w:type="dxa"/>
            <w:vAlign w:val="center"/>
          </w:tcPr>
          <w:p w14:paraId="182A99F0" w14:textId="126B8ECD"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35603B52" w14:textId="43520492" w:rsidR="0065480D" w:rsidRPr="00DE3E14" w:rsidRDefault="0065480D" w:rsidP="0065480D">
            <w:pPr>
              <w:widowControl w:val="0"/>
              <w:spacing w:after="0"/>
              <w:jc w:val="center"/>
              <w:rPr>
                <w:rFonts w:ascii="Calibri" w:hAnsi="Calibri"/>
                <w:sz w:val="20"/>
              </w:rPr>
            </w:pPr>
            <w:r>
              <w:rPr>
                <w:rFonts w:ascii="Calibri" w:hAnsi="Calibri"/>
                <w:sz w:val="20"/>
              </w:rPr>
              <w:t>62</w:t>
            </w:r>
          </w:p>
        </w:tc>
        <w:tc>
          <w:tcPr>
            <w:tcW w:w="576" w:type="dxa"/>
            <w:vAlign w:val="center"/>
          </w:tcPr>
          <w:p w14:paraId="47D075EE" w14:textId="3C86346C" w:rsidR="0065480D" w:rsidRPr="00DE3E14" w:rsidRDefault="0065480D" w:rsidP="0065480D">
            <w:pPr>
              <w:widowControl w:val="0"/>
              <w:spacing w:after="0"/>
              <w:jc w:val="center"/>
              <w:rPr>
                <w:rFonts w:ascii="Calibri" w:hAnsi="Calibri"/>
                <w:sz w:val="20"/>
              </w:rPr>
            </w:pPr>
            <w:r>
              <w:rPr>
                <w:rFonts w:ascii="Calibri" w:hAnsi="Calibri"/>
                <w:sz w:val="20"/>
              </w:rPr>
              <w:t>63</w:t>
            </w:r>
          </w:p>
        </w:tc>
        <w:tc>
          <w:tcPr>
            <w:tcW w:w="576" w:type="dxa"/>
            <w:vAlign w:val="center"/>
          </w:tcPr>
          <w:p w14:paraId="23490DB2" w14:textId="0395F5D8" w:rsidR="0065480D" w:rsidRPr="00DE3E14" w:rsidRDefault="0065480D" w:rsidP="0065480D">
            <w:pPr>
              <w:widowControl w:val="0"/>
              <w:spacing w:after="0"/>
              <w:jc w:val="center"/>
              <w:rPr>
                <w:rFonts w:ascii="Calibri" w:hAnsi="Calibri"/>
                <w:sz w:val="20"/>
              </w:rPr>
            </w:pPr>
            <w:r>
              <w:rPr>
                <w:rFonts w:ascii="Calibri" w:hAnsi="Calibri"/>
                <w:sz w:val="20"/>
              </w:rPr>
              <w:t>63</w:t>
            </w:r>
          </w:p>
        </w:tc>
        <w:tc>
          <w:tcPr>
            <w:tcW w:w="576" w:type="dxa"/>
            <w:vAlign w:val="center"/>
          </w:tcPr>
          <w:p w14:paraId="449F1E29" w14:textId="2B051472" w:rsidR="0065480D" w:rsidRPr="00DE3E14" w:rsidRDefault="0065480D" w:rsidP="0065480D">
            <w:pPr>
              <w:widowControl w:val="0"/>
              <w:spacing w:after="0"/>
              <w:jc w:val="center"/>
              <w:rPr>
                <w:rFonts w:ascii="Calibri" w:hAnsi="Calibri"/>
                <w:sz w:val="20"/>
              </w:rPr>
            </w:pPr>
            <w:r>
              <w:rPr>
                <w:rFonts w:ascii="Calibri" w:hAnsi="Calibri"/>
                <w:sz w:val="20"/>
              </w:rPr>
              <w:t>61</w:t>
            </w:r>
          </w:p>
        </w:tc>
        <w:tc>
          <w:tcPr>
            <w:tcW w:w="576" w:type="dxa"/>
            <w:vAlign w:val="center"/>
          </w:tcPr>
          <w:p w14:paraId="2754E316" w14:textId="7CEE1CFF" w:rsidR="0065480D" w:rsidRPr="00DE3E14" w:rsidRDefault="0065480D" w:rsidP="0065480D">
            <w:pPr>
              <w:widowControl w:val="0"/>
              <w:spacing w:after="0"/>
              <w:jc w:val="center"/>
              <w:rPr>
                <w:rFonts w:ascii="Calibri" w:hAnsi="Calibri"/>
                <w:sz w:val="20"/>
              </w:rPr>
            </w:pPr>
            <w:r>
              <w:rPr>
                <w:rFonts w:ascii="Calibri" w:hAnsi="Calibri"/>
                <w:sz w:val="20"/>
              </w:rPr>
              <w:t>55</w:t>
            </w:r>
          </w:p>
        </w:tc>
        <w:tc>
          <w:tcPr>
            <w:tcW w:w="576" w:type="dxa"/>
            <w:vAlign w:val="center"/>
          </w:tcPr>
          <w:p w14:paraId="7E9894CF" w14:textId="55DB5CB2" w:rsidR="0065480D" w:rsidRPr="00DE3E14" w:rsidRDefault="0065480D" w:rsidP="0065480D">
            <w:pPr>
              <w:widowControl w:val="0"/>
              <w:spacing w:after="0"/>
              <w:jc w:val="center"/>
              <w:rPr>
                <w:rFonts w:ascii="Calibri" w:hAnsi="Calibri"/>
                <w:sz w:val="20"/>
              </w:rPr>
            </w:pPr>
            <w:r>
              <w:rPr>
                <w:rFonts w:ascii="Calibri" w:hAnsi="Calibri"/>
                <w:sz w:val="20"/>
              </w:rPr>
              <w:t>43</w:t>
            </w:r>
          </w:p>
        </w:tc>
        <w:tc>
          <w:tcPr>
            <w:tcW w:w="576" w:type="dxa"/>
            <w:vAlign w:val="center"/>
          </w:tcPr>
          <w:p w14:paraId="3E91D6E4" w14:textId="5B7FEE75" w:rsidR="0065480D" w:rsidRPr="00DE3E14" w:rsidRDefault="0065480D" w:rsidP="0065480D">
            <w:pPr>
              <w:widowControl w:val="0"/>
              <w:spacing w:after="0"/>
              <w:jc w:val="center"/>
              <w:rPr>
                <w:rFonts w:ascii="Calibri" w:hAnsi="Calibri"/>
                <w:sz w:val="20"/>
              </w:rPr>
            </w:pPr>
            <w:r>
              <w:rPr>
                <w:rFonts w:ascii="Calibri" w:hAnsi="Calibri"/>
                <w:sz w:val="20"/>
              </w:rPr>
              <w:t>38</w:t>
            </w:r>
          </w:p>
        </w:tc>
        <w:tc>
          <w:tcPr>
            <w:tcW w:w="576" w:type="dxa"/>
            <w:vAlign w:val="center"/>
          </w:tcPr>
          <w:p w14:paraId="7BEDAEE2" w14:textId="77777777" w:rsidR="0065480D" w:rsidRPr="00DE3E14" w:rsidRDefault="0065480D" w:rsidP="0065480D">
            <w:pPr>
              <w:widowControl w:val="0"/>
              <w:spacing w:after="0"/>
              <w:jc w:val="center"/>
              <w:rPr>
                <w:rFonts w:ascii="Calibri" w:hAnsi="Calibri"/>
                <w:sz w:val="20"/>
              </w:rPr>
            </w:pPr>
          </w:p>
        </w:tc>
        <w:tc>
          <w:tcPr>
            <w:tcW w:w="576" w:type="dxa"/>
            <w:vAlign w:val="center"/>
          </w:tcPr>
          <w:p w14:paraId="685B0DEF" w14:textId="77777777" w:rsidR="0065480D" w:rsidRPr="00DE3E14" w:rsidRDefault="0065480D" w:rsidP="0065480D">
            <w:pPr>
              <w:widowControl w:val="0"/>
              <w:spacing w:after="0"/>
              <w:jc w:val="center"/>
              <w:rPr>
                <w:rFonts w:ascii="Calibri" w:hAnsi="Calibri"/>
                <w:sz w:val="20"/>
              </w:rPr>
            </w:pPr>
          </w:p>
        </w:tc>
        <w:tc>
          <w:tcPr>
            <w:tcW w:w="639" w:type="dxa"/>
            <w:vAlign w:val="center"/>
          </w:tcPr>
          <w:p w14:paraId="08327127" w14:textId="55EBD785" w:rsidR="0065480D" w:rsidRPr="00DE3E14" w:rsidRDefault="0065480D" w:rsidP="0065480D">
            <w:pPr>
              <w:widowControl w:val="0"/>
              <w:spacing w:after="0"/>
              <w:jc w:val="center"/>
              <w:rPr>
                <w:rFonts w:ascii="Calibri" w:hAnsi="Calibri"/>
                <w:sz w:val="20"/>
              </w:rPr>
            </w:pPr>
            <w:r>
              <w:rPr>
                <w:rFonts w:ascii="Calibri" w:hAnsi="Calibri"/>
                <w:sz w:val="20"/>
              </w:rPr>
              <w:t>640</w:t>
            </w:r>
          </w:p>
        </w:tc>
      </w:tr>
      <w:tr w:rsidR="0065480D" w:rsidRPr="00DD2508" w14:paraId="4FFA366A" w14:textId="77777777" w:rsidTr="52172790">
        <w:trPr>
          <w:trHeight w:val="413"/>
          <w:jc w:val="center"/>
        </w:trPr>
        <w:tc>
          <w:tcPr>
            <w:tcW w:w="1152" w:type="dxa"/>
            <w:vAlign w:val="center"/>
          </w:tcPr>
          <w:p w14:paraId="3051C3AC" w14:textId="666F2B0B" w:rsidR="0065480D" w:rsidRPr="00DE3E14" w:rsidRDefault="0065480D" w:rsidP="0065480D">
            <w:pPr>
              <w:widowControl w:val="0"/>
              <w:spacing w:after="0"/>
              <w:jc w:val="center"/>
              <w:rPr>
                <w:rFonts w:ascii="Calibri" w:hAnsi="Calibri"/>
                <w:sz w:val="20"/>
              </w:rPr>
            </w:pPr>
            <w:r w:rsidRPr="52172790">
              <w:rPr>
                <w:rFonts w:ascii="Calibri" w:hAnsi="Calibri"/>
                <w:sz w:val="20"/>
              </w:rPr>
              <w:t>201</w:t>
            </w:r>
            <w:r>
              <w:rPr>
                <w:rFonts w:ascii="Calibri" w:hAnsi="Calibri"/>
                <w:sz w:val="20"/>
              </w:rPr>
              <w:t>9-20</w:t>
            </w:r>
          </w:p>
        </w:tc>
        <w:tc>
          <w:tcPr>
            <w:tcW w:w="576" w:type="dxa"/>
            <w:vAlign w:val="center"/>
          </w:tcPr>
          <w:p w14:paraId="4BCC626B" w14:textId="53B7DB10" w:rsidR="0065480D" w:rsidRPr="00DE3E14" w:rsidRDefault="0065480D" w:rsidP="0065480D">
            <w:pPr>
              <w:widowControl w:val="0"/>
              <w:spacing w:after="0"/>
              <w:jc w:val="center"/>
              <w:rPr>
                <w:rFonts w:ascii="Calibri" w:hAnsi="Calibri"/>
                <w:sz w:val="20"/>
              </w:rPr>
            </w:pPr>
            <w:r>
              <w:rPr>
                <w:rFonts w:ascii="Calibri" w:hAnsi="Calibri"/>
                <w:sz w:val="20"/>
              </w:rPr>
              <w:t>66</w:t>
            </w:r>
          </w:p>
        </w:tc>
        <w:tc>
          <w:tcPr>
            <w:tcW w:w="576" w:type="dxa"/>
            <w:vAlign w:val="center"/>
          </w:tcPr>
          <w:p w14:paraId="7AE880E7" w14:textId="4F5BD52B" w:rsidR="0065480D" w:rsidRPr="00DE3E14" w:rsidRDefault="0065480D" w:rsidP="0065480D">
            <w:pPr>
              <w:widowControl w:val="0"/>
              <w:spacing w:after="0"/>
              <w:jc w:val="center"/>
              <w:rPr>
                <w:rFonts w:ascii="Calibri" w:hAnsi="Calibri"/>
                <w:sz w:val="20"/>
              </w:rPr>
            </w:pPr>
            <w:r>
              <w:rPr>
                <w:rFonts w:ascii="Calibri" w:hAnsi="Calibri"/>
                <w:sz w:val="20"/>
              </w:rPr>
              <w:t>66</w:t>
            </w:r>
          </w:p>
        </w:tc>
        <w:tc>
          <w:tcPr>
            <w:tcW w:w="576" w:type="dxa"/>
            <w:vAlign w:val="center"/>
          </w:tcPr>
          <w:p w14:paraId="44A61C8C" w14:textId="110DC317" w:rsidR="0065480D" w:rsidRPr="00DE3E14" w:rsidRDefault="0065480D" w:rsidP="0065480D">
            <w:pPr>
              <w:widowControl w:val="0"/>
              <w:spacing w:after="0"/>
              <w:jc w:val="center"/>
              <w:rPr>
                <w:rFonts w:ascii="Calibri" w:hAnsi="Calibri"/>
                <w:sz w:val="20"/>
              </w:rPr>
            </w:pPr>
            <w:r>
              <w:rPr>
                <w:rFonts w:ascii="Calibri" w:hAnsi="Calibri"/>
                <w:sz w:val="20"/>
              </w:rPr>
              <w:t>65</w:t>
            </w:r>
          </w:p>
        </w:tc>
        <w:tc>
          <w:tcPr>
            <w:tcW w:w="576" w:type="dxa"/>
            <w:vAlign w:val="center"/>
          </w:tcPr>
          <w:p w14:paraId="33A1FFCD" w14:textId="5802157B" w:rsidR="0065480D" w:rsidRPr="00DE3E14" w:rsidRDefault="0065480D" w:rsidP="0065480D">
            <w:pPr>
              <w:widowControl w:val="0"/>
              <w:spacing w:after="0"/>
              <w:jc w:val="center"/>
              <w:rPr>
                <w:rFonts w:ascii="Calibri" w:hAnsi="Calibri"/>
                <w:sz w:val="20"/>
              </w:rPr>
            </w:pPr>
            <w:r>
              <w:rPr>
                <w:rFonts w:ascii="Calibri" w:hAnsi="Calibri"/>
                <w:sz w:val="20"/>
              </w:rPr>
              <w:t>62</w:t>
            </w:r>
          </w:p>
        </w:tc>
        <w:tc>
          <w:tcPr>
            <w:tcW w:w="576" w:type="dxa"/>
            <w:vAlign w:val="center"/>
          </w:tcPr>
          <w:p w14:paraId="68DF2640" w14:textId="62FEFE80"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53CB49BA" w14:textId="6B766723" w:rsidR="0065480D" w:rsidRPr="00DE3E14" w:rsidRDefault="0065480D" w:rsidP="0065480D">
            <w:pPr>
              <w:widowControl w:val="0"/>
              <w:spacing w:after="0"/>
              <w:jc w:val="center"/>
              <w:rPr>
                <w:rFonts w:ascii="Calibri" w:hAnsi="Calibri"/>
                <w:sz w:val="20"/>
              </w:rPr>
            </w:pPr>
            <w:r>
              <w:rPr>
                <w:rFonts w:ascii="Calibri" w:hAnsi="Calibri"/>
                <w:sz w:val="20"/>
              </w:rPr>
              <w:t>67</w:t>
            </w:r>
          </w:p>
        </w:tc>
        <w:tc>
          <w:tcPr>
            <w:tcW w:w="576" w:type="dxa"/>
            <w:vAlign w:val="center"/>
          </w:tcPr>
          <w:p w14:paraId="38D854AA" w14:textId="385FA679" w:rsidR="0065480D" w:rsidRPr="00DE3E14" w:rsidRDefault="0065480D" w:rsidP="0065480D">
            <w:pPr>
              <w:widowControl w:val="0"/>
              <w:spacing w:after="0"/>
              <w:jc w:val="center"/>
              <w:rPr>
                <w:rFonts w:ascii="Calibri" w:hAnsi="Calibri"/>
                <w:sz w:val="20"/>
              </w:rPr>
            </w:pPr>
            <w:r>
              <w:rPr>
                <w:rFonts w:ascii="Calibri" w:hAnsi="Calibri"/>
                <w:sz w:val="20"/>
              </w:rPr>
              <w:t>63</w:t>
            </w:r>
          </w:p>
        </w:tc>
        <w:tc>
          <w:tcPr>
            <w:tcW w:w="576" w:type="dxa"/>
            <w:vAlign w:val="center"/>
          </w:tcPr>
          <w:p w14:paraId="5E34CD68" w14:textId="48823411" w:rsidR="0065480D" w:rsidRPr="00DE3E14" w:rsidRDefault="0065480D" w:rsidP="0065480D">
            <w:pPr>
              <w:widowControl w:val="0"/>
              <w:spacing w:after="0"/>
              <w:jc w:val="center"/>
              <w:rPr>
                <w:rFonts w:ascii="Calibri" w:hAnsi="Calibri"/>
                <w:sz w:val="20"/>
              </w:rPr>
            </w:pPr>
            <w:r>
              <w:rPr>
                <w:rFonts w:ascii="Calibri" w:hAnsi="Calibri"/>
                <w:sz w:val="20"/>
              </w:rPr>
              <w:t>65</w:t>
            </w:r>
          </w:p>
        </w:tc>
        <w:tc>
          <w:tcPr>
            <w:tcW w:w="576" w:type="dxa"/>
            <w:vAlign w:val="center"/>
          </w:tcPr>
          <w:p w14:paraId="2AB8EBD8" w14:textId="46144E49" w:rsidR="0065480D" w:rsidRPr="00DE3E14" w:rsidRDefault="0065480D" w:rsidP="0065480D">
            <w:pPr>
              <w:widowControl w:val="0"/>
              <w:spacing w:after="0"/>
              <w:jc w:val="center"/>
              <w:rPr>
                <w:rFonts w:ascii="Calibri" w:hAnsi="Calibri"/>
                <w:sz w:val="20"/>
              </w:rPr>
            </w:pPr>
            <w:r>
              <w:rPr>
                <w:rFonts w:ascii="Calibri" w:hAnsi="Calibri"/>
                <w:sz w:val="20"/>
              </w:rPr>
              <w:t>61</w:t>
            </w:r>
          </w:p>
        </w:tc>
        <w:tc>
          <w:tcPr>
            <w:tcW w:w="576" w:type="dxa"/>
            <w:vAlign w:val="center"/>
          </w:tcPr>
          <w:p w14:paraId="133C87E0" w14:textId="140C25C2" w:rsidR="0065480D" w:rsidRPr="00DE3E14" w:rsidRDefault="0065480D" w:rsidP="0065480D">
            <w:pPr>
              <w:widowControl w:val="0"/>
              <w:spacing w:after="0"/>
              <w:jc w:val="center"/>
              <w:rPr>
                <w:rFonts w:ascii="Calibri" w:hAnsi="Calibri"/>
                <w:sz w:val="20"/>
              </w:rPr>
            </w:pPr>
            <w:r>
              <w:rPr>
                <w:rFonts w:ascii="Calibri" w:hAnsi="Calibri"/>
                <w:sz w:val="20"/>
              </w:rPr>
              <w:t>51</w:t>
            </w:r>
          </w:p>
        </w:tc>
        <w:tc>
          <w:tcPr>
            <w:tcW w:w="576" w:type="dxa"/>
            <w:vAlign w:val="center"/>
          </w:tcPr>
          <w:p w14:paraId="14355E04" w14:textId="311131C9" w:rsidR="0065480D" w:rsidRPr="00DE3E14" w:rsidRDefault="0065480D" w:rsidP="0065480D">
            <w:pPr>
              <w:widowControl w:val="0"/>
              <w:spacing w:after="0"/>
              <w:jc w:val="center"/>
              <w:rPr>
                <w:rFonts w:ascii="Calibri" w:hAnsi="Calibri"/>
                <w:sz w:val="20"/>
              </w:rPr>
            </w:pPr>
            <w:r>
              <w:rPr>
                <w:rFonts w:ascii="Calibri" w:hAnsi="Calibri"/>
                <w:sz w:val="20"/>
              </w:rPr>
              <w:t>35</w:t>
            </w:r>
          </w:p>
        </w:tc>
        <w:tc>
          <w:tcPr>
            <w:tcW w:w="576" w:type="dxa"/>
            <w:vAlign w:val="center"/>
          </w:tcPr>
          <w:p w14:paraId="5E64776C" w14:textId="7BAFA93C" w:rsidR="0065480D" w:rsidRPr="00DE3E14" w:rsidRDefault="0065480D" w:rsidP="0065480D">
            <w:pPr>
              <w:widowControl w:val="0"/>
              <w:spacing w:after="0"/>
              <w:jc w:val="center"/>
              <w:rPr>
                <w:rFonts w:ascii="Calibri" w:hAnsi="Calibri"/>
                <w:sz w:val="20"/>
              </w:rPr>
            </w:pPr>
            <w:r>
              <w:rPr>
                <w:rFonts w:ascii="Calibri" w:hAnsi="Calibri"/>
                <w:sz w:val="20"/>
              </w:rPr>
              <w:t>27</w:t>
            </w:r>
          </w:p>
        </w:tc>
        <w:tc>
          <w:tcPr>
            <w:tcW w:w="576" w:type="dxa"/>
            <w:vAlign w:val="center"/>
          </w:tcPr>
          <w:p w14:paraId="4F465E5F" w14:textId="77777777" w:rsidR="0065480D" w:rsidRPr="00DE3E14" w:rsidRDefault="0065480D" w:rsidP="0065480D">
            <w:pPr>
              <w:widowControl w:val="0"/>
              <w:spacing w:after="0"/>
              <w:jc w:val="center"/>
              <w:rPr>
                <w:rFonts w:ascii="Calibri" w:hAnsi="Calibri"/>
                <w:sz w:val="20"/>
              </w:rPr>
            </w:pPr>
          </w:p>
        </w:tc>
        <w:tc>
          <w:tcPr>
            <w:tcW w:w="639" w:type="dxa"/>
            <w:vAlign w:val="center"/>
          </w:tcPr>
          <w:p w14:paraId="599F512E" w14:textId="1CFC4C00" w:rsidR="0065480D" w:rsidRPr="00DE3E14" w:rsidRDefault="0065480D" w:rsidP="0065480D">
            <w:pPr>
              <w:widowControl w:val="0"/>
              <w:spacing w:after="0"/>
              <w:jc w:val="center"/>
              <w:rPr>
                <w:rFonts w:ascii="Calibri" w:hAnsi="Calibri"/>
                <w:sz w:val="20"/>
              </w:rPr>
            </w:pPr>
            <w:r>
              <w:rPr>
                <w:rFonts w:ascii="Calibri" w:hAnsi="Calibri"/>
                <w:sz w:val="20"/>
              </w:rPr>
              <w:t>692</w:t>
            </w:r>
          </w:p>
        </w:tc>
      </w:tr>
      <w:tr w:rsidR="0065480D" w:rsidRPr="00DD2508" w14:paraId="344A540B" w14:textId="77777777" w:rsidTr="52172790">
        <w:trPr>
          <w:trHeight w:val="413"/>
          <w:jc w:val="center"/>
        </w:trPr>
        <w:tc>
          <w:tcPr>
            <w:tcW w:w="1152" w:type="dxa"/>
            <w:vAlign w:val="center"/>
          </w:tcPr>
          <w:p w14:paraId="4D065F24" w14:textId="694D444E" w:rsidR="0065480D" w:rsidRDefault="0065480D" w:rsidP="0065480D">
            <w:pPr>
              <w:widowControl w:val="0"/>
              <w:spacing w:after="0"/>
              <w:jc w:val="center"/>
              <w:rPr>
                <w:rFonts w:ascii="Calibri" w:hAnsi="Calibri"/>
                <w:sz w:val="20"/>
              </w:rPr>
            </w:pPr>
            <w:r>
              <w:rPr>
                <w:rFonts w:ascii="Calibri" w:hAnsi="Calibri"/>
                <w:sz w:val="20"/>
              </w:rPr>
              <w:t>2020</w:t>
            </w:r>
            <w:r w:rsidRPr="52172790">
              <w:rPr>
                <w:rFonts w:ascii="Calibri" w:hAnsi="Calibri"/>
                <w:sz w:val="20"/>
              </w:rPr>
              <w:t>-</w:t>
            </w:r>
            <w:r>
              <w:rPr>
                <w:rFonts w:ascii="Calibri" w:hAnsi="Calibri"/>
                <w:sz w:val="20"/>
              </w:rPr>
              <w:t>21</w:t>
            </w:r>
          </w:p>
        </w:tc>
        <w:tc>
          <w:tcPr>
            <w:tcW w:w="576" w:type="dxa"/>
            <w:vAlign w:val="center"/>
          </w:tcPr>
          <w:p w14:paraId="087CD1BB" w14:textId="76C95187" w:rsidR="0065480D" w:rsidRPr="00DE3E14" w:rsidRDefault="0065480D" w:rsidP="0065480D">
            <w:pPr>
              <w:widowControl w:val="0"/>
              <w:spacing w:after="0"/>
              <w:jc w:val="center"/>
              <w:rPr>
                <w:rFonts w:ascii="Calibri" w:hAnsi="Calibri"/>
                <w:sz w:val="20"/>
              </w:rPr>
            </w:pPr>
            <w:r>
              <w:rPr>
                <w:rFonts w:ascii="Calibri" w:hAnsi="Calibri"/>
                <w:sz w:val="20"/>
              </w:rPr>
              <w:t>64</w:t>
            </w:r>
          </w:p>
        </w:tc>
        <w:tc>
          <w:tcPr>
            <w:tcW w:w="576" w:type="dxa"/>
            <w:vAlign w:val="center"/>
          </w:tcPr>
          <w:p w14:paraId="3786AAC2" w14:textId="092BC3B7" w:rsidR="0065480D" w:rsidRPr="00DE3E14" w:rsidRDefault="0065480D" w:rsidP="0065480D">
            <w:pPr>
              <w:widowControl w:val="0"/>
              <w:spacing w:after="0"/>
              <w:jc w:val="center"/>
              <w:rPr>
                <w:rFonts w:ascii="Calibri" w:hAnsi="Calibri"/>
                <w:sz w:val="20"/>
              </w:rPr>
            </w:pPr>
            <w:r>
              <w:rPr>
                <w:rFonts w:ascii="Calibri" w:hAnsi="Calibri"/>
                <w:sz w:val="20"/>
              </w:rPr>
              <w:t>66</w:t>
            </w:r>
          </w:p>
        </w:tc>
        <w:tc>
          <w:tcPr>
            <w:tcW w:w="576" w:type="dxa"/>
            <w:vAlign w:val="center"/>
          </w:tcPr>
          <w:p w14:paraId="44519451" w14:textId="0F9EE954" w:rsidR="0065480D" w:rsidRPr="00DE3E14" w:rsidRDefault="0065480D" w:rsidP="0065480D">
            <w:pPr>
              <w:widowControl w:val="0"/>
              <w:spacing w:after="0"/>
              <w:jc w:val="center"/>
              <w:rPr>
                <w:rFonts w:ascii="Calibri" w:hAnsi="Calibri"/>
                <w:sz w:val="20"/>
              </w:rPr>
            </w:pPr>
            <w:r>
              <w:rPr>
                <w:rFonts w:ascii="Calibri" w:hAnsi="Calibri"/>
                <w:sz w:val="20"/>
              </w:rPr>
              <w:t>66</w:t>
            </w:r>
          </w:p>
        </w:tc>
        <w:tc>
          <w:tcPr>
            <w:tcW w:w="576" w:type="dxa"/>
            <w:vAlign w:val="center"/>
          </w:tcPr>
          <w:p w14:paraId="08B3B7FA" w14:textId="0943DD80" w:rsidR="0065480D" w:rsidRPr="00DE3E14" w:rsidRDefault="0065480D" w:rsidP="0065480D">
            <w:pPr>
              <w:widowControl w:val="0"/>
              <w:spacing w:after="0"/>
              <w:jc w:val="center"/>
              <w:rPr>
                <w:rFonts w:ascii="Calibri" w:hAnsi="Calibri"/>
                <w:sz w:val="20"/>
              </w:rPr>
            </w:pPr>
            <w:r>
              <w:rPr>
                <w:rFonts w:ascii="Calibri" w:hAnsi="Calibri"/>
                <w:sz w:val="20"/>
              </w:rPr>
              <w:t>63</w:t>
            </w:r>
          </w:p>
        </w:tc>
        <w:tc>
          <w:tcPr>
            <w:tcW w:w="576" w:type="dxa"/>
            <w:vAlign w:val="center"/>
          </w:tcPr>
          <w:p w14:paraId="71A5AF69" w14:textId="11806CDE" w:rsidR="0065480D" w:rsidRPr="00DE3E14" w:rsidRDefault="0065480D" w:rsidP="0065480D">
            <w:pPr>
              <w:widowControl w:val="0"/>
              <w:spacing w:after="0"/>
              <w:jc w:val="center"/>
              <w:rPr>
                <w:rFonts w:ascii="Calibri" w:hAnsi="Calibri"/>
                <w:sz w:val="20"/>
              </w:rPr>
            </w:pPr>
            <w:r>
              <w:rPr>
                <w:rFonts w:ascii="Calibri" w:hAnsi="Calibri"/>
                <w:sz w:val="20"/>
              </w:rPr>
              <w:t>66</w:t>
            </w:r>
          </w:p>
        </w:tc>
        <w:tc>
          <w:tcPr>
            <w:tcW w:w="576" w:type="dxa"/>
            <w:vAlign w:val="center"/>
          </w:tcPr>
          <w:p w14:paraId="7C4734D2" w14:textId="0E1224E6" w:rsidR="0065480D" w:rsidRPr="00DE3E14" w:rsidRDefault="0065480D" w:rsidP="0065480D">
            <w:pPr>
              <w:widowControl w:val="0"/>
              <w:spacing w:after="0"/>
              <w:jc w:val="center"/>
              <w:rPr>
                <w:rFonts w:ascii="Calibri" w:hAnsi="Calibri"/>
                <w:sz w:val="20"/>
              </w:rPr>
            </w:pPr>
            <w:r>
              <w:rPr>
                <w:rFonts w:ascii="Calibri" w:hAnsi="Calibri"/>
                <w:sz w:val="20"/>
              </w:rPr>
              <w:t>67</w:t>
            </w:r>
          </w:p>
        </w:tc>
        <w:tc>
          <w:tcPr>
            <w:tcW w:w="576" w:type="dxa"/>
            <w:vAlign w:val="center"/>
          </w:tcPr>
          <w:p w14:paraId="52C248DC" w14:textId="712DC9E3" w:rsidR="0065480D" w:rsidRPr="00DE3E14" w:rsidRDefault="0065480D" w:rsidP="0065480D">
            <w:pPr>
              <w:widowControl w:val="0"/>
              <w:spacing w:after="0"/>
              <w:jc w:val="center"/>
              <w:rPr>
                <w:rFonts w:ascii="Calibri" w:hAnsi="Calibri"/>
                <w:sz w:val="20"/>
              </w:rPr>
            </w:pPr>
            <w:r>
              <w:rPr>
                <w:rFonts w:ascii="Calibri" w:hAnsi="Calibri"/>
                <w:sz w:val="20"/>
              </w:rPr>
              <w:t>68</w:t>
            </w:r>
          </w:p>
        </w:tc>
        <w:tc>
          <w:tcPr>
            <w:tcW w:w="576" w:type="dxa"/>
            <w:vAlign w:val="center"/>
          </w:tcPr>
          <w:p w14:paraId="02720168" w14:textId="64EF18C1" w:rsidR="0065480D" w:rsidRPr="00DE3E14" w:rsidRDefault="0065480D" w:rsidP="0065480D">
            <w:pPr>
              <w:widowControl w:val="0"/>
              <w:spacing w:after="0"/>
              <w:jc w:val="center"/>
              <w:rPr>
                <w:rFonts w:ascii="Calibri" w:hAnsi="Calibri"/>
                <w:sz w:val="20"/>
              </w:rPr>
            </w:pPr>
            <w:r>
              <w:rPr>
                <w:rFonts w:ascii="Calibri" w:hAnsi="Calibri"/>
                <w:sz w:val="20"/>
              </w:rPr>
              <w:t>69</w:t>
            </w:r>
          </w:p>
        </w:tc>
        <w:tc>
          <w:tcPr>
            <w:tcW w:w="576" w:type="dxa"/>
            <w:vAlign w:val="center"/>
          </w:tcPr>
          <w:p w14:paraId="6AACB251" w14:textId="4506D87A" w:rsidR="0065480D" w:rsidRPr="00DE3E14" w:rsidRDefault="0065480D" w:rsidP="0065480D">
            <w:pPr>
              <w:widowControl w:val="0"/>
              <w:spacing w:after="0"/>
              <w:jc w:val="center"/>
              <w:rPr>
                <w:rFonts w:ascii="Calibri" w:hAnsi="Calibri"/>
                <w:sz w:val="20"/>
              </w:rPr>
            </w:pPr>
            <w:r>
              <w:rPr>
                <w:rFonts w:ascii="Calibri" w:hAnsi="Calibri"/>
                <w:sz w:val="20"/>
              </w:rPr>
              <w:t>65</w:t>
            </w:r>
          </w:p>
        </w:tc>
        <w:tc>
          <w:tcPr>
            <w:tcW w:w="576" w:type="dxa"/>
            <w:vAlign w:val="center"/>
          </w:tcPr>
          <w:p w14:paraId="7E41CED3" w14:textId="0082E6D1" w:rsidR="0065480D" w:rsidRPr="00DE3E14" w:rsidRDefault="0065480D" w:rsidP="0065480D">
            <w:pPr>
              <w:widowControl w:val="0"/>
              <w:spacing w:after="0"/>
              <w:jc w:val="center"/>
              <w:rPr>
                <w:rFonts w:ascii="Calibri" w:hAnsi="Calibri"/>
                <w:sz w:val="20"/>
              </w:rPr>
            </w:pPr>
            <w:r>
              <w:rPr>
                <w:rFonts w:ascii="Calibri" w:hAnsi="Calibri"/>
                <w:sz w:val="20"/>
              </w:rPr>
              <w:t>72</w:t>
            </w:r>
          </w:p>
        </w:tc>
        <w:tc>
          <w:tcPr>
            <w:tcW w:w="576" w:type="dxa"/>
            <w:vAlign w:val="center"/>
          </w:tcPr>
          <w:p w14:paraId="3DA88018" w14:textId="28512AF0" w:rsidR="0065480D" w:rsidRPr="00DE3E14" w:rsidRDefault="0065480D" w:rsidP="0065480D">
            <w:pPr>
              <w:widowControl w:val="0"/>
              <w:spacing w:after="0"/>
              <w:jc w:val="center"/>
              <w:rPr>
                <w:rFonts w:ascii="Calibri" w:hAnsi="Calibri"/>
                <w:sz w:val="20"/>
              </w:rPr>
            </w:pPr>
            <w:r>
              <w:rPr>
                <w:rFonts w:ascii="Calibri" w:hAnsi="Calibri"/>
                <w:sz w:val="20"/>
              </w:rPr>
              <w:t>42</w:t>
            </w:r>
          </w:p>
        </w:tc>
        <w:tc>
          <w:tcPr>
            <w:tcW w:w="576" w:type="dxa"/>
            <w:vAlign w:val="center"/>
          </w:tcPr>
          <w:p w14:paraId="0446F3E9" w14:textId="235DF2CC" w:rsidR="0065480D" w:rsidRPr="00DE3E14" w:rsidRDefault="0065480D" w:rsidP="0065480D">
            <w:pPr>
              <w:widowControl w:val="0"/>
              <w:spacing w:after="0"/>
              <w:jc w:val="center"/>
              <w:rPr>
                <w:rFonts w:ascii="Calibri" w:hAnsi="Calibri"/>
                <w:sz w:val="20"/>
              </w:rPr>
            </w:pPr>
            <w:r>
              <w:rPr>
                <w:rFonts w:ascii="Calibri" w:hAnsi="Calibri"/>
                <w:sz w:val="20"/>
              </w:rPr>
              <w:t>25</w:t>
            </w:r>
          </w:p>
        </w:tc>
        <w:tc>
          <w:tcPr>
            <w:tcW w:w="576" w:type="dxa"/>
            <w:vAlign w:val="center"/>
          </w:tcPr>
          <w:p w14:paraId="3107E74B" w14:textId="16102D73" w:rsidR="0065480D" w:rsidRPr="00DE3E14" w:rsidRDefault="0065480D" w:rsidP="0065480D">
            <w:pPr>
              <w:widowControl w:val="0"/>
              <w:spacing w:after="0"/>
              <w:jc w:val="center"/>
              <w:rPr>
                <w:rFonts w:ascii="Calibri" w:hAnsi="Calibri"/>
                <w:sz w:val="20"/>
              </w:rPr>
            </w:pPr>
            <w:r>
              <w:rPr>
                <w:rFonts w:ascii="Calibri" w:hAnsi="Calibri"/>
                <w:sz w:val="20"/>
              </w:rPr>
              <w:t>27</w:t>
            </w:r>
          </w:p>
        </w:tc>
        <w:tc>
          <w:tcPr>
            <w:tcW w:w="639" w:type="dxa"/>
            <w:vAlign w:val="center"/>
          </w:tcPr>
          <w:p w14:paraId="17410430" w14:textId="12E2B8E0" w:rsidR="0065480D" w:rsidRPr="00DE3E14" w:rsidRDefault="0065480D" w:rsidP="0065480D">
            <w:pPr>
              <w:widowControl w:val="0"/>
              <w:spacing w:after="0"/>
              <w:jc w:val="center"/>
              <w:rPr>
                <w:rFonts w:ascii="Calibri" w:hAnsi="Calibri"/>
                <w:sz w:val="20"/>
              </w:rPr>
            </w:pPr>
            <w:r>
              <w:rPr>
                <w:rFonts w:ascii="Calibri" w:hAnsi="Calibri"/>
                <w:sz w:val="20"/>
              </w:rPr>
              <w:t>760</w:t>
            </w:r>
          </w:p>
        </w:tc>
      </w:tr>
    </w:tbl>
    <w:p w14:paraId="308E3BB5" w14:textId="452C02D1" w:rsidR="00056BFE" w:rsidRPr="00DD2508" w:rsidRDefault="00056BFE" w:rsidP="00056BFE">
      <w:pPr>
        <w:pStyle w:val="Heading1"/>
      </w:pPr>
      <w:bookmarkStart w:id="2" w:name="ELA"/>
      <w:r>
        <w:t>High School Cohorts</w:t>
      </w:r>
    </w:p>
    <w:p w14:paraId="5B956AFD" w14:textId="77777777" w:rsidR="00056BFE" w:rsidRPr="00DD2508" w:rsidRDefault="00056BFE" w:rsidP="00056BFE">
      <w:pPr>
        <w:pStyle w:val="Heading2"/>
      </w:pPr>
      <w:r w:rsidRPr="00DD2508">
        <w:t>Accountability Cohort</w:t>
      </w:r>
    </w:p>
    <w:p w14:paraId="0E365CC1" w14:textId="120C2AE1" w:rsidR="00056BFE" w:rsidRPr="00DD2508" w:rsidRDefault="00056BFE" w:rsidP="00056BFE">
      <w:r>
        <w:t xml:space="preserve">The state’s Accountability Cohort consists specifically of students who are in their fourth year of high school after </w:t>
      </w:r>
      <w:r w:rsidR="00D05732">
        <w:t xml:space="preserve">entering </w:t>
      </w:r>
      <w:r>
        <w:t>the 9</w:t>
      </w:r>
      <w:r w:rsidRPr="52172790">
        <w:rPr>
          <w:vertAlign w:val="superscript"/>
        </w:rPr>
        <w:t>th</w:t>
      </w:r>
      <w:r>
        <w:t xml:space="preserve"> grade.  For example, the 201</w:t>
      </w:r>
      <w:r w:rsidR="005765F3">
        <w:t>7</w:t>
      </w:r>
      <w:r>
        <w:t xml:space="preserve"> state Accountability Cohort consists of students who entered the 9</w:t>
      </w:r>
      <w:r w:rsidRPr="52172790">
        <w:rPr>
          <w:vertAlign w:val="superscript"/>
        </w:rPr>
        <w:t>th</w:t>
      </w:r>
      <w:r>
        <w:t xml:space="preserve"> grade </w:t>
      </w:r>
      <w:r w:rsidR="00E63222">
        <w:t xml:space="preserve">anywhere </w:t>
      </w:r>
      <w:r w:rsidR="005F4726">
        <w:t>sometime during</w:t>
      </w:r>
      <w:r>
        <w:t xml:space="preserve"> the 201</w:t>
      </w:r>
      <w:r w:rsidR="005765F3">
        <w:t>7</w:t>
      </w:r>
      <w:r>
        <w:t>-1</w:t>
      </w:r>
      <w:r w:rsidR="005765F3">
        <w:t>8</w:t>
      </w:r>
      <w:r>
        <w:t xml:space="preserve"> school year</w:t>
      </w:r>
      <w:r w:rsidR="00E63222">
        <w:t xml:space="preserve">, </w:t>
      </w:r>
      <w:r>
        <w:t>were enrolled in the school on the state’s annua</w:t>
      </w:r>
      <w:r w:rsidR="005F4726">
        <w:t>l enrollment-determination day (</w:t>
      </w:r>
      <w:r w:rsidR="00D05732">
        <w:t xml:space="preserve">i.e., </w:t>
      </w:r>
      <w:r w:rsidR="005765F3">
        <w:t>BEDS day) in the 2020</w:t>
      </w:r>
      <w:r>
        <w:t>-</w:t>
      </w:r>
      <w:r w:rsidR="005765F3">
        <w:t>21</w:t>
      </w:r>
      <w:r>
        <w:t xml:space="preserve"> school year</w:t>
      </w:r>
      <w:r w:rsidR="00FF49F0">
        <w:t>, and either remained in the school for the rest of the year or left for an acceptable reason</w:t>
      </w:r>
      <w:r>
        <w:t xml:space="preserve">.  (See New York State Education Department’s </w:t>
      </w:r>
      <w:r w:rsidR="00E63222">
        <w:t>SIRS Manual for more details about cohort eligibility</w:t>
      </w:r>
      <w:r w:rsidR="00FF49F0">
        <w:t xml:space="preserve"> and acceptable exit reasons</w:t>
      </w:r>
      <w:r>
        <w:t xml:space="preserve">: </w:t>
      </w:r>
      <w:hyperlink r:id="rId12">
        <w:r w:rsidR="00E63222" w:rsidRPr="52172790">
          <w:rPr>
            <w:rStyle w:val="Hyperlink"/>
          </w:rPr>
          <w:t>http://www.p12.nysed.gov/irs/sirs/ht</w:t>
        </w:r>
      </w:hyperlink>
      <w:r w:rsidR="00E63222">
        <w:t>)</w:t>
      </w:r>
    </w:p>
    <w:p w14:paraId="569120B8" w14:textId="3349F059" w:rsidR="00056BFE" w:rsidRDefault="00056BFE" w:rsidP="00056BFE">
      <w:pPr>
        <w:rPr>
          <w:szCs w:val="23"/>
        </w:rPr>
      </w:pPr>
      <w:r w:rsidRPr="00DD2508">
        <w:rPr>
          <w:szCs w:val="23"/>
        </w:rPr>
        <w:t xml:space="preserve">The following table indicates the number of students in </w:t>
      </w:r>
      <w:r>
        <w:rPr>
          <w:szCs w:val="23"/>
        </w:rPr>
        <w:t xml:space="preserve">the </w:t>
      </w:r>
      <w:r w:rsidRPr="00DD2508">
        <w:rPr>
          <w:szCs w:val="23"/>
        </w:rPr>
        <w:t>Accountability Cohorts who are in their fourth year of high school</w:t>
      </w:r>
      <w:r w:rsidR="00E61B98">
        <w:rPr>
          <w:szCs w:val="23"/>
        </w:rPr>
        <w:t xml:space="preserve"> </w:t>
      </w:r>
      <w:r w:rsidRPr="00DD2508">
        <w:rPr>
          <w:szCs w:val="23"/>
        </w:rPr>
        <w:t xml:space="preserve">and were enrolled </w:t>
      </w:r>
      <w:r w:rsidR="00E61B98">
        <w:rPr>
          <w:szCs w:val="23"/>
        </w:rPr>
        <w:t xml:space="preserve">at the school </w:t>
      </w:r>
      <w:r w:rsidR="005F4726">
        <w:rPr>
          <w:szCs w:val="23"/>
        </w:rPr>
        <w:t>on BEDS Day in October</w:t>
      </w:r>
      <w:r w:rsidR="0056045B">
        <w:rPr>
          <w:szCs w:val="23"/>
        </w:rPr>
        <w:t xml:space="preserve"> and remained in the school until June 30</w:t>
      </w:r>
      <w:r w:rsidR="0056045B" w:rsidRPr="0056045B">
        <w:rPr>
          <w:szCs w:val="23"/>
          <w:vertAlign w:val="superscript"/>
        </w:rPr>
        <w:t>th</w:t>
      </w:r>
      <w:r w:rsidR="0056045B">
        <w:rPr>
          <w:szCs w:val="23"/>
        </w:rPr>
        <w:t xml:space="preserve"> of that year</w:t>
      </w:r>
      <w:r w:rsidR="00E61B98">
        <w:rPr>
          <w:szCs w:val="23"/>
        </w:rPr>
        <w:t>.</w:t>
      </w:r>
    </w:p>
    <w:p w14:paraId="18A10D0F" w14:textId="77777777" w:rsidR="00056BFE" w:rsidRPr="00DD2508" w:rsidRDefault="00056BFE" w:rsidP="00056BFE">
      <w:pPr>
        <w:rPr>
          <w:szCs w:val="23"/>
        </w:rPr>
      </w:pPr>
    </w:p>
    <w:p w14:paraId="757EC699" w14:textId="77777777" w:rsidR="00056BFE" w:rsidRPr="00DD2508" w:rsidRDefault="00056BFE" w:rsidP="00056BFE">
      <w:pPr>
        <w:pStyle w:val="TableHeader"/>
      </w:pPr>
      <w:r w:rsidRPr="00DD2508">
        <w:t>Fourth-Year High School Accountability Cohorts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19"/>
        <w:gridCol w:w="1182"/>
        <w:gridCol w:w="2306"/>
        <w:gridCol w:w="1227"/>
        <w:gridCol w:w="1529"/>
      </w:tblGrid>
      <w:tr w:rsidR="00056BFE" w:rsidRPr="00DD2508" w14:paraId="576769BB" w14:textId="77777777" w:rsidTr="52172790">
        <w:trPr>
          <w:jc w:val="center"/>
        </w:trPr>
        <w:tc>
          <w:tcPr>
            <w:tcW w:w="1008" w:type="dxa"/>
            <w:vAlign w:val="center"/>
          </w:tcPr>
          <w:p w14:paraId="1B95C6BB" w14:textId="77777777" w:rsidR="00056BFE" w:rsidRPr="00DE3E14" w:rsidRDefault="00056BFE" w:rsidP="002C1A58">
            <w:pPr>
              <w:pStyle w:val="TableText"/>
            </w:pPr>
            <w:r w:rsidRPr="00DE3E14">
              <w:t>Fourth Year</w:t>
            </w:r>
          </w:p>
          <w:p w14:paraId="5BF5C42E" w14:textId="77777777" w:rsidR="00056BFE" w:rsidRPr="00DE3E14" w:rsidRDefault="00056BFE" w:rsidP="002C1A58">
            <w:pPr>
              <w:pStyle w:val="TableText"/>
            </w:pPr>
            <w:r w:rsidRPr="00DE3E14">
              <w:t>Cohort</w:t>
            </w:r>
          </w:p>
        </w:tc>
        <w:tc>
          <w:tcPr>
            <w:tcW w:w="1419" w:type="dxa"/>
            <w:vAlign w:val="center"/>
          </w:tcPr>
          <w:p w14:paraId="7E740727" w14:textId="77777777" w:rsidR="00056BFE" w:rsidRPr="00DE3E14" w:rsidRDefault="00056BFE" w:rsidP="002C1A58">
            <w:pPr>
              <w:pStyle w:val="TableText"/>
            </w:pPr>
            <w:r w:rsidRPr="00DE3E14">
              <w:t>Year Entered 9</w:t>
            </w:r>
            <w:r w:rsidRPr="00DE3E14">
              <w:rPr>
                <w:vertAlign w:val="superscript"/>
              </w:rPr>
              <w:t>th</w:t>
            </w:r>
            <w:r w:rsidRPr="00DE3E14">
              <w:t xml:space="preserve"> Grade</w:t>
            </w:r>
          </w:p>
          <w:p w14:paraId="44435954" w14:textId="77777777" w:rsidR="00056BFE" w:rsidRPr="00DE3E14" w:rsidRDefault="00056BFE" w:rsidP="002C1A58">
            <w:pPr>
              <w:pStyle w:val="TableText"/>
            </w:pPr>
            <w:r w:rsidRPr="00DE3E14">
              <w:t>Anywhere</w:t>
            </w:r>
          </w:p>
        </w:tc>
        <w:tc>
          <w:tcPr>
            <w:tcW w:w="1182" w:type="dxa"/>
            <w:vAlign w:val="center"/>
          </w:tcPr>
          <w:p w14:paraId="66C6D696" w14:textId="77777777" w:rsidR="00056BFE" w:rsidRPr="00DE3E14" w:rsidRDefault="00056BFE" w:rsidP="002C1A58">
            <w:pPr>
              <w:pStyle w:val="TableText"/>
            </w:pPr>
            <w:r w:rsidRPr="00DE3E14">
              <w:t>Cohort Designation</w:t>
            </w:r>
          </w:p>
        </w:tc>
        <w:tc>
          <w:tcPr>
            <w:tcW w:w="2306" w:type="dxa"/>
            <w:vAlign w:val="center"/>
          </w:tcPr>
          <w:p w14:paraId="752327FC" w14:textId="77777777" w:rsidR="00056BFE" w:rsidRPr="00DE3E14" w:rsidRDefault="00056BFE" w:rsidP="002C1A58">
            <w:pPr>
              <w:pStyle w:val="TableText"/>
            </w:pPr>
            <w:r w:rsidRPr="00DE3E14">
              <w:t xml:space="preserve">Number of Students Enrolled on BEDS Day in October of the Cohort’s Fourth Year </w:t>
            </w:r>
          </w:p>
        </w:tc>
        <w:tc>
          <w:tcPr>
            <w:tcW w:w="1227" w:type="dxa"/>
            <w:shd w:val="clear" w:color="auto" w:fill="auto"/>
            <w:vAlign w:val="center"/>
          </w:tcPr>
          <w:p w14:paraId="60C1D32D" w14:textId="77777777" w:rsidR="00056BFE" w:rsidRPr="0056045B" w:rsidRDefault="00056BFE" w:rsidP="002C1A58">
            <w:pPr>
              <w:pStyle w:val="TableText"/>
            </w:pPr>
            <w:proofErr w:type="gramStart"/>
            <w:r w:rsidRPr="0056045B">
              <w:t>Number  Leaving</w:t>
            </w:r>
            <w:proofErr w:type="gramEnd"/>
            <w:r w:rsidRPr="0056045B">
              <w:t xml:space="preserve"> During the School Year</w:t>
            </w:r>
          </w:p>
        </w:tc>
        <w:tc>
          <w:tcPr>
            <w:tcW w:w="1529" w:type="dxa"/>
            <w:shd w:val="clear" w:color="auto" w:fill="auto"/>
            <w:vAlign w:val="center"/>
          </w:tcPr>
          <w:p w14:paraId="06CF3D18" w14:textId="77777777" w:rsidR="00056BFE" w:rsidRPr="0056045B" w:rsidRDefault="00056BFE" w:rsidP="002C1A58">
            <w:pPr>
              <w:pStyle w:val="TableText"/>
            </w:pPr>
            <w:r w:rsidRPr="0056045B">
              <w:t>Number in Accountability Cohort as of June 30th</w:t>
            </w:r>
          </w:p>
        </w:tc>
      </w:tr>
      <w:tr w:rsidR="00056BFE" w:rsidRPr="00DD2508" w14:paraId="3138DF46" w14:textId="77777777" w:rsidTr="52172790">
        <w:trPr>
          <w:jc w:val="center"/>
        </w:trPr>
        <w:tc>
          <w:tcPr>
            <w:tcW w:w="1008" w:type="dxa"/>
          </w:tcPr>
          <w:p w14:paraId="355004A0" w14:textId="1F5658A8" w:rsidR="00056BFE" w:rsidRPr="00DE3E14" w:rsidRDefault="00056BFE" w:rsidP="002C1A58">
            <w:pPr>
              <w:pStyle w:val="TableText"/>
            </w:pPr>
            <w:r>
              <w:t>201</w:t>
            </w:r>
            <w:r w:rsidR="005765F3">
              <w:t>8</w:t>
            </w:r>
            <w:r>
              <w:t>-1</w:t>
            </w:r>
            <w:r w:rsidR="005765F3">
              <w:t>9</w:t>
            </w:r>
          </w:p>
        </w:tc>
        <w:tc>
          <w:tcPr>
            <w:tcW w:w="1419" w:type="dxa"/>
          </w:tcPr>
          <w:p w14:paraId="59CE31DC" w14:textId="7BB0509B" w:rsidR="00056BFE" w:rsidRPr="00DE3E14" w:rsidRDefault="00056BFE" w:rsidP="002C1A58">
            <w:pPr>
              <w:pStyle w:val="TableText"/>
            </w:pPr>
            <w:r>
              <w:t>201</w:t>
            </w:r>
            <w:r w:rsidR="005765F3">
              <w:t>5</w:t>
            </w:r>
            <w:r>
              <w:t>-1</w:t>
            </w:r>
            <w:r w:rsidR="005765F3">
              <w:t>6</w:t>
            </w:r>
          </w:p>
        </w:tc>
        <w:tc>
          <w:tcPr>
            <w:tcW w:w="1182" w:type="dxa"/>
          </w:tcPr>
          <w:p w14:paraId="565BA68D" w14:textId="3CC5ECA2" w:rsidR="00056BFE" w:rsidRPr="00DE3E14" w:rsidRDefault="00056BFE" w:rsidP="002C1A58">
            <w:pPr>
              <w:pStyle w:val="TableText"/>
            </w:pPr>
            <w:r>
              <w:t>201</w:t>
            </w:r>
            <w:r w:rsidR="005765F3">
              <w:t>5</w:t>
            </w:r>
          </w:p>
        </w:tc>
        <w:tc>
          <w:tcPr>
            <w:tcW w:w="2306" w:type="dxa"/>
          </w:tcPr>
          <w:p w14:paraId="15116311" w14:textId="11059128" w:rsidR="00056BFE" w:rsidRPr="00CF3AD3" w:rsidRDefault="00056BFE" w:rsidP="002C1A58">
            <w:pPr>
              <w:pStyle w:val="TableText"/>
              <w:rPr>
                <w:highlight w:val="lightGray"/>
              </w:rPr>
            </w:pPr>
          </w:p>
        </w:tc>
        <w:tc>
          <w:tcPr>
            <w:tcW w:w="1227" w:type="dxa"/>
            <w:shd w:val="clear" w:color="auto" w:fill="auto"/>
          </w:tcPr>
          <w:p w14:paraId="57122F9B" w14:textId="76575FDD" w:rsidR="00056BFE" w:rsidRPr="0056045B" w:rsidRDefault="00056BFE" w:rsidP="002C1A58">
            <w:pPr>
              <w:pStyle w:val="TableText"/>
              <w:rPr>
                <w:highlight w:val="lightGray"/>
              </w:rPr>
            </w:pPr>
          </w:p>
        </w:tc>
        <w:tc>
          <w:tcPr>
            <w:tcW w:w="1529" w:type="dxa"/>
            <w:shd w:val="clear" w:color="auto" w:fill="auto"/>
          </w:tcPr>
          <w:p w14:paraId="6FB9427E" w14:textId="4C51B9F2" w:rsidR="00056BFE" w:rsidRPr="0056045B" w:rsidRDefault="00056BFE" w:rsidP="002C1A58">
            <w:pPr>
              <w:pStyle w:val="TableText"/>
              <w:rPr>
                <w:highlight w:val="lightGray"/>
              </w:rPr>
            </w:pPr>
          </w:p>
        </w:tc>
      </w:tr>
      <w:tr w:rsidR="00056BFE" w:rsidRPr="00DD2508" w14:paraId="68D0D6A0" w14:textId="77777777" w:rsidTr="52172790">
        <w:trPr>
          <w:jc w:val="center"/>
        </w:trPr>
        <w:tc>
          <w:tcPr>
            <w:tcW w:w="1008" w:type="dxa"/>
          </w:tcPr>
          <w:p w14:paraId="6DDA51E0" w14:textId="75AE9437" w:rsidR="00056BFE" w:rsidRPr="00DE3E14" w:rsidRDefault="00056BFE" w:rsidP="002C1A58">
            <w:pPr>
              <w:pStyle w:val="TableText"/>
            </w:pPr>
            <w:r>
              <w:t>201</w:t>
            </w:r>
            <w:r w:rsidR="005765F3">
              <w:t>9-20</w:t>
            </w:r>
          </w:p>
        </w:tc>
        <w:tc>
          <w:tcPr>
            <w:tcW w:w="1419" w:type="dxa"/>
          </w:tcPr>
          <w:p w14:paraId="6B83E938" w14:textId="1D10FB69" w:rsidR="00056BFE" w:rsidRPr="00DE3E14" w:rsidRDefault="00056BFE" w:rsidP="002C1A58">
            <w:pPr>
              <w:pStyle w:val="TableText"/>
            </w:pPr>
            <w:r>
              <w:t>201</w:t>
            </w:r>
            <w:r w:rsidR="005765F3">
              <w:t>6</w:t>
            </w:r>
            <w:r>
              <w:t>-1</w:t>
            </w:r>
            <w:r w:rsidR="005765F3">
              <w:t>7</w:t>
            </w:r>
          </w:p>
        </w:tc>
        <w:tc>
          <w:tcPr>
            <w:tcW w:w="1182" w:type="dxa"/>
          </w:tcPr>
          <w:p w14:paraId="3E970A72" w14:textId="1B66E9AB" w:rsidR="00056BFE" w:rsidRPr="00DE3E14" w:rsidRDefault="00056BFE" w:rsidP="002C1A58">
            <w:pPr>
              <w:pStyle w:val="TableText"/>
            </w:pPr>
            <w:r>
              <w:t>201</w:t>
            </w:r>
            <w:r w:rsidR="005765F3">
              <w:t>6</w:t>
            </w:r>
          </w:p>
        </w:tc>
        <w:tc>
          <w:tcPr>
            <w:tcW w:w="2306" w:type="dxa"/>
          </w:tcPr>
          <w:p w14:paraId="4378900E" w14:textId="26C428BB" w:rsidR="00056BFE" w:rsidRPr="00CF3AD3" w:rsidRDefault="00056BFE" w:rsidP="002C1A58">
            <w:pPr>
              <w:pStyle w:val="TableText"/>
              <w:rPr>
                <w:highlight w:val="lightGray"/>
              </w:rPr>
            </w:pPr>
          </w:p>
        </w:tc>
        <w:tc>
          <w:tcPr>
            <w:tcW w:w="1227" w:type="dxa"/>
            <w:shd w:val="clear" w:color="auto" w:fill="auto"/>
          </w:tcPr>
          <w:p w14:paraId="033B3E5C" w14:textId="60C954B9" w:rsidR="00056BFE" w:rsidRPr="0056045B" w:rsidRDefault="00056BFE" w:rsidP="002C1A58">
            <w:pPr>
              <w:pStyle w:val="TableText"/>
              <w:rPr>
                <w:highlight w:val="lightGray"/>
              </w:rPr>
            </w:pPr>
          </w:p>
        </w:tc>
        <w:tc>
          <w:tcPr>
            <w:tcW w:w="1529" w:type="dxa"/>
            <w:shd w:val="clear" w:color="auto" w:fill="auto"/>
          </w:tcPr>
          <w:p w14:paraId="12D3F7A9" w14:textId="1D9E665A" w:rsidR="00056BFE" w:rsidRPr="0056045B" w:rsidRDefault="00056BFE" w:rsidP="002C1A58">
            <w:pPr>
              <w:pStyle w:val="TableText"/>
              <w:rPr>
                <w:highlight w:val="lightGray"/>
              </w:rPr>
            </w:pPr>
          </w:p>
        </w:tc>
      </w:tr>
      <w:tr w:rsidR="00056BFE" w:rsidRPr="00DD2508" w14:paraId="573C70D1" w14:textId="77777777" w:rsidTr="00F5016C">
        <w:trPr>
          <w:jc w:val="center"/>
        </w:trPr>
        <w:tc>
          <w:tcPr>
            <w:tcW w:w="1008" w:type="dxa"/>
          </w:tcPr>
          <w:p w14:paraId="2EC6ACDD" w14:textId="07D2B260" w:rsidR="00056BFE" w:rsidRPr="00DE3E14" w:rsidRDefault="005765F3" w:rsidP="002C1A58">
            <w:pPr>
              <w:pStyle w:val="TableText"/>
            </w:pPr>
            <w:r>
              <w:t>2020</w:t>
            </w:r>
            <w:r w:rsidR="00056BFE">
              <w:t>-</w:t>
            </w:r>
            <w:r>
              <w:t>21</w:t>
            </w:r>
          </w:p>
        </w:tc>
        <w:tc>
          <w:tcPr>
            <w:tcW w:w="1419" w:type="dxa"/>
          </w:tcPr>
          <w:p w14:paraId="16E273FA" w14:textId="7A7D8AD1" w:rsidR="00056BFE" w:rsidRPr="00DE3E14" w:rsidRDefault="00056BFE" w:rsidP="002C1A58">
            <w:pPr>
              <w:pStyle w:val="TableText"/>
            </w:pPr>
            <w:r>
              <w:t>201</w:t>
            </w:r>
            <w:r w:rsidR="005765F3">
              <w:t>7</w:t>
            </w:r>
            <w:r>
              <w:t>-1</w:t>
            </w:r>
            <w:r w:rsidR="005765F3">
              <w:t>8</w:t>
            </w:r>
          </w:p>
        </w:tc>
        <w:tc>
          <w:tcPr>
            <w:tcW w:w="1182" w:type="dxa"/>
          </w:tcPr>
          <w:p w14:paraId="0888018F" w14:textId="37E17891" w:rsidR="00056BFE" w:rsidRPr="00DE3E14" w:rsidRDefault="00056BFE" w:rsidP="002C1A58">
            <w:pPr>
              <w:pStyle w:val="TableText"/>
            </w:pPr>
            <w:r>
              <w:t>201</w:t>
            </w:r>
            <w:r w:rsidR="005765F3">
              <w:t>7</w:t>
            </w:r>
          </w:p>
        </w:tc>
        <w:tc>
          <w:tcPr>
            <w:tcW w:w="2306" w:type="dxa"/>
            <w:shd w:val="clear" w:color="auto" w:fill="auto"/>
          </w:tcPr>
          <w:p w14:paraId="64B08637" w14:textId="06144F8C" w:rsidR="00056BFE" w:rsidRPr="00CF3AD3" w:rsidRDefault="00F5016C" w:rsidP="002C1A58">
            <w:pPr>
              <w:pStyle w:val="TableText"/>
              <w:rPr>
                <w:highlight w:val="lightGray"/>
              </w:rPr>
            </w:pPr>
            <w:r w:rsidRPr="00226147">
              <w:t>18</w:t>
            </w:r>
          </w:p>
        </w:tc>
        <w:tc>
          <w:tcPr>
            <w:tcW w:w="1227" w:type="dxa"/>
            <w:tcBorders>
              <w:bottom w:val="single" w:sz="4" w:space="0" w:color="auto"/>
            </w:tcBorders>
            <w:shd w:val="clear" w:color="auto" w:fill="auto"/>
          </w:tcPr>
          <w:p w14:paraId="6319DFD1" w14:textId="2B96363C" w:rsidR="00056BFE" w:rsidRPr="00226147" w:rsidRDefault="00F5016C" w:rsidP="00F5016C">
            <w:pPr>
              <w:pStyle w:val="TableText"/>
              <w:tabs>
                <w:tab w:val="left" w:pos="360"/>
                <w:tab w:val="left" w:pos="432"/>
                <w:tab w:val="center" w:pos="505"/>
              </w:tabs>
              <w:jc w:val="left"/>
            </w:pPr>
            <w:r w:rsidRPr="00226147">
              <w:tab/>
              <w:t>0</w:t>
            </w:r>
            <w:r w:rsidRPr="00226147">
              <w:tab/>
            </w:r>
          </w:p>
        </w:tc>
        <w:tc>
          <w:tcPr>
            <w:tcW w:w="1529" w:type="dxa"/>
            <w:tcBorders>
              <w:bottom w:val="single" w:sz="4" w:space="0" w:color="auto"/>
            </w:tcBorders>
            <w:shd w:val="clear" w:color="auto" w:fill="auto"/>
          </w:tcPr>
          <w:p w14:paraId="72AC4E15" w14:textId="2FF3846C" w:rsidR="00056BFE" w:rsidRPr="00226147" w:rsidRDefault="00F5016C" w:rsidP="002C1A58">
            <w:pPr>
              <w:pStyle w:val="TableText"/>
            </w:pPr>
            <w:r w:rsidRPr="00226147">
              <w:t>18</w:t>
            </w:r>
          </w:p>
        </w:tc>
      </w:tr>
    </w:tbl>
    <w:p w14:paraId="44C0DF10" w14:textId="77777777" w:rsidR="00056BFE" w:rsidRDefault="00056BFE" w:rsidP="00056BFE">
      <w:pPr>
        <w:rPr>
          <w:rFonts w:ascii="Calibri" w:hAnsi="Calibri"/>
          <w:b/>
        </w:rPr>
      </w:pPr>
    </w:p>
    <w:p w14:paraId="363A3A30" w14:textId="77777777" w:rsidR="00056BFE" w:rsidRPr="00DD2508" w:rsidRDefault="00056BFE" w:rsidP="00056BFE">
      <w:pPr>
        <w:pStyle w:val="Heading2"/>
      </w:pPr>
      <w:r w:rsidRPr="00DD2508">
        <w:lastRenderedPageBreak/>
        <w:t>Total Cohort for Graduation</w:t>
      </w:r>
    </w:p>
    <w:p w14:paraId="72D700F3" w14:textId="5E222090" w:rsidR="00056BFE" w:rsidRDefault="00056BFE" w:rsidP="00056BFE">
      <w:r w:rsidRPr="00DD2508">
        <w:t xml:space="preserve">Students are </w:t>
      </w:r>
      <w:r w:rsidR="00E61B98">
        <w:t xml:space="preserve">also </w:t>
      </w:r>
      <w:r w:rsidRPr="00DD2508">
        <w:t>included in the Total Cohort for Graduation</w:t>
      </w:r>
      <w:r w:rsidR="00E61B98">
        <w:t xml:space="preserve"> (referred</w:t>
      </w:r>
      <w:r w:rsidR="00B63EF0">
        <w:t xml:space="preserve"> to as the Graduation Cohort, </w:t>
      </w:r>
      <w:r w:rsidR="00E61B98">
        <w:t>Total Graduation Cohort</w:t>
      </w:r>
      <w:r w:rsidR="00B63EF0">
        <w:t>, or Total Cohort interchangeably throughout this</w:t>
      </w:r>
      <w:r w:rsidR="00E61B98">
        <w:t xml:space="preserve"> report)</w:t>
      </w:r>
      <w:r w:rsidRPr="00DD2508">
        <w:t xml:space="preserve"> based on the year they first enter the 9</w:t>
      </w:r>
      <w:r w:rsidRPr="00DD2508">
        <w:rPr>
          <w:vertAlign w:val="superscript"/>
        </w:rPr>
        <w:t>th</w:t>
      </w:r>
      <w:r w:rsidRPr="00DD2508">
        <w:t xml:space="preserve"> </w:t>
      </w:r>
      <w:r w:rsidRPr="00D11499">
        <w:t xml:space="preserve">grade.   </w:t>
      </w:r>
      <w:r w:rsidR="00664568">
        <w:t>S</w:t>
      </w:r>
      <w:r w:rsidRPr="00DD2508">
        <w:t>tudent</w:t>
      </w:r>
      <w:r>
        <w:t>s enrolled</w:t>
      </w:r>
      <w:r w:rsidR="00664568">
        <w:t xml:space="preserve"> for</w:t>
      </w:r>
      <w:r w:rsidRPr="00DD2508">
        <w:t xml:space="preserve"> </w:t>
      </w:r>
      <w:r>
        <w:rPr>
          <w:u w:val="single"/>
        </w:rPr>
        <w:t>at least</w:t>
      </w:r>
      <w:r w:rsidRPr="00063599">
        <w:rPr>
          <w:u w:val="single"/>
        </w:rPr>
        <w:t xml:space="preserve"> one</w:t>
      </w:r>
      <w:r w:rsidRPr="00715E89">
        <w:rPr>
          <w:u w:val="single"/>
        </w:rPr>
        <w:t xml:space="preserve"> day in the school</w:t>
      </w:r>
      <w:r w:rsidRPr="00DD2508">
        <w:t xml:space="preserve"> after entering the 9</w:t>
      </w:r>
      <w:r w:rsidRPr="00DD2508">
        <w:rPr>
          <w:vertAlign w:val="superscript"/>
        </w:rPr>
        <w:t>th</w:t>
      </w:r>
      <w:r w:rsidRPr="00DD2508">
        <w:t xml:space="preserve"> grade </w:t>
      </w:r>
      <w:r>
        <w:t xml:space="preserve">are part of the school’s </w:t>
      </w:r>
      <w:r w:rsidRPr="00DD2508">
        <w:t>Graduation Cohort</w:t>
      </w:r>
      <w:r>
        <w:t xml:space="preserve">.  </w:t>
      </w:r>
      <w:r w:rsidR="004D2DFB">
        <w:t>The school may remove students from the Graduation Cohort i</w:t>
      </w:r>
      <w:r>
        <w:t xml:space="preserve">f the school has discharged </w:t>
      </w:r>
      <w:r w:rsidR="004D2DFB">
        <w:t xml:space="preserve">those </w:t>
      </w:r>
      <w:r>
        <w:t xml:space="preserve">students for </w:t>
      </w:r>
      <w:r w:rsidR="004D2DFB">
        <w:t xml:space="preserve">an </w:t>
      </w:r>
      <w:r>
        <w:t>acceptable reason</w:t>
      </w:r>
      <w:r w:rsidR="004D2DFB">
        <w:t xml:space="preserve"> listed in the SIRS manual, including the follow</w:t>
      </w:r>
      <w:r w:rsidR="00E61B98">
        <w:t>ing</w:t>
      </w:r>
      <w:r>
        <w:t xml:space="preserve">: </w:t>
      </w:r>
      <w:r w:rsidRPr="002909D1">
        <w:t xml:space="preserve"> </w:t>
      </w:r>
      <w:r>
        <w:t xml:space="preserve">if </w:t>
      </w:r>
      <w:r w:rsidRPr="00DD2508">
        <w:t xml:space="preserve">they transfer to another </w:t>
      </w:r>
      <w:r>
        <w:t xml:space="preserve">public or private </w:t>
      </w:r>
      <w:r w:rsidRPr="00DD2508">
        <w:t>diploma-granting program</w:t>
      </w:r>
      <w:r>
        <w:t xml:space="preserve"> with documentation, transfer to home schooling by a parent or guardian, </w:t>
      </w:r>
      <w:r w:rsidRPr="00DD2508">
        <w:t>transfer to another district or school, transfer</w:t>
      </w:r>
      <w:r>
        <w:t xml:space="preserve"> </w:t>
      </w:r>
      <w:r w:rsidRPr="00DD2508">
        <w:t xml:space="preserve">by court order, </w:t>
      </w:r>
      <w:r>
        <w:t xml:space="preserve">leave the </w:t>
      </w:r>
      <w:r w:rsidRPr="00DD2508">
        <w:t>U.S.</w:t>
      </w:r>
      <w:r w:rsidR="004D2DFB">
        <w:t>,</w:t>
      </w:r>
      <w:r>
        <w:t xml:space="preserve"> or </w:t>
      </w:r>
      <w:r w:rsidR="00E61B98">
        <w:t>are deceased</w:t>
      </w:r>
      <w:r>
        <w:t>.</w:t>
      </w:r>
    </w:p>
    <w:p w14:paraId="7B408661" w14:textId="77777777" w:rsidR="004D2DFB" w:rsidRPr="00DD2508" w:rsidRDefault="004D2DFB" w:rsidP="00056BFE"/>
    <w:p w14:paraId="3D4C6F5A" w14:textId="77777777" w:rsidR="00056BFE" w:rsidRPr="00DD2508" w:rsidRDefault="00056BFE" w:rsidP="00056BFE">
      <w:pPr>
        <w:pStyle w:val="TableHeader"/>
      </w:pPr>
      <w:r w:rsidRPr="00D11499">
        <w:t>Fourth Year Total Cohort for Graduation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080"/>
        <w:gridCol w:w="1182"/>
        <w:gridCol w:w="1878"/>
        <w:gridCol w:w="2858"/>
        <w:gridCol w:w="1264"/>
      </w:tblGrid>
      <w:tr w:rsidR="00056BFE" w:rsidRPr="00DD2508" w14:paraId="608D8DC0" w14:textId="77777777" w:rsidTr="52172790">
        <w:trPr>
          <w:trHeight w:val="1115"/>
          <w:jc w:val="center"/>
        </w:trPr>
        <w:tc>
          <w:tcPr>
            <w:tcW w:w="895" w:type="dxa"/>
            <w:vAlign w:val="center"/>
          </w:tcPr>
          <w:p w14:paraId="385899F3" w14:textId="77777777" w:rsidR="00056BFE" w:rsidRPr="00DE3E14" w:rsidRDefault="00056BFE" w:rsidP="002C1A58">
            <w:pPr>
              <w:pStyle w:val="TableText"/>
            </w:pPr>
            <w:r w:rsidRPr="00DE3E14">
              <w:t xml:space="preserve">Fourth </w:t>
            </w:r>
            <w:proofErr w:type="gramStart"/>
            <w:r w:rsidRPr="00DE3E14">
              <w:t>Year  Cohort</w:t>
            </w:r>
            <w:proofErr w:type="gramEnd"/>
          </w:p>
        </w:tc>
        <w:tc>
          <w:tcPr>
            <w:tcW w:w="1080" w:type="dxa"/>
            <w:vAlign w:val="center"/>
          </w:tcPr>
          <w:p w14:paraId="3A16D958" w14:textId="77777777" w:rsidR="00056BFE" w:rsidRPr="00DE3E14" w:rsidRDefault="00056BFE" w:rsidP="002C1A58">
            <w:pPr>
              <w:pStyle w:val="TableText"/>
            </w:pPr>
            <w:r w:rsidRPr="00DE3E14">
              <w:t>Year Entered 9</w:t>
            </w:r>
            <w:r w:rsidRPr="00DE3E14">
              <w:rPr>
                <w:vertAlign w:val="superscript"/>
              </w:rPr>
              <w:t>th</w:t>
            </w:r>
            <w:r w:rsidRPr="00DE3E14">
              <w:t xml:space="preserve"> Grade</w:t>
            </w:r>
          </w:p>
          <w:p w14:paraId="199CC52F" w14:textId="77777777" w:rsidR="00056BFE" w:rsidRPr="00DE3E14" w:rsidRDefault="00056BFE" w:rsidP="002C1A58">
            <w:pPr>
              <w:pStyle w:val="TableText"/>
            </w:pPr>
            <w:r w:rsidRPr="00DE3E14">
              <w:t>Anywhere</w:t>
            </w:r>
          </w:p>
        </w:tc>
        <w:tc>
          <w:tcPr>
            <w:tcW w:w="1182" w:type="dxa"/>
            <w:vAlign w:val="center"/>
          </w:tcPr>
          <w:p w14:paraId="2E45691A" w14:textId="77777777" w:rsidR="00056BFE" w:rsidRPr="00DE3E14" w:rsidRDefault="00056BFE" w:rsidP="002C1A58">
            <w:pPr>
              <w:pStyle w:val="TableText"/>
            </w:pPr>
            <w:r w:rsidRPr="00DE3E14">
              <w:t>Cohort Designation</w:t>
            </w:r>
          </w:p>
        </w:tc>
        <w:tc>
          <w:tcPr>
            <w:tcW w:w="1878" w:type="dxa"/>
            <w:vAlign w:val="center"/>
          </w:tcPr>
          <w:p w14:paraId="37DDD9CC" w14:textId="34580A7C" w:rsidR="00056BFE" w:rsidRPr="00DE3E14" w:rsidRDefault="00056BFE" w:rsidP="002C1A58">
            <w:pPr>
              <w:pStyle w:val="TableText"/>
            </w:pPr>
            <w:r w:rsidRPr="00DE3E14">
              <w:t xml:space="preserve">Number of Students </w:t>
            </w:r>
            <w:r w:rsidR="00707900">
              <w:t xml:space="preserve">Graduated or </w:t>
            </w:r>
            <w:r w:rsidRPr="00DE3E14">
              <w:t>Enrolled on June 30</w:t>
            </w:r>
            <w:r w:rsidRPr="00DE3E14">
              <w:rPr>
                <w:vertAlign w:val="superscript"/>
              </w:rPr>
              <w:t>th</w:t>
            </w:r>
            <w:r w:rsidRPr="00DE3E14">
              <w:t xml:space="preserve"> </w:t>
            </w:r>
            <w:proofErr w:type="gramStart"/>
            <w:r w:rsidRPr="00DE3E14">
              <w:t>of  the</w:t>
            </w:r>
            <w:proofErr w:type="gramEnd"/>
            <w:r w:rsidRPr="00DE3E14">
              <w:t xml:space="preserve"> Cohort’s Fourth Year</w:t>
            </w:r>
          </w:p>
          <w:p w14:paraId="54F9284C" w14:textId="77777777" w:rsidR="00056BFE" w:rsidRPr="00DE3E14" w:rsidRDefault="00056BFE" w:rsidP="002C1A58">
            <w:pPr>
              <w:pStyle w:val="TableText"/>
            </w:pPr>
            <w:r w:rsidRPr="00DE3E14">
              <w:t>(a)</w:t>
            </w:r>
          </w:p>
        </w:tc>
        <w:tc>
          <w:tcPr>
            <w:tcW w:w="2858" w:type="dxa"/>
            <w:shd w:val="clear" w:color="auto" w:fill="auto"/>
            <w:vAlign w:val="center"/>
          </w:tcPr>
          <w:p w14:paraId="758BC67F" w14:textId="1105754B" w:rsidR="00056BFE" w:rsidRPr="00DE3E14" w:rsidRDefault="00056BFE" w:rsidP="002C1A58">
            <w:pPr>
              <w:pStyle w:val="TableText"/>
            </w:pPr>
            <w:r w:rsidRPr="00DE3E14">
              <w:t xml:space="preserve"> </w:t>
            </w:r>
            <w:r w:rsidR="005B455A">
              <w:t>Number of S</w:t>
            </w:r>
            <w:r w:rsidR="004D2DFB">
              <w:t xml:space="preserve">tudents </w:t>
            </w:r>
            <w:r w:rsidR="005B455A">
              <w:t>No Longer at the S</w:t>
            </w:r>
            <w:r w:rsidR="004D2DFB">
              <w:t xml:space="preserve">chool </w:t>
            </w:r>
            <w:r w:rsidR="005B455A">
              <w:t>Who Had B</w:t>
            </w:r>
            <w:r w:rsidR="004D2DFB">
              <w:t>een</w:t>
            </w:r>
            <w:r w:rsidR="005B455A">
              <w:t xml:space="preserve"> Enrolled for at Least One Day Prior to L</w:t>
            </w:r>
            <w:r w:rsidR="004D2DFB">
              <w:t xml:space="preserve">eaving the </w:t>
            </w:r>
            <w:r w:rsidR="005B455A">
              <w:t>School and Who W</w:t>
            </w:r>
            <w:r w:rsidR="004D2DFB">
              <w:t xml:space="preserve">ere </w:t>
            </w:r>
            <w:r w:rsidR="005B455A">
              <w:rPr>
                <w:u w:val="single"/>
              </w:rPr>
              <w:t>N</w:t>
            </w:r>
            <w:r w:rsidR="004D2DFB" w:rsidRPr="00684173">
              <w:rPr>
                <w:u w:val="single"/>
              </w:rPr>
              <w:t>ot</w:t>
            </w:r>
            <w:r w:rsidR="005B455A">
              <w:t xml:space="preserve"> Discharged for an Acceptable R</w:t>
            </w:r>
            <w:r w:rsidR="004D2DFB">
              <w:t>eason</w:t>
            </w:r>
            <w:r w:rsidRPr="00DE3E14">
              <w:t xml:space="preserve"> </w:t>
            </w:r>
          </w:p>
          <w:p w14:paraId="0E4ADCA4" w14:textId="77777777" w:rsidR="00056BFE" w:rsidRPr="00DE3E14" w:rsidRDefault="00056BFE" w:rsidP="002C1A58">
            <w:pPr>
              <w:pStyle w:val="TableText"/>
            </w:pPr>
            <w:r w:rsidRPr="00DE3E14">
              <w:t>(b)</w:t>
            </w:r>
          </w:p>
        </w:tc>
        <w:tc>
          <w:tcPr>
            <w:tcW w:w="1264" w:type="dxa"/>
            <w:shd w:val="clear" w:color="auto" w:fill="auto"/>
            <w:vAlign w:val="center"/>
          </w:tcPr>
          <w:p w14:paraId="68FF45A2" w14:textId="3A794632" w:rsidR="00056BFE" w:rsidRPr="00DE3E14" w:rsidRDefault="004D2DFB" w:rsidP="002C1A58">
            <w:pPr>
              <w:pStyle w:val="TableText"/>
            </w:pPr>
            <w:r>
              <w:t xml:space="preserve">Total </w:t>
            </w:r>
            <w:r w:rsidR="00056BFE" w:rsidRPr="00DE3E14">
              <w:t>Graduation Cohort</w:t>
            </w:r>
          </w:p>
          <w:p w14:paraId="241F51B0" w14:textId="77777777" w:rsidR="00056BFE" w:rsidRPr="00DE3E14" w:rsidRDefault="00056BFE" w:rsidP="002C1A58">
            <w:pPr>
              <w:pStyle w:val="TableText"/>
            </w:pPr>
            <w:r w:rsidRPr="00DE3E14">
              <w:t>(a) + (b)</w:t>
            </w:r>
          </w:p>
        </w:tc>
      </w:tr>
      <w:tr w:rsidR="00056BFE" w:rsidRPr="00DD2508" w14:paraId="5012A86A" w14:textId="77777777" w:rsidTr="52172790">
        <w:trPr>
          <w:jc w:val="center"/>
        </w:trPr>
        <w:tc>
          <w:tcPr>
            <w:tcW w:w="895" w:type="dxa"/>
          </w:tcPr>
          <w:p w14:paraId="3183DD29" w14:textId="30C8DBA3" w:rsidR="00056BFE" w:rsidRPr="00DE3E14" w:rsidRDefault="00056BFE" w:rsidP="002C1A58">
            <w:pPr>
              <w:pStyle w:val="TableText"/>
            </w:pPr>
            <w:r>
              <w:t>201</w:t>
            </w:r>
            <w:r w:rsidR="005765F3">
              <w:t>8</w:t>
            </w:r>
            <w:r>
              <w:t>-1</w:t>
            </w:r>
            <w:r w:rsidR="005765F3">
              <w:t>9</w:t>
            </w:r>
          </w:p>
        </w:tc>
        <w:tc>
          <w:tcPr>
            <w:tcW w:w="1080" w:type="dxa"/>
          </w:tcPr>
          <w:p w14:paraId="2AC842A4" w14:textId="58F5731E" w:rsidR="00056BFE" w:rsidRPr="00DE3E14" w:rsidRDefault="00056BFE" w:rsidP="002C1A58">
            <w:pPr>
              <w:pStyle w:val="TableText"/>
            </w:pPr>
            <w:r>
              <w:t>201</w:t>
            </w:r>
            <w:r w:rsidR="005765F3">
              <w:t>5</w:t>
            </w:r>
            <w:r>
              <w:t>-1</w:t>
            </w:r>
            <w:r w:rsidR="005765F3">
              <w:t>6</w:t>
            </w:r>
          </w:p>
        </w:tc>
        <w:tc>
          <w:tcPr>
            <w:tcW w:w="1182" w:type="dxa"/>
          </w:tcPr>
          <w:p w14:paraId="5FB151C3" w14:textId="67453632" w:rsidR="00056BFE" w:rsidRPr="00DE3E14" w:rsidRDefault="00056BFE" w:rsidP="002C1A58">
            <w:pPr>
              <w:pStyle w:val="TableText"/>
            </w:pPr>
            <w:r>
              <w:t>201</w:t>
            </w:r>
            <w:r w:rsidR="005765F3">
              <w:t>5</w:t>
            </w:r>
          </w:p>
        </w:tc>
        <w:tc>
          <w:tcPr>
            <w:tcW w:w="1878" w:type="dxa"/>
          </w:tcPr>
          <w:p w14:paraId="309A8AEB" w14:textId="50B142F6" w:rsidR="00056BFE" w:rsidRPr="00CF3AD3" w:rsidRDefault="00056BFE" w:rsidP="002C1A58">
            <w:pPr>
              <w:pStyle w:val="TableText"/>
              <w:rPr>
                <w:highlight w:val="lightGray"/>
              </w:rPr>
            </w:pPr>
          </w:p>
        </w:tc>
        <w:tc>
          <w:tcPr>
            <w:tcW w:w="2858" w:type="dxa"/>
            <w:tcBorders>
              <w:bottom w:val="single" w:sz="4" w:space="0" w:color="auto"/>
            </w:tcBorders>
            <w:shd w:val="clear" w:color="auto" w:fill="auto"/>
          </w:tcPr>
          <w:p w14:paraId="33D0347C" w14:textId="4B673035" w:rsidR="00056BFE" w:rsidRPr="00CF3AD3" w:rsidRDefault="00056BFE" w:rsidP="002C1A58">
            <w:pPr>
              <w:pStyle w:val="TableText"/>
              <w:rPr>
                <w:highlight w:val="lightGray"/>
              </w:rPr>
            </w:pPr>
          </w:p>
        </w:tc>
        <w:tc>
          <w:tcPr>
            <w:tcW w:w="1264" w:type="dxa"/>
            <w:shd w:val="clear" w:color="auto" w:fill="auto"/>
          </w:tcPr>
          <w:p w14:paraId="557A4E17" w14:textId="0AB135BC" w:rsidR="00056BFE" w:rsidRPr="00CF3AD3" w:rsidRDefault="00056BFE" w:rsidP="002C1A58">
            <w:pPr>
              <w:pStyle w:val="TableText"/>
              <w:rPr>
                <w:highlight w:val="lightGray"/>
              </w:rPr>
            </w:pPr>
          </w:p>
        </w:tc>
      </w:tr>
      <w:tr w:rsidR="00056BFE" w:rsidRPr="00DD2508" w14:paraId="1C99FA21" w14:textId="77777777" w:rsidTr="52172790">
        <w:trPr>
          <w:jc w:val="center"/>
        </w:trPr>
        <w:tc>
          <w:tcPr>
            <w:tcW w:w="895" w:type="dxa"/>
          </w:tcPr>
          <w:p w14:paraId="76D3BF19" w14:textId="64A8429F" w:rsidR="00056BFE" w:rsidRPr="00DE3E14" w:rsidRDefault="00056BFE" w:rsidP="002C1A58">
            <w:pPr>
              <w:pStyle w:val="TableText"/>
            </w:pPr>
            <w:r>
              <w:t>201</w:t>
            </w:r>
            <w:r w:rsidR="005765F3">
              <w:t>9-20</w:t>
            </w:r>
          </w:p>
        </w:tc>
        <w:tc>
          <w:tcPr>
            <w:tcW w:w="1080" w:type="dxa"/>
          </w:tcPr>
          <w:p w14:paraId="3457250F" w14:textId="3A1CCE90" w:rsidR="00056BFE" w:rsidRPr="00DE3E14" w:rsidRDefault="00056BFE" w:rsidP="002C1A58">
            <w:pPr>
              <w:pStyle w:val="TableText"/>
            </w:pPr>
            <w:r>
              <w:t>201</w:t>
            </w:r>
            <w:r w:rsidR="005765F3">
              <w:t>6</w:t>
            </w:r>
            <w:r>
              <w:t>-1</w:t>
            </w:r>
            <w:r w:rsidR="005765F3">
              <w:t>7</w:t>
            </w:r>
          </w:p>
        </w:tc>
        <w:tc>
          <w:tcPr>
            <w:tcW w:w="1182" w:type="dxa"/>
          </w:tcPr>
          <w:p w14:paraId="0E357769" w14:textId="51CAD5AE" w:rsidR="00056BFE" w:rsidRPr="00DE3E14" w:rsidRDefault="00056BFE" w:rsidP="002C1A58">
            <w:pPr>
              <w:pStyle w:val="TableText"/>
            </w:pPr>
            <w:r>
              <w:t>201</w:t>
            </w:r>
            <w:r w:rsidR="005765F3">
              <w:t>6</w:t>
            </w:r>
          </w:p>
        </w:tc>
        <w:tc>
          <w:tcPr>
            <w:tcW w:w="1878" w:type="dxa"/>
          </w:tcPr>
          <w:p w14:paraId="3432AB25" w14:textId="0EE3085D" w:rsidR="00056BFE" w:rsidRPr="00CF3AD3" w:rsidRDefault="00056BFE" w:rsidP="002C1A58">
            <w:pPr>
              <w:pStyle w:val="TableText"/>
              <w:rPr>
                <w:highlight w:val="lightGray"/>
              </w:rPr>
            </w:pPr>
          </w:p>
        </w:tc>
        <w:tc>
          <w:tcPr>
            <w:tcW w:w="2858" w:type="dxa"/>
            <w:shd w:val="clear" w:color="auto" w:fill="auto"/>
          </w:tcPr>
          <w:p w14:paraId="16DC8688" w14:textId="5366193D" w:rsidR="00056BFE" w:rsidRPr="00CF3AD3" w:rsidRDefault="00056BFE" w:rsidP="002C1A58">
            <w:pPr>
              <w:pStyle w:val="TableText"/>
              <w:rPr>
                <w:highlight w:val="lightGray"/>
              </w:rPr>
            </w:pPr>
          </w:p>
        </w:tc>
        <w:tc>
          <w:tcPr>
            <w:tcW w:w="1264" w:type="dxa"/>
            <w:shd w:val="clear" w:color="auto" w:fill="auto"/>
          </w:tcPr>
          <w:p w14:paraId="2521CBF3" w14:textId="3B62ABD0" w:rsidR="00056BFE" w:rsidRPr="00CF3AD3" w:rsidRDefault="00056BFE" w:rsidP="002C1A58">
            <w:pPr>
              <w:pStyle w:val="TableText"/>
              <w:rPr>
                <w:highlight w:val="lightGray"/>
              </w:rPr>
            </w:pPr>
          </w:p>
        </w:tc>
      </w:tr>
      <w:tr w:rsidR="00056BFE" w:rsidRPr="00DD2508" w14:paraId="672FA218" w14:textId="77777777" w:rsidTr="52172790">
        <w:trPr>
          <w:jc w:val="center"/>
        </w:trPr>
        <w:tc>
          <w:tcPr>
            <w:tcW w:w="895" w:type="dxa"/>
          </w:tcPr>
          <w:p w14:paraId="5A1D7717" w14:textId="5B7492D2" w:rsidR="00056BFE" w:rsidRPr="00DE3E14" w:rsidRDefault="005765F3" w:rsidP="002C1A58">
            <w:pPr>
              <w:pStyle w:val="TableText"/>
            </w:pPr>
            <w:r>
              <w:t>2020</w:t>
            </w:r>
            <w:r w:rsidR="00056BFE">
              <w:t>-</w:t>
            </w:r>
            <w:r>
              <w:t>21</w:t>
            </w:r>
          </w:p>
        </w:tc>
        <w:tc>
          <w:tcPr>
            <w:tcW w:w="1080" w:type="dxa"/>
          </w:tcPr>
          <w:p w14:paraId="376E828D" w14:textId="7AAA36E5" w:rsidR="00056BFE" w:rsidRPr="00DE3E14" w:rsidRDefault="00056BFE" w:rsidP="002C1A58">
            <w:pPr>
              <w:pStyle w:val="TableText"/>
            </w:pPr>
            <w:r>
              <w:t>201</w:t>
            </w:r>
            <w:r w:rsidR="005765F3">
              <w:t>7</w:t>
            </w:r>
            <w:r>
              <w:t>-1</w:t>
            </w:r>
            <w:r w:rsidR="005765F3">
              <w:t>8</w:t>
            </w:r>
          </w:p>
        </w:tc>
        <w:tc>
          <w:tcPr>
            <w:tcW w:w="1182" w:type="dxa"/>
          </w:tcPr>
          <w:p w14:paraId="259322DB" w14:textId="77697D85" w:rsidR="00056BFE" w:rsidRPr="00DE3E14" w:rsidRDefault="00056BFE" w:rsidP="002C1A58">
            <w:pPr>
              <w:pStyle w:val="TableText"/>
            </w:pPr>
            <w:r>
              <w:t>201</w:t>
            </w:r>
            <w:r w:rsidR="005765F3">
              <w:t>7</w:t>
            </w:r>
          </w:p>
        </w:tc>
        <w:tc>
          <w:tcPr>
            <w:tcW w:w="1878" w:type="dxa"/>
          </w:tcPr>
          <w:p w14:paraId="18ACF7EA" w14:textId="3DBB6543" w:rsidR="00056BFE" w:rsidRPr="00226147" w:rsidRDefault="00562C78" w:rsidP="002C1A58">
            <w:pPr>
              <w:pStyle w:val="TableText"/>
            </w:pPr>
            <w:r w:rsidRPr="00226147">
              <w:t>18</w:t>
            </w:r>
          </w:p>
        </w:tc>
        <w:tc>
          <w:tcPr>
            <w:tcW w:w="2858" w:type="dxa"/>
            <w:shd w:val="clear" w:color="auto" w:fill="auto"/>
          </w:tcPr>
          <w:p w14:paraId="3EAF8301" w14:textId="28CF6F4B" w:rsidR="00056BFE" w:rsidRPr="00226147" w:rsidRDefault="00F5016C" w:rsidP="002C1A58">
            <w:pPr>
              <w:pStyle w:val="TableText"/>
            </w:pPr>
            <w:r w:rsidRPr="00226147">
              <w:t>0</w:t>
            </w:r>
          </w:p>
        </w:tc>
        <w:tc>
          <w:tcPr>
            <w:tcW w:w="1264" w:type="dxa"/>
            <w:shd w:val="clear" w:color="auto" w:fill="auto"/>
          </w:tcPr>
          <w:p w14:paraId="6E41A3A3" w14:textId="05A4EF3D" w:rsidR="00056BFE" w:rsidRPr="00226147" w:rsidRDefault="00F5016C" w:rsidP="002C1A58">
            <w:pPr>
              <w:pStyle w:val="TableText"/>
            </w:pPr>
            <w:r w:rsidRPr="00226147">
              <w:t>1</w:t>
            </w:r>
            <w:r w:rsidR="00562C78" w:rsidRPr="00226147">
              <w:t>8</w:t>
            </w:r>
          </w:p>
        </w:tc>
      </w:tr>
    </w:tbl>
    <w:p w14:paraId="296A528E" w14:textId="77777777" w:rsidR="00056BFE" w:rsidRDefault="00056BFE" w:rsidP="00056BFE">
      <w:pPr>
        <w:jc w:val="center"/>
        <w:rPr>
          <w:rFonts w:ascii="Calibri" w:hAnsi="Calibri"/>
          <w:b/>
          <w:szCs w:val="23"/>
        </w:rPr>
      </w:pPr>
    </w:p>
    <w:p w14:paraId="6EEDD146" w14:textId="77777777" w:rsidR="00056BFE" w:rsidRPr="00D11499" w:rsidRDefault="00056BFE" w:rsidP="00056BFE">
      <w:pPr>
        <w:pStyle w:val="TableHeader"/>
      </w:pPr>
      <w:r w:rsidRPr="00D11499">
        <w:rPr>
          <w:szCs w:val="23"/>
        </w:rPr>
        <w:t xml:space="preserve">Fifth Year </w:t>
      </w:r>
      <w:r w:rsidRPr="00D11499">
        <w:t>Total Cohort for Graduation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080"/>
        <w:gridCol w:w="1260"/>
        <w:gridCol w:w="1800"/>
        <w:gridCol w:w="2880"/>
        <w:gridCol w:w="1223"/>
      </w:tblGrid>
      <w:tr w:rsidR="00056BFE" w:rsidRPr="00DD2508" w14:paraId="697D3BE4" w14:textId="77777777" w:rsidTr="52172790">
        <w:trPr>
          <w:jc w:val="center"/>
        </w:trPr>
        <w:tc>
          <w:tcPr>
            <w:tcW w:w="895" w:type="dxa"/>
            <w:vAlign w:val="center"/>
          </w:tcPr>
          <w:p w14:paraId="34825368" w14:textId="77777777" w:rsidR="00056BFE" w:rsidRPr="00DE3E14" w:rsidRDefault="00056BFE" w:rsidP="002C1A58">
            <w:pPr>
              <w:pStyle w:val="TableText"/>
            </w:pPr>
            <w:r w:rsidRPr="00DE3E14">
              <w:t xml:space="preserve">Fifth </w:t>
            </w:r>
            <w:proofErr w:type="gramStart"/>
            <w:r w:rsidRPr="00DE3E14">
              <w:t>Year  Cohort</w:t>
            </w:r>
            <w:proofErr w:type="gramEnd"/>
          </w:p>
        </w:tc>
        <w:tc>
          <w:tcPr>
            <w:tcW w:w="1080" w:type="dxa"/>
            <w:vAlign w:val="center"/>
          </w:tcPr>
          <w:p w14:paraId="06C682B1" w14:textId="77777777" w:rsidR="00056BFE" w:rsidRPr="00DE3E14" w:rsidRDefault="00056BFE" w:rsidP="002C1A58">
            <w:pPr>
              <w:pStyle w:val="TableText"/>
            </w:pPr>
            <w:r w:rsidRPr="00DE3E14">
              <w:t>Year Entered 9</w:t>
            </w:r>
            <w:r w:rsidRPr="00DE3E14">
              <w:rPr>
                <w:vertAlign w:val="superscript"/>
              </w:rPr>
              <w:t>th</w:t>
            </w:r>
            <w:r w:rsidRPr="00DE3E14">
              <w:t xml:space="preserve"> Grade</w:t>
            </w:r>
          </w:p>
          <w:p w14:paraId="089085D7" w14:textId="77777777" w:rsidR="00056BFE" w:rsidRPr="00DE3E14" w:rsidRDefault="00056BFE" w:rsidP="002C1A58">
            <w:pPr>
              <w:pStyle w:val="TableText"/>
            </w:pPr>
            <w:r w:rsidRPr="00DE3E14">
              <w:t>Anywhere</w:t>
            </w:r>
          </w:p>
        </w:tc>
        <w:tc>
          <w:tcPr>
            <w:tcW w:w="1260" w:type="dxa"/>
            <w:vAlign w:val="center"/>
          </w:tcPr>
          <w:p w14:paraId="2B6B2BCD" w14:textId="77777777" w:rsidR="00056BFE" w:rsidRPr="00DE3E14" w:rsidRDefault="00056BFE" w:rsidP="002C1A58">
            <w:pPr>
              <w:pStyle w:val="TableText"/>
            </w:pPr>
            <w:r w:rsidRPr="00DE3E14">
              <w:t>Cohort Designation</w:t>
            </w:r>
          </w:p>
        </w:tc>
        <w:tc>
          <w:tcPr>
            <w:tcW w:w="1800" w:type="dxa"/>
            <w:vAlign w:val="center"/>
          </w:tcPr>
          <w:p w14:paraId="497C0EC5" w14:textId="3A48EAD8" w:rsidR="00056BFE" w:rsidRPr="00DE3E14" w:rsidRDefault="00056BFE" w:rsidP="002C1A58">
            <w:pPr>
              <w:pStyle w:val="TableText"/>
            </w:pPr>
            <w:r w:rsidRPr="00DE3E14">
              <w:t xml:space="preserve">Number of Students </w:t>
            </w:r>
            <w:r w:rsidR="00707900">
              <w:t xml:space="preserve">Graduated or </w:t>
            </w:r>
            <w:r w:rsidRPr="00DE3E14">
              <w:t>Enrolled on June 30</w:t>
            </w:r>
            <w:r w:rsidRPr="00DE3E14">
              <w:rPr>
                <w:vertAlign w:val="superscript"/>
              </w:rPr>
              <w:t xml:space="preserve">th </w:t>
            </w:r>
            <w:r w:rsidR="00707900">
              <w:t>o</w:t>
            </w:r>
            <w:r w:rsidRPr="00DE3E14">
              <w:t xml:space="preserve">f the Cohort’s Fifth Year </w:t>
            </w:r>
          </w:p>
          <w:p w14:paraId="374F775B" w14:textId="77777777" w:rsidR="00056BFE" w:rsidRPr="00DE3E14" w:rsidRDefault="00056BFE" w:rsidP="002C1A58">
            <w:pPr>
              <w:pStyle w:val="TableText"/>
            </w:pPr>
            <w:r w:rsidRPr="00DE3E14">
              <w:t>(a)</w:t>
            </w:r>
          </w:p>
        </w:tc>
        <w:tc>
          <w:tcPr>
            <w:tcW w:w="2880" w:type="dxa"/>
            <w:shd w:val="clear" w:color="auto" w:fill="auto"/>
            <w:vAlign w:val="center"/>
          </w:tcPr>
          <w:p w14:paraId="330013D4" w14:textId="30B244C7" w:rsidR="005B455A" w:rsidRDefault="005B455A" w:rsidP="002C1A58">
            <w:pPr>
              <w:pStyle w:val="TableText"/>
            </w:pPr>
            <w:r>
              <w:t xml:space="preserve">Number of Students No Longer at the School Who Had Been Enrolled for at Least One Day Prior to Leaving the School and Who Were </w:t>
            </w:r>
            <w:r>
              <w:rPr>
                <w:u w:val="single"/>
              </w:rPr>
              <w:t>N</w:t>
            </w:r>
            <w:r w:rsidRPr="001B68E3">
              <w:rPr>
                <w:u w:val="single"/>
              </w:rPr>
              <w:t>ot</w:t>
            </w:r>
            <w:r>
              <w:t xml:space="preserve"> Discharged for an Acceptable Reason</w:t>
            </w:r>
            <w:r w:rsidRPr="00DE3E14">
              <w:t xml:space="preserve"> </w:t>
            </w:r>
            <w:r w:rsidRPr="00DE3E14" w:rsidDel="005B455A">
              <w:t xml:space="preserve"> </w:t>
            </w:r>
          </w:p>
          <w:p w14:paraId="40A444B0" w14:textId="26FF80E2" w:rsidR="00056BFE" w:rsidRPr="00DE3E14" w:rsidRDefault="00056BFE" w:rsidP="002C1A58">
            <w:pPr>
              <w:pStyle w:val="TableText"/>
            </w:pPr>
            <w:r w:rsidRPr="00DE3E14">
              <w:t>(b)</w:t>
            </w:r>
          </w:p>
        </w:tc>
        <w:tc>
          <w:tcPr>
            <w:tcW w:w="1223" w:type="dxa"/>
            <w:shd w:val="clear" w:color="auto" w:fill="auto"/>
            <w:vAlign w:val="center"/>
          </w:tcPr>
          <w:p w14:paraId="78EBEBFA" w14:textId="38993AB7" w:rsidR="00056BFE" w:rsidRPr="00DE3E14" w:rsidRDefault="00C06E23" w:rsidP="002C1A58">
            <w:pPr>
              <w:pStyle w:val="TableText"/>
            </w:pPr>
            <w:r>
              <w:t xml:space="preserve">Total </w:t>
            </w:r>
            <w:r w:rsidR="00056BFE" w:rsidRPr="00DE3E14">
              <w:t>Graduation Cohort</w:t>
            </w:r>
          </w:p>
          <w:p w14:paraId="0DC8C012" w14:textId="77777777" w:rsidR="00056BFE" w:rsidRPr="00DE3E14" w:rsidRDefault="00056BFE" w:rsidP="002C1A58">
            <w:pPr>
              <w:pStyle w:val="TableText"/>
            </w:pPr>
            <w:r w:rsidRPr="00DE3E14">
              <w:t>(a) + (b)</w:t>
            </w:r>
          </w:p>
        </w:tc>
      </w:tr>
      <w:tr w:rsidR="00056BFE" w:rsidRPr="00DD2508" w14:paraId="52172F2C" w14:textId="77777777" w:rsidTr="52172790">
        <w:trPr>
          <w:jc w:val="center"/>
        </w:trPr>
        <w:tc>
          <w:tcPr>
            <w:tcW w:w="895" w:type="dxa"/>
          </w:tcPr>
          <w:p w14:paraId="046F935E" w14:textId="7AEF7BB3" w:rsidR="00056BFE" w:rsidRPr="00DE3E14" w:rsidRDefault="00056BFE" w:rsidP="002C1A58">
            <w:pPr>
              <w:pStyle w:val="TableText"/>
            </w:pPr>
            <w:r>
              <w:t>201</w:t>
            </w:r>
            <w:r w:rsidR="005765F3">
              <w:t>8</w:t>
            </w:r>
            <w:r>
              <w:t>-1</w:t>
            </w:r>
            <w:r w:rsidR="005765F3">
              <w:t>9</w:t>
            </w:r>
          </w:p>
        </w:tc>
        <w:tc>
          <w:tcPr>
            <w:tcW w:w="1080" w:type="dxa"/>
          </w:tcPr>
          <w:p w14:paraId="47752217" w14:textId="18750920" w:rsidR="00056BFE" w:rsidRPr="00DE3E14" w:rsidRDefault="00056BFE" w:rsidP="002C1A58">
            <w:pPr>
              <w:pStyle w:val="TableText"/>
            </w:pPr>
            <w:r>
              <w:t>201</w:t>
            </w:r>
            <w:r w:rsidR="005765F3">
              <w:t>4</w:t>
            </w:r>
            <w:r>
              <w:t>-1</w:t>
            </w:r>
            <w:r w:rsidR="005765F3">
              <w:t>5</w:t>
            </w:r>
          </w:p>
        </w:tc>
        <w:tc>
          <w:tcPr>
            <w:tcW w:w="1260" w:type="dxa"/>
          </w:tcPr>
          <w:p w14:paraId="73A994E2" w14:textId="73CBCF06" w:rsidR="00056BFE" w:rsidRPr="00DE3E14" w:rsidRDefault="00056BFE" w:rsidP="002C1A58">
            <w:pPr>
              <w:pStyle w:val="TableText"/>
            </w:pPr>
            <w:r>
              <w:t>201</w:t>
            </w:r>
            <w:r w:rsidR="005765F3">
              <w:t>4</w:t>
            </w:r>
          </w:p>
        </w:tc>
        <w:tc>
          <w:tcPr>
            <w:tcW w:w="1800" w:type="dxa"/>
          </w:tcPr>
          <w:p w14:paraId="4BC19BB6" w14:textId="0B3AD2BC" w:rsidR="00056BFE" w:rsidRPr="00CF3AD3" w:rsidRDefault="00056BFE" w:rsidP="002C1A58">
            <w:pPr>
              <w:pStyle w:val="TableText"/>
              <w:rPr>
                <w:highlight w:val="lightGray"/>
              </w:rPr>
            </w:pPr>
          </w:p>
        </w:tc>
        <w:tc>
          <w:tcPr>
            <w:tcW w:w="2880" w:type="dxa"/>
            <w:shd w:val="clear" w:color="auto" w:fill="auto"/>
          </w:tcPr>
          <w:p w14:paraId="5D7F6776" w14:textId="74A2238D" w:rsidR="00056BFE" w:rsidRPr="00CF3AD3" w:rsidRDefault="00056BFE" w:rsidP="002C1A58">
            <w:pPr>
              <w:pStyle w:val="TableText"/>
              <w:rPr>
                <w:highlight w:val="lightGray"/>
              </w:rPr>
            </w:pPr>
          </w:p>
        </w:tc>
        <w:tc>
          <w:tcPr>
            <w:tcW w:w="1223" w:type="dxa"/>
            <w:shd w:val="clear" w:color="auto" w:fill="auto"/>
          </w:tcPr>
          <w:p w14:paraId="7BB10B9B" w14:textId="43C195F1" w:rsidR="00056BFE" w:rsidRPr="00CF3AD3" w:rsidRDefault="00056BFE" w:rsidP="002C1A58">
            <w:pPr>
              <w:pStyle w:val="TableText"/>
              <w:rPr>
                <w:highlight w:val="lightGray"/>
              </w:rPr>
            </w:pPr>
          </w:p>
        </w:tc>
      </w:tr>
      <w:tr w:rsidR="00056BFE" w:rsidRPr="00DD2508" w14:paraId="05052B20" w14:textId="77777777" w:rsidTr="52172790">
        <w:trPr>
          <w:jc w:val="center"/>
        </w:trPr>
        <w:tc>
          <w:tcPr>
            <w:tcW w:w="895" w:type="dxa"/>
          </w:tcPr>
          <w:p w14:paraId="5E797A2F" w14:textId="5484D09D" w:rsidR="00056BFE" w:rsidRPr="00DE3E14" w:rsidRDefault="00056BFE" w:rsidP="002C1A58">
            <w:pPr>
              <w:pStyle w:val="TableText"/>
            </w:pPr>
            <w:r>
              <w:t>201</w:t>
            </w:r>
            <w:r w:rsidR="005765F3">
              <w:t>9-20</w:t>
            </w:r>
          </w:p>
        </w:tc>
        <w:tc>
          <w:tcPr>
            <w:tcW w:w="1080" w:type="dxa"/>
          </w:tcPr>
          <w:p w14:paraId="755136AF" w14:textId="04457BFE" w:rsidR="00056BFE" w:rsidRPr="00DE3E14" w:rsidRDefault="00056BFE" w:rsidP="002C1A58">
            <w:pPr>
              <w:pStyle w:val="TableText"/>
            </w:pPr>
            <w:r>
              <w:t>201</w:t>
            </w:r>
            <w:r w:rsidR="005765F3">
              <w:t>5</w:t>
            </w:r>
            <w:r>
              <w:t>-1</w:t>
            </w:r>
            <w:r w:rsidR="005765F3">
              <w:t>6</w:t>
            </w:r>
          </w:p>
        </w:tc>
        <w:tc>
          <w:tcPr>
            <w:tcW w:w="1260" w:type="dxa"/>
          </w:tcPr>
          <w:p w14:paraId="47ABE111" w14:textId="417874D1" w:rsidR="00056BFE" w:rsidRPr="00DE3E14" w:rsidRDefault="00056BFE" w:rsidP="002C1A58">
            <w:pPr>
              <w:pStyle w:val="TableText"/>
            </w:pPr>
            <w:r>
              <w:t>201</w:t>
            </w:r>
            <w:r w:rsidR="005765F3">
              <w:t>5</w:t>
            </w:r>
          </w:p>
        </w:tc>
        <w:tc>
          <w:tcPr>
            <w:tcW w:w="1800" w:type="dxa"/>
          </w:tcPr>
          <w:p w14:paraId="27E62F01" w14:textId="78DE3835" w:rsidR="00056BFE" w:rsidRPr="00CF3AD3" w:rsidRDefault="00056BFE" w:rsidP="002C1A58">
            <w:pPr>
              <w:pStyle w:val="TableText"/>
              <w:rPr>
                <w:highlight w:val="lightGray"/>
              </w:rPr>
            </w:pPr>
          </w:p>
        </w:tc>
        <w:tc>
          <w:tcPr>
            <w:tcW w:w="2880" w:type="dxa"/>
            <w:shd w:val="clear" w:color="auto" w:fill="auto"/>
          </w:tcPr>
          <w:p w14:paraId="44A60D6F" w14:textId="763F63A2" w:rsidR="00056BFE" w:rsidRPr="00CF3AD3" w:rsidRDefault="00056BFE" w:rsidP="002C1A58">
            <w:pPr>
              <w:pStyle w:val="TableText"/>
              <w:rPr>
                <w:highlight w:val="lightGray"/>
              </w:rPr>
            </w:pPr>
          </w:p>
        </w:tc>
        <w:tc>
          <w:tcPr>
            <w:tcW w:w="1223" w:type="dxa"/>
            <w:shd w:val="clear" w:color="auto" w:fill="auto"/>
          </w:tcPr>
          <w:p w14:paraId="315E2D86" w14:textId="6AB3292C" w:rsidR="00056BFE" w:rsidRPr="00CF3AD3" w:rsidRDefault="00056BFE" w:rsidP="002C1A58">
            <w:pPr>
              <w:pStyle w:val="TableText"/>
              <w:rPr>
                <w:highlight w:val="lightGray"/>
              </w:rPr>
            </w:pPr>
          </w:p>
        </w:tc>
      </w:tr>
      <w:tr w:rsidR="00056BFE" w:rsidRPr="00DD2508" w14:paraId="53BC1475" w14:textId="77777777" w:rsidTr="52172790">
        <w:trPr>
          <w:jc w:val="center"/>
        </w:trPr>
        <w:tc>
          <w:tcPr>
            <w:tcW w:w="895" w:type="dxa"/>
          </w:tcPr>
          <w:p w14:paraId="32541C01" w14:textId="4BA44F05" w:rsidR="00056BFE" w:rsidRPr="00DE3E14" w:rsidRDefault="005765F3" w:rsidP="002C1A58">
            <w:pPr>
              <w:pStyle w:val="TableText"/>
            </w:pPr>
            <w:r>
              <w:t>2020</w:t>
            </w:r>
            <w:r w:rsidR="00056BFE">
              <w:t>-</w:t>
            </w:r>
            <w:r>
              <w:t>21</w:t>
            </w:r>
          </w:p>
        </w:tc>
        <w:tc>
          <w:tcPr>
            <w:tcW w:w="1080" w:type="dxa"/>
          </w:tcPr>
          <w:p w14:paraId="5FC320BD" w14:textId="59947B6C" w:rsidR="00056BFE" w:rsidRPr="00DE3E14" w:rsidRDefault="00056BFE" w:rsidP="002C1A58">
            <w:pPr>
              <w:pStyle w:val="TableText"/>
            </w:pPr>
            <w:r>
              <w:t>201</w:t>
            </w:r>
            <w:r w:rsidR="005765F3">
              <w:t>6</w:t>
            </w:r>
            <w:r>
              <w:t>-1</w:t>
            </w:r>
            <w:r w:rsidR="005765F3">
              <w:t>7</w:t>
            </w:r>
          </w:p>
        </w:tc>
        <w:tc>
          <w:tcPr>
            <w:tcW w:w="1260" w:type="dxa"/>
          </w:tcPr>
          <w:p w14:paraId="5BCBCC59" w14:textId="5FA2FBCF" w:rsidR="00056BFE" w:rsidRPr="00DE3E14" w:rsidRDefault="00056BFE" w:rsidP="002C1A58">
            <w:pPr>
              <w:pStyle w:val="TableText"/>
            </w:pPr>
            <w:r>
              <w:t>201</w:t>
            </w:r>
            <w:r w:rsidR="005765F3">
              <w:t>6</w:t>
            </w:r>
          </w:p>
        </w:tc>
        <w:tc>
          <w:tcPr>
            <w:tcW w:w="1800" w:type="dxa"/>
          </w:tcPr>
          <w:p w14:paraId="346B5C6E" w14:textId="49243857" w:rsidR="00056BFE" w:rsidRPr="00CF3AD3" w:rsidRDefault="00562C78" w:rsidP="002C1A58">
            <w:pPr>
              <w:pStyle w:val="TableText"/>
              <w:rPr>
                <w:highlight w:val="lightGray"/>
              </w:rPr>
            </w:pPr>
            <w:r w:rsidRPr="00226147">
              <w:t>7</w:t>
            </w:r>
          </w:p>
        </w:tc>
        <w:tc>
          <w:tcPr>
            <w:tcW w:w="2880" w:type="dxa"/>
            <w:shd w:val="clear" w:color="auto" w:fill="auto"/>
          </w:tcPr>
          <w:p w14:paraId="15C5C998" w14:textId="3E0DC3D3" w:rsidR="00056BFE" w:rsidRPr="00226147" w:rsidRDefault="00562C78" w:rsidP="002C1A58">
            <w:pPr>
              <w:pStyle w:val="TableText"/>
            </w:pPr>
            <w:r w:rsidRPr="00226147">
              <w:t>0</w:t>
            </w:r>
          </w:p>
        </w:tc>
        <w:tc>
          <w:tcPr>
            <w:tcW w:w="1223" w:type="dxa"/>
            <w:shd w:val="clear" w:color="auto" w:fill="auto"/>
          </w:tcPr>
          <w:p w14:paraId="5FD399B1" w14:textId="74BC70D8" w:rsidR="00056BFE" w:rsidRPr="00226147" w:rsidRDefault="00562C78" w:rsidP="002C1A58">
            <w:pPr>
              <w:pStyle w:val="TableText"/>
            </w:pPr>
            <w:r w:rsidRPr="00226147">
              <w:t>7</w:t>
            </w:r>
          </w:p>
        </w:tc>
      </w:tr>
    </w:tbl>
    <w:p w14:paraId="547953DC" w14:textId="6105C501" w:rsidR="52172790" w:rsidRDefault="52172790" w:rsidP="52172790">
      <w:pPr>
        <w:rPr>
          <w:rFonts w:ascii="Calibri" w:eastAsia="Calibri" w:hAnsi="Calibri" w:cs="Calibri"/>
          <w:caps/>
          <w:color w:val="365F91" w:themeColor="accent1" w:themeShade="BF"/>
          <w:sz w:val="36"/>
          <w:szCs w:val="36"/>
        </w:rPr>
      </w:pPr>
    </w:p>
    <w:p w14:paraId="0436D2F8" w14:textId="403BBD83" w:rsidR="00132BB4" w:rsidRDefault="00132BB4">
      <w:pPr>
        <w:pStyle w:val="Heading1"/>
      </w:pPr>
      <w:r>
        <w:t>Promotion Policy</w:t>
      </w:r>
    </w:p>
    <w:p w14:paraId="56481B82" w14:textId="77777777" w:rsidR="00562C78" w:rsidRDefault="00562C78" w:rsidP="00562C78">
      <w:r>
        <w:t>Troy Preparatory Charter School has promotion requirements which are consistent with the State Commissioner’s Part 100.5 Diploma Requirements.  The promotion policy is broken down by school.</w:t>
      </w:r>
    </w:p>
    <w:p w14:paraId="27542A70" w14:textId="77777777" w:rsidR="00562C78" w:rsidRDefault="00562C78" w:rsidP="00562C78">
      <w:pPr>
        <w:rPr>
          <w:b/>
          <w:bCs/>
        </w:rPr>
      </w:pPr>
      <w:r>
        <w:rPr>
          <w:b/>
          <w:bCs/>
        </w:rPr>
        <w:t>Troy Prep Elementary:</w:t>
      </w:r>
    </w:p>
    <w:p w14:paraId="62ECC6DA" w14:textId="77777777" w:rsidR="00562C78" w:rsidRDefault="00562C78" w:rsidP="00562C78">
      <w:bookmarkStart w:id="3" w:name="_Hlk49864346"/>
      <w:r>
        <w:t xml:space="preserve">A student must earn promotion by demonstrating mastery of the essential knowledge and skills.  Students may not be promoted if they are performing significantly below grade-level standards. Promotion decisions will be based on a student’s grades, standardized test scores, attendance, </w:t>
      </w:r>
      <w:r>
        <w:lastRenderedPageBreak/>
        <w:t xml:space="preserve">homework completion record and other measures.  Troy Prep looks thoughtfully at student test scores, examples of student work, teacher observations, and other measures to make these decisions.  </w:t>
      </w:r>
    </w:p>
    <w:p w14:paraId="309593EE" w14:textId="77777777" w:rsidR="00562C78" w:rsidRDefault="00562C78" w:rsidP="00562C78">
      <w:r>
        <w:t xml:space="preserve">A student may be retained if he or she misses more than 10 days in a school year, has significant behavior problems that result in a lot of missed instruction time, or if the student has persistent trouble completing homework assignments. </w:t>
      </w:r>
    </w:p>
    <w:p w14:paraId="7558D92A" w14:textId="77777777" w:rsidR="00562C78" w:rsidRDefault="00562C78" w:rsidP="00562C78">
      <w:r>
        <w:t>Troy Prep Elementary Schools retention policy for the 19-20 school year was not affected and they were able to maintain the current structures in making promotion decisions.</w:t>
      </w:r>
    </w:p>
    <w:bookmarkEnd w:id="3"/>
    <w:p w14:paraId="6C9019F0" w14:textId="77777777" w:rsidR="00562C78" w:rsidRDefault="00562C78" w:rsidP="00562C78">
      <w:r>
        <w:rPr>
          <w:b/>
          <w:bCs/>
        </w:rPr>
        <w:t>Troy Prep Middle School:</w:t>
      </w:r>
    </w:p>
    <w:p w14:paraId="6F400BCA" w14:textId="77777777" w:rsidR="00562C78" w:rsidRDefault="00562C78" w:rsidP="00A70F9C">
      <w:pPr>
        <w:pStyle w:val="ListParagraph"/>
        <w:numPr>
          <w:ilvl w:val="0"/>
          <w:numId w:val="8"/>
        </w:numPr>
      </w:pPr>
      <w:r>
        <w:t>Students will be promoted if they pass all core academic classes (English, Science, History and Math) with a70% or higher and have less than 10 absences</w:t>
      </w:r>
    </w:p>
    <w:p w14:paraId="07112B1D" w14:textId="77777777" w:rsidR="00562C78" w:rsidRDefault="00562C78" w:rsidP="00A70F9C">
      <w:pPr>
        <w:pStyle w:val="ListParagraph"/>
        <w:numPr>
          <w:ilvl w:val="0"/>
          <w:numId w:val="8"/>
        </w:numPr>
      </w:pPr>
      <w:r>
        <w:t>Students will automatically be considered for retention if they fail one of more classes</w:t>
      </w:r>
    </w:p>
    <w:p w14:paraId="38AFAC36" w14:textId="77777777" w:rsidR="00562C78" w:rsidRDefault="00562C78" w:rsidP="00A70F9C">
      <w:pPr>
        <w:pStyle w:val="ListParagraph"/>
        <w:numPr>
          <w:ilvl w:val="0"/>
          <w:numId w:val="8"/>
        </w:numPr>
      </w:pPr>
      <w:r>
        <w:t>Students will automatically be considered for retention if they are absent 10 or more times throughout the school year</w:t>
      </w:r>
    </w:p>
    <w:p w14:paraId="466E61B1" w14:textId="77777777" w:rsidR="00562C78" w:rsidRDefault="00562C78" w:rsidP="00A70F9C">
      <w:pPr>
        <w:pStyle w:val="ListParagraph"/>
        <w:numPr>
          <w:ilvl w:val="0"/>
          <w:numId w:val="8"/>
        </w:numPr>
      </w:pPr>
      <w:r>
        <w:t>Final decisions for promotion or retention are made by the principal</w:t>
      </w:r>
    </w:p>
    <w:p w14:paraId="13A6A77C" w14:textId="77777777" w:rsidR="00562C78" w:rsidRDefault="00562C78" w:rsidP="00562C78">
      <w:pPr>
        <w:pStyle w:val="ListParagraph"/>
      </w:pPr>
    </w:p>
    <w:p w14:paraId="7B73EDE6" w14:textId="77777777" w:rsidR="00562C78" w:rsidRDefault="00562C78" w:rsidP="00562C78">
      <w:r>
        <w:t>Troy Prep Middle Schools promotion policy for the 19-20 school year was adjusted to account for the transition to remote learning in March 2020.  The promotion and retention policies still maintain our high bar for academic achievement and remote work completion, while also being fair and mindful of the additional challenges of remote learning compared to Q1-Q3.</w:t>
      </w:r>
    </w:p>
    <w:p w14:paraId="297A970D" w14:textId="77777777" w:rsidR="00562C78" w:rsidRDefault="00562C78" w:rsidP="00A70F9C">
      <w:pPr>
        <w:pStyle w:val="ListParagraph"/>
        <w:numPr>
          <w:ilvl w:val="0"/>
          <w:numId w:val="11"/>
        </w:numPr>
      </w:pPr>
      <w:r>
        <w:t>The passing grade was lowered from 70% to 65% to support students who are not benefiting from daily in-person instruction.</w:t>
      </w:r>
    </w:p>
    <w:p w14:paraId="5F01A95C" w14:textId="77777777" w:rsidR="00562C78" w:rsidRDefault="00562C78" w:rsidP="00A70F9C">
      <w:pPr>
        <w:pStyle w:val="ListParagraph"/>
        <w:numPr>
          <w:ilvl w:val="0"/>
          <w:numId w:val="11"/>
        </w:numPr>
      </w:pPr>
      <w:r>
        <w:t>For final grades, averages will reflect the higher of their Q1-Q3 average or their Q1-Q4 average. Students who performed strongly from Q1-Q3 will not be disadvantaged by lower Q4 performance.</w:t>
      </w:r>
    </w:p>
    <w:p w14:paraId="5DCB0DE1" w14:textId="77777777" w:rsidR="00562C78" w:rsidRDefault="00562C78" w:rsidP="00A70F9C">
      <w:pPr>
        <w:pStyle w:val="ListParagraph"/>
        <w:numPr>
          <w:ilvl w:val="0"/>
          <w:numId w:val="11"/>
        </w:numPr>
      </w:pPr>
      <w:r w:rsidRPr="00047E47">
        <w:t>Students will be considered for retention if they fail 2+ courses for the year. Failure for a course means that a student fails both the Q1-Q3 AND the Q1-Q4 averages or do not achieve a 70% remote learning work completion rate.</w:t>
      </w:r>
    </w:p>
    <w:p w14:paraId="51E05A50" w14:textId="77777777" w:rsidR="00562C78" w:rsidRDefault="00562C78" w:rsidP="00562C78">
      <w:pPr>
        <w:rPr>
          <w:b/>
          <w:bCs/>
        </w:rPr>
      </w:pPr>
      <w:r>
        <w:rPr>
          <w:b/>
          <w:bCs/>
        </w:rPr>
        <w:t>Troy Prep High School</w:t>
      </w:r>
    </w:p>
    <w:p w14:paraId="26F58648" w14:textId="77777777" w:rsidR="00562C78" w:rsidRDefault="00562C78" w:rsidP="00A70F9C">
      <w:pPr>
        <w:pStyle w:val="ListParagraph"/>
        <w:numPr>
          <w:ilvl w:val="0"/>
          <w:numId w:val="9"/>
        </w:numPr>
      </w:pPr>
      <w:r w:rsidRPr="000D0E67">
        <w:t xml:space="preserve">Students who receive a final failing grade (below a 70) for a class, do not receive credit for that class. The final grade is based on individual quarter grades and a comprehensive final exam.  </w:t>
      </w:r>
    </w:p>
    <w:p w14:paraId="342D3C1E" w14:textId="77777777" w:rsidR="00562C78" w:rsidRDefault="00562C78" w:rsidP="00A70F9C">
      <w:pPr>
        <w:pStyle w:val="ListParagraph"/>
        <w:numPr>
          <w:ilvl w:val="0"/>
          <w:numId w:val="9"/>
        </w:numPr>
      </w:pPr>
      <w:r w:rsidRPr="000D0E67">
        <w:t>When a student fails a single core course (English, Math, Science, History, Spanish), they may be required to make up the course through a summer program or an alternative method approved by the school.</w:t>
      </w:r>
    </w:p>
    <w:p w14:paraId="46681B12" w14:textId="77777777" w:rsidR="00562C78" w:rsidRPr="000D0E67" w:rsidRDefault="00562C78" w:rsidP="00A70F9C">
      <w:pPr>
        <w:pStyle w:val="ListParagraph"/>
        <w:numPr>
          <w:ilvl w:val="0"/>
          <w:numId w:val="9"/>
        </w:numPr>
      </w:pPr>
      <w:r w:rsidRPr="000D0E67">
        <w:t>When a student fails two or more core courses, they will be required to repeat the grade.  In subjects that require less than four years of credit (electives, digital art, college prep, physical education), students must make up the class in a subsequent school year.</w:t>
      </w:r>
    </w:p>
    <w:p w14:paraId="22E36904" w14:textId="77777777" w:rsidR="00562C78" w:rsidRDefault="00562C78" w:rsidP="00562C78">
      <w:r>
        <w:t xml:space="preserve">Troy Prep High Schools promotion policy for the 19-20 school year was adjusted to account for the transition to remote learning in March 2020. The adjustments made match the aligned policies from previous years </w:t>
      </w:r>
      <w:proofErr w:type="gramStart"/>
      <w:r>
        <w:t>and also</w:t>
      </w:r>
      <w:proofErr w:type="gramEnd"/>
      <w:r>
        <w:t xml:space="preserve"> takes into account learning taking place remotely.</w:t>
      </w:r>
    </w:p>
    <w:p w14:paraId="09409260" w14:textId="77777777" w:rsidR="00562C78" w:rsidRPr="000D0E67" w:rsidRDefault="00562C78" w:rsidP="00A70F9C">
      <w:pPr>
        <w:pStyle w:val="ListParagraph"/>
        <w:numPr>
          <w:ilvl w:val="0"/>
          <w:numId w:val="10"/>
        </w:numPr>
        <w:rPr>
          <w:b/>
          <w:bCs/>
        </w:rPr>
      </w:pPr>
      <w:r>
        <w:lastRenderedPageBreak/>
        <w:t>To pass the year, a student must a grade for the course &gt;70 and pass the final exam</w:t>
      </w:r>
    </w:p>
    <w:p w14:paraId="0D3C3123" w14:textId="77777777" w:rsidR="00562C78" w:rsidRPr="000D0E67" w:rsidRDefault="00562C78" w:rsidP="00A70F9C">
      <w:pPr>
        <w:pStyle w:val="ListParagraph"/>
        <w:numPr>
          <w:ilvl w:val="0"/>
          <w:numId w:val="10"/>
        </w:numPr>
        <w:rPr>
          <w:b/>
          <w:bCs/>
        </w:rPr>
      </w:pPr>
      <w:r>
        <w:t>A student’s year-end grade will the higher of:</w:t>
      </w:r>
    </w:p>
    <w:p w14:paraId="5935D166" w14:textId="77777777" w:rsidR="00562C78" w:rsidRPr="000D0E67" w:rsidRDefault="00562C78" w:rsidP="00A70F9C">
      <w:pPr>
        <w:pStyle w:val="ListParagraph"/>
        <w:numPr>
          <w:ilvl w:val="1"/>
          <w:numId w:val="10"/>
        </w:numPr>
        <w:rPr>
          <w:b/>
          <w:bCs/>
        </w:rPr>
      </w:pPr>
      <w:r>
        <w:t>The average of Q1-Q3 grades; OR</w:t>
      </w:r>
    </w:p>
    <w:p w14:paraId="00AF0D0D" w14:textId="77777777" w:rsidR="00562C78" w:rsidRPr="000D0E67" w:rsidRDefault="00562C78" w:rsidP="00A70F9C">
      <w:pPr>
        <w:pStyle w:val="ListParagraph"/>
        <w:numPr>
          <w:ilvl w:val="1"/>
          <w:numId w:val="10"/>
        </w:numPr>
        <w:rPr>
          <w:b/>
          <w:bCs/>
        </w:rPr>
      </w:pPr>
      <w:r>
        <w:t>The average of Q1-Q4 grades</w:t>
      </w:r>
    </w:p>
    <w:p w14:paraId="56945AC7" w14:textId="77777777" w:rsidR="00562C78" w:rsidRPr="000D0E67" w:rsidRDefault="00562C78" w:rsidP="00A70F9C">
      <w:pPr>
        <w:pStyle w:val="ListParagraph"/>
        <w:numPr>
          <w:ilvl w:val="0"/>
          <w:numId w:val="10"/>
        </w:numPr>
        <w:rPr>
          <w:b/>
          <w:bCs/>
        </w:rPr>
      </w:pPr>
      <w:r>
        <w:t xml:space="preserve">Students must pass a final exam for each course at the end of the year </w:t>
      </w:r>
    </w:p>
    <w:p w14:paraId="146B60D5" w14:textId="77777777" w:rsidR="00562C78" w:rsidRPr="000D0E67" w:rsidRDefault="00562C78" w:rsidP="00A70F9C">
      <w:pPr>
        <w:pStyle w:val="ListParagraph"/>
        <w:numPr>
          <w:ilvl w:val="1"/>
          <w:numId w:val="10"/>
        </w:numPr>
        <w:rPr>
          <w:b/>
          <w:bCs/>
        </w:rPr>
      </w:pPr>
      <w:r>
        <w:t>Any student who earns above an 85 average for their Q1-Q4 grades will be exempt from taking the exam</w:t>
      </w:r>
    </w:p>
    <w:p w14:paraId="766E96D4" w14:textId="77777777" w:rsidR="00562C78" w:rsidRPr="000D0E67" w:rsidRDefault="00562C78" w:rsidP="00A70F9C">
      <w:pPr>
        <w:pStyle w:val="ListParagraph"/>
        <w:numPr>
          <w:ilvl w:val="1"/>
          <w:numId w:val="10"/>
        </w:numPr>
        <w:rPr>
          <w:b/>
          <w:bCs/>
        </w:rPr>
      </w:pPr>
      <w:r>
        <w:t>Students will have multiple attempts to pass the final exam</w:t>
      </w:r>
    </w:p>
    <w:p w14:paraId="0B9D3FDA" w14:textId="77777777" w:rsidR="00562C78" w:rsidRPr="000330E8" w:rsidRDefault="00562C78" w:rsidP="00A70F9C">
      <w:pPr>
        <w:pStyle w:val="ListParagraph"/>
        <w:numPr>
          <w:ilvl w:val="0"/>
          <w:numId w:val="10"/>
        </w:numPr>
        <w:rPr>
          <w:b/>
          <w:bCs/>
        </w:rPr>
      </w:pPr>
      <w:r>
        <w:t xml:space="preserve">Students will be retained if </w:t>
      </w:r>
      <w:proofErr w:type="spellStart"/>
      <w:r>
        <w:t>hey</w:t>
      </w:r>
      <w:proofErr w:type="spellEnd"/>
      <w:r>
        <w:t xml:space="preserve"> fail 3+ courses for the year. Failure for a course means that a </w:t>
      </w:r>
      <w:proofErr w:type="spellStart"/>
      <w:proofErr w:type="gramStart"/>
      <w:r>
        <w:t>students</w:t>
      </w:r>
      <w:proofErr w:type="spellEnd"/>
      <w:proofErr w:type="gramEnd"/>
      <w:r>
        <w:t xml:space="preserve"> fails both the Q1-Q and the Q1-Q4 averages, regardless of their performance on the final exam.</w:t>
      </w:r>
    </w:p>
    <w:p w14:paraId="2AA732FD" w14:textId="77777777" w:rsidR="00562C78" w:rsidRPr="000330E8" w:rsidRDefault="00562C78" w:rsidP="00A70F9C">
      <w:pPr>
        <w:pStyle w:val="ListParagraph"/>
        <w:numPr>
          <w:ilvl w:val="0"/>
          <w:numId w:val="10"/>
        </w:numPr>
        <w:rPr>
          <w:b/>
          <w:bCs/>
        </w:rPr>
      </w:pPr>
      <w:r>
        <w:t>Students who fail 1-2 classes for the year will attend Summer Academy. A student will be retained if they:</w:t>
      </w:r>
    </w:p>
    <w:p w14:paraId="6B5BCE80" w14:textId="77777777" w:rsidR="00562C78" w:rsidRPr="00047E47" w:rsidRDefault="00562C78" w:rsidP="00A70F9C">
      <w:pPr>
        <w:pStyle w:val="ListParagraph"/>
        <w:numPr>
          <w:ilvl w:val="1"/>
          <w:numId w:val="10"/>
        </w:numPr>
        <w:rPr>
          <w:b/>
          <w:bCs/>
        </w:rPr>
      </w:pPr>
      <w:r>
        <w:t xml:space="preserve">Attend Summer Academy and fail to pass any of their Summer Academy course(s). Students must pass </w:t>
      </w:r>
      <w:proofErr w:type="gramStart"/>
      <w:r>
        <w:t>all of</w:t>
      </w:r>
      <w:proofErr w:type="gramEnd"/>
      <w:r>
        <w:t xml:space="preserve"> their Summer Academy courses to be promoted.</w:t>
      </w:r>
    </w:p>
    <w:p w14:paraId="3C0E065A" w14:textId="77777777" w:rsidR="00562C78" w:rsidRPr="00047E47" w:rsidRDefault="00562C78" w:rsidP="00562C78">
      <w:r>
        <w:t>Each school within Troy Prep would identify any student with extenuating challenges and propose end of year options on a case by case basis.</w:t>
      </w:r>
    </w:p>
    <w:p w14:paraId="7D31C897" w14:textId="2B7CB9E3" w:rsidR="00616126" w:rsidRPr="005765F3" w:rsidRDefault="00BC64E6" w:rsidP="005765F3">
      <w:pPr>
        <w:pStyle w:val="Heading1"/>
      </w:pPr>
      <w:r>
        <w:t>G</w:t>
      </w:r>
      <w:r w:rsidR="00F120CA">
        <w:t>OAL</w:t>
      </w:r>
      <w:r>
        <w:t xml:space="preserve"> 1: HIGH SCHOOL GRADUATION</w:t>
      </w:r>
    </w:p>
    <w:p w14:paraId="7E0FC429" w14:textId="1CFBC325" w:rsidR="00BC64E6" w:rsidRPr="00DD2508" w:rsidRDefault="00BC64E6" w:rsidP="00BC64E6">
      <w:pPr>
        <w:pStyle w:val="MeasureTitle"/>
      </w:pPr>
      <w:r w:rsidRPr="00DD2508">
        <w:t>GO</w:t>
      </w:r>
      <w:r>
        <w:t>AL 1</w:t>
      </w:r>
      <w:r w:rsidRPr="00DD2508">
        <w:t>: HIGH SCHOOL GRADUATION</w:t>
      </w:r>
    </w:p>
    <w:p w14:paraId="318A5ACF" w14:textId="77777777" w:rsidR="00562C78" w:rsidRPr="003A0D53" w:rsidRDefault="00562C78" w:rsidP="00562C78">
      <w:pPr>
        <w:pStyle w:val="MeasureText"/>
        <w:rPr>
          <w:color w:val="404040" w:themeColor="text1" w:themeTint="BF"/>
        </w:rPr>
      </w:pPr>
      <w:r>
        <w:rPr>
          <w:color w:val="404040" w:themeColor="text1" w:themeTint="BF"/>
        </w:rPr>
        <w:t>All students will complete high school</w:t>
      </w:r>
    </w:p>
    <w:p w14:paraId="20CBFA86" w14:textId="77777777" w:rsidR="00BC64E6" w:rsidRPr="00335888" w:rsidRDefault="00BC64E6" w:rsidP="00BC64E6">
      <w:pPr>
        <w:rPr>
          <w:rFonts w:ascii="Calibri" w:hAnsi="Calibri"/>
          <w:b/>
          <w:szCs w:val="23"/>
        </w:rPr>
      </w:pPr>
    </w:p>
    <w:p w14:paraId="4C56A7DE" w14:textId="3FE5F1D7" w:rsidR="00BC64E6" w:rsidRPr="007B44E4" w:rsidRDefault="00BC64E6" w:rsidP="007B44E4">
      <w:pPr>
        <w:pStyle w:val="MeasureTitle"/>
      </w:pPr>
      <w:r w:rsidRPr="007B44E4">
        <w:t>Goal 1: Leading Indicator</w:t>
      </w:r>
    </w:p>
    <w:p w14:paraId="3372CA8A" w14:textId="77777777" w:rsidR="00BC64E6" w:rsidRDefault="00BC64E6" w:rsidP="00BC64E6">
      <w:pPr>
        <w:pStyle w:val="MeasureText"/>
      </w:pPr>
      <w:r w:rsidRPr="00EF5579">
        <w:t xml:space="preserve">Each year, 75 percent of students in </w:t>
      </w:r>
      <w:proofErr w:type="gramStart"/>
      <w:r w:rsidRPr="00EF5579">
        <w:t>first and second year</w:t>
      </w:r>
      <w:proofErr w:type="gramEnd"/>
      <w:r w:rsidRPr="00EF5579">
        <w:t xml:space="preserve"> high school Total Graduation Cohorts will earn at least ten credits (if 44 needed for graduation) or five credits (if 22 need</w:t>
      </w:r>
      <w:r>
        <w:t>ed for graduation) each year.</w:t>
      </w:r>
    </w:p>
    <w:p w14:paraId="55D0D045" w14:textId="77777777" w:rsidR="00BC64E6" w:rsidRPr="00DD2508" w:rsidRDefault="00BC64E6" w:rsidP="00BC64E6">
      <w:pPr>
        <w:pStyle w:val="Heading2"/>
      </w:pPr>
      <w:r w:rsidRPr="00DD2508">
        <w:t>Method</w:t>
      </w:r>
    </w:p>
    <w:p w14:paraId="46D2D37D" w14:textId="33A02E17" w:rsidR="00BC64E6" w:rsidRDefault="00BC64E6" w:rsidP="00BC64E6">
      <w:r w:rsidRPr="00DD2508">
        <w:t xml:space="preserve">This measure serves as a leading indicator of the performance of </w:t>
      </w:r>
      <w:r w:rsidR="00E97C9D">
        <w:t>the high school cohort</w:t>
      </w:r>
      <w:r w:rsidRPr="00DD2508">
        <w:t xml:space="preserve"> and examines </w:t>
      </w:r>
      <w:r w:rsidR="00E97C9D">
        <w:t>students’</w:t>
      </w:r>
      <w:r w:rsidRPr="00DD2508">
        <w:t xml:space="preserve"> progress toward graduation based on annual credit accumulation.  The measure requires that, based on the school’s promotion requirements, </w:t>
      </w:r>
      <w:r>
        <w:t xml:space="preserve">75 percent of the </w:t>
      </w:r>
      <w:proofErr w:type="gramStart"/>
      <w:r w:rsidRPr="00EF5579">
        <w:rPr>
          <w:szCs w:val="24"/>
        </w:rPr>
        <w:t>first and second year</w:t>
      </w:r>
      <w:proofErr w:type="gramEnd"/>
      <w:r w:rsidRPr="00EF5579">
        <w:rPr>
          <w:szCs w:val="24"/>
        </w:rPr>
        <w:t xml:space="preserve"> high school Total Graduation Cohorts will earn </w:t>
      </w:r>
      <w:r>
        <w:rPr>
          <w:szCs w:val="24"/>
        </w:rPr>
        <w:t xml:space="preserve">the </w:t>
      </w:r>
      <w:r w:rsidR="00E97C9D">
        <w:rPr>
          <w:szCs w:val="24"/>
        </w:rPr>
        <w:t>required</w:t>
      </w:r>
      <w:r>
        <w:rPr>
          <w:szCs w:val="24"/>
        </w:rPr>
        <w:t xml:space="preserve"> number of credits</w:t>
      </w:r>
      <w:r w:rsidRPr="00DD2508">
        <w:t>.</w:t>
      </w:r>
    </w:p>
    <w:p w14:paraId="2314FDC7" w14:textId="77587177" w:rsidR="00562C78" w:rsidRDefault="00562C78" w:rsidP="00BC64E6"/>
    <w:p w14:paraId="53ECDAC3" w14:textId="77777777" w:rsidR="00562C78" w:rsidRPr="00AE7603" w:rsidRDefault="00562C78" w:rsidP="00562C78">
      <w:pPr>
        <w:rPr>
          <w:rFonts w:cstheme="minorHAnsi"/>
          <w:sz w:val="18"/>
        </w:rPr>
      </w:pPr>
      <w:r w:rsidRPr="00AE7603">
        <w:rPr>
          <w:rFonts w:cstheme="minorHAnsi"/>
          <w:sz w:val="18"/>
        </w:rPr>
        <w:t xml:space="preserve">To receive a Troy Prep High School Diploma, scholars must meet the following minimum requirements. These requirements are more rigorous than state requirements so that scholars may be more competitive in the college admissions process and be prepared for college level courses. </w:t>
      </w:r>
    </w:p>
    <w:p w14:paraId="4091547D" w14:textId="77777777" w:rsidR="00562C78" w:rsidRPr="00AE7603" w:rsidRDefault="00562C78" w:rsidP="00A70F9C">
      <w:pPr>
        <w:pStyle w:val="ListParagraph"/>
        <w:numPr>
          <w:ilvl w:val="0"/>
          <w:numId w:val="12"/>
        </w:numPr>
        <w:spacing w:after="200" w:line="276" w:lineRule="auto"/>
        <w:rPr>
          <w:rFonts w:cstheme="minorHAnsi"/>
          <w:sz w:val="18"/>
        </w:rPr>
      </w:pPr>
      <w:r w:rsidRPr="00AE7603">
        <w:rPr>
          <w:rFonts w:cstheme="minorHAnsi"/>
          <w:sz w:val="18"/>
        </w:rPr>
        <w:t>Pass 25 weight bearing course credits in required courses</w:t>
      </w:r>
    </w:p>
    <w:p w14:paraId="22631D99" w14:textId="77777777" w:rsidR="00562C78" w:rsidRPr="00AE7603" w:rsidRDefault="00562C78" w:rsidP="00A70F9C">
      <w:pPr>
        <w:pStyle w:val="ListParagraph"/>
        <w:numPr>
          <w:ilvl w:val="0"/>
          <w:numId w:val="12"/>
        </w:numPr>
        <w:spacing w:after="200" w:line="276" w:lineRule="auto"/>
        <w:rPr>
          <w:rFonts w:cstheme="minorHAnsi"/>
          <w:sz w:val="18"/>
        </w:rPr>
      </w:pPr>
      <w:r w:rsidRPr="00AE7603">
        <w:rPr>
          <w:rFonts w:cstheme="minorHAnsi"/>
          <w:sz w:val="18"/>
        </w:rPr>
        <w:t xml:space="preserve">Pass five Regents </w:t>
      </w:r>
      <w:proofErr w:type="gramStart"/>
      <w:r w:rsidRPr="00AE7603">
        <w:rPr>
          <w:rFonts w:cstheme="minorHAnsi"/>
          <w:sz w:val="18"/>
        </w:rPr>
        <w:t>exams;</w:t>
      </w:r>
      <w:proofErr w:type="gramEnd"/>
      <w:r w:rsidRPr="00AE7603">
        <w:rPr>
          <w:rFonts w:cstheme="minorHAnsi"/>
          <w:sz w:val="18"/>
        </w:rPr>
        <w:t xml:space="preserve"> 1 in each content area +1 additional in any content</w:t>
      </w:r>
    </w:p>
    <w:p w14:paraId="4F73366C" w14:textId="77777777" w:rsidR="00562C78" w:rsidRPr="00AE7603" w:rsidRDefault="00562C78" w:rsidP="00562C78">
      <w:pPr>
        <w:rPr>
          <w:rFonts w:cstheme="minorHAnsi"/>
          <w:i/>
          <w:sz w:val="18"/>
        </w:rPr>
      </w:pPr>
      <w:r w:rsidRPr="00AE7603">
        <w:rPr>
          <w:rFonts w:cstheme="minorHAnsi"/>
          <w:i/>
          <w:sz w:val="18"/>
        </w:rPr>
        <w:t>Required Classes and Credits</w:t>
      </w:r>
    </w:p>
    <w:p w14:paraId="11FB9DC9" w14:textId="77777777" w:rsidR="00562C78" w:rsidRPr="00AE7603" w:rsidRDefault="00562C78" w:rsidP="00562C78">
      <w:pPr>
        <w:rPr>
          <w:rFonts w:cstheme="minorHAnsi"/>
          <w:sz w:val="18"/>
        </w:rPr>
      </w:pPr>
      <w:r w:rsidRPr="00AE7603">
        <w:rPr>
          <w:rFonts w:cstheme="minorHAnsi"/>
          <w:sz w:val="18"/>
        </w:rPr>
        <w:lastRenderedPageBreak/>
        <w:t xml:space="preserve">All Troy Prep scholars must complete the minimum 25 required course credits as outlined below. One weight bearing credit is a least 120 seat hours. All courses listed below will be given a letter grade and carry GPA and credit weight. </w:t>
      </w:r>
    </w:p>
    <w:tbl>
      <w:tblPr>
        <w:tblStyle w:val="TableGrid1"/>
        <w:tblW w:w="0" w:type="auto"/>
        <w:tblLook w:val="04A0" w:firstRow="1" w:lastRow="0" w:firstColumn="1" w:lastColumn="0" w:noHBand="0" w:noVBand="1"/>
      </w:tblPr>
      <w:tblGrid>
        <w:gridCol w:w="1084"/>
        <w:gridCol w:w="979"/>
        <w:gridCol w:w="976"/>
        <w:gridCol w:w="2724"/>
        <w:gridCol w:w="3587"/>
      </w:tblGrid>
      <w:tr w:rsidR="00562C78" w:rsidRPr="00AE7603" w14:paraId="3B440627" w14:textId="77777777" w:rsidTr="00226147">
        <w:tc>
          <w:tcPr>
            <w:tcW w:w="1098" w:type="dxa"/>
            <w:shd w:val="clear" w:color="auto" w:fill="FFC000"/>
          </w:tcPr>
          <w:p w14:paraId="7CE0E59B"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Content</w:t>
            </w:r>
          </w:p>
        </w:tc>
        <w:tc>
          <w:tcPr>
            <w:tcW w:w="990" w:type="dxa"/>
            <w:shd w:val="clear" w:color="auto" w:fill="FFC000"/>
          </w:tcPr>
          <w:p w14:paraId="5AD57759"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Credits</w:t>
            </w:r>
          </w:p>
        </w:tc>
        <w:tc>
          <w:tcPr>
            <w:tcW w:w="990" w:type="dxa"/>
            <w:shd w:val="clear" w:color="auto" w:fill="FFC000"/>
          </w:tcPr>
          <w:p w14:paraId="4A507DE7"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Grade</w:t>
            </w:r>
          </w:p>
        </w:tc>
        <w:tc>
          <w:tcPr>
            <w:tcW w:w="2790" w:type="dxa"/>
            <w:shd w:val="clear" w:color="auto" w:fill="FFC000"/>
          </w:tcPr>
          <w:p w14:paraId="0CFAE854"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Course Title</w:t>
            </w:r>
          </w:p>
        </w:tc>
        <w:tc>
          <w:tcPr>
            <w:tcW w:w="3708" w:type="dxa"/>
            <w:shd w:val="clear" w:color="auto" w:fill="FFC000"/>
          </w:tcPr>
          <w:p w14:paraId="10AF9717"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Frequency</w:t>
            </w:r>
          </w:p>
        </w:tc>
      </w:tr>
      <w:tr w:rsidR="00562C78" w:rsidRPr="00AE7603" w14:paraId="71D4E1E7" w14:textId="77777777" w:rsidTr="00226147">
        <w:tc>
          <w:tcPr>
            <w:tcW w:w="1098" w:type="dxa"/>
            <w:vMerge w:val="restart"/>
            <w:vAlign w:val="center"/>
          </w:tcPr>
          <w:p w14:paraId="3BACD3DF"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English</w:t>
            </w:r>
          </w:p>
        </w:tc>
        <w:tc>
          <w:tcPr>
            <w:tcW w:w="990" w:type="dxa"/>
            <w:vMerge w:val="restart"/>
            <w:vAlign w:val="center"/>
          </w:tcPr>
          <w:p w14:paraId="7048D359"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4</w:t>
            </w:r>
          </w:p>
        </w:tc>
        <w:tc>
          <w:tcPr>
            <w:tcW w:w="990" w:type="dxa"/>
          </w:tcPr>
          <w:p w14:paraId="34E0E628"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9</w:t>
            </w:r>
            <w:r w:rsidRPr="00AE7603">
              <w:rPr>
                <w:rFonts w:asciiTheme="minorHAnsi" w:hAnsiTheme="minorHAnsi" w:cstheme="minorHAnsi"/>
                <w:sz w:val="18"/>
                <w:vertAlign w:val="superscript"/>
              </w:rPr>
              <w:t>th</w:t>
            </w:r>
          </w:p>
        </w:tc>
        <w:tc>
          <w:tcPr>
            <w:tcW w:w="2790" w:type="dxa"/>
          </w:tcPr>
          <w:p w14:paraId="32EA6ADE"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English I</w:t>
            </w:r>
          </w:p>
        </w:tc>
        <w:tc>
          <w:tcPr>
            <w:tcW w:w="3708" w:type="dxa"/>
            <w:vMerge w:val="restart"/>
            <w:vAlign w:val="center"/>
          </w:tcPr>
          <w:p w14:paraId="6612946C"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6-7x/week, at least 50 min per day, all 4 years, 1 credit per year</w:t>
            </w:r>
          </w:p>
        </w:tc>
      </w:tr>
      <w:tr w:rsidR="00562C78" w:rsidRPr="00AE7603" w14:paraId="2CA5FFE9" w14:textId="77777777" w:rsidTr="00226147">
        <w:tc>
          <w:tcPr>
            <w:tcW w:w="1098" w:type="dxa"/>
            <w:vMerge/>
          </w:tcPr>
          <w:p w14:paraId="0EEB3FA0" w14:textId="77777777" w:rsidR="00562C78" w:rsidRPr="00AE7603" w:rsidRDefault="00562C78" w:rsidP="00226147">
            <w:pPr>
              <w:jc w:val="center"/>
              <w:rPr>
                <w:rFonts w:asciiTheme="minorHAnsi" w:hAnsiTheme="minorHAnsi" w:cstheme="minorHAnsi"/>
                <w:sz w:val="18"/>
              </w:rPr>
            </w:pPr>
          </w:p>
        </w:tc>
        <w:tc>
          <w:tcPr>
            <w:tcW w:w="990" w:type="dxa"/>
            <w:vMerge/>
          </w:tcPr>
          <w:p w14:paraId="71F49565" w14:textId="77777777" w:rsidR="00562C78" w:rsidRPr="00AE7603" w:rsidRDefault="00562C78" w:rsidP="00226147">
            <w:pPr>
              <w:jc w:val="center"/>
              <w:rPr>
                <w:rFonts w:asciiTheme="minorHAnsi" w:hAnsiTheme="minorHAnsi" w:cstheme="minorHAnsi"/>
                <w:sz w:val="18"/>
              </w:rPr>
            </w:pPr>
          </w:p>
        </w:tc>
        <w:tc>
          <w:tcPr>
            <w:tcW w:w="990" w:type="dxa"/>
          </w:tcPr>
          <w:p w14:paraId="4F142D57"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10</w:t>
            </w:r>
            <w:r w:rsidRPr="00AE7603">
              <w:rPr>
                <w:rFonts w:asciiTheme="minorHAnsi" w:hAnsiTheme="minorHAnsi" w:cstheme="minorHAnsi"/>
                <w:sz w:val="18"/>
                <w:vertAlign w:val="superscript"/>
              </w:rPr>
              <w:t>th</w:t>
            </w:r>
          </w:p>
        </w:tc>
        <w:tc>
          <w:tcPr>
            <w:tcW w:w="2790" w:type="dxa"/>
          </w:tcPr>
          <w:p w14:paraId="541C40F0"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 xml:space="preserve">Pre-AP English Literature </w:t>
            </w:r>
          </w:p>
          <w:p w14:paraId="5AF42B53"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or</w:t>
            </w:r>
          </w:p>
          <w:p w14:paraId="642EFDD2"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English Literature and Composition</w:t>
            </w:r>
          </w:p>
        </w:tc>
        <w:tc>
          <w:tcPr>
            <w:tcW w:w="3708" w:type="dxa"/>
            <w:vMerge/>
          </w:tcPr>
          <w:p w14:paraId="79CC45FD" w14:textId="77777777" w:rsidR="00562C78" w:rsidRPr="00AE7603" w:rsidRDefault="00562C78" w:rsidP="00226147">
            <w:pPr>
              <w:jc w:val="center"/>
              <w:rPr>
                <w:rFonts w:asciiTheme="minorHAnsi" w:hAnsiTheme="minorHAnsi" w:cstheme="minorHAnsi"/>
                <w:sz w:val="18"/>
              </w:rPr>
            </w:pPr>
          </w:p>
        </w:tc>
      </w:tr>
      <w:tr w:rsidR="00562C78" w:rsidRPr="00AE7603" w14:paraId="5B65F71B" w14:textId="77777777" w:rsidTr="00226147">
        <w:tc>
          <w:tcPr>
            <w:tcW w:w="1098" w:type="dxa"/>
            <w:vMerge/>
          </w:tcPr>
          <w:p w14:paraId="77575101" w14:textId="77777777" w:rsidR="00562C78" w:rsidRPr="00AE7603" w:rsidRDefault="00562C78" w:rsidP="00226147">
            <w:pPr>
              <w:jc w:val="center"/>
              <w:rPr>
                <w:rFonts w:asciiTheme="minorHAnsi" w:hAnsiTheme="minorHAnsi" w:cstheme="minorHAnsi"/>
                <w:sz w:val="18"/>
              </w:rPr>
            </w:pPr>
          </w:p>
        </w:tc>
        <w:tc>
          <w:tcPr>
            <w:tcW w:w="990" w:type="dxa"/>
            <w:vMerge/>
          </w:tcPr>
          <w:p w14:paraId="6BCB7884" w14:textId="77777777" w:rsidR="00562C78" w:rsidRPr="00AE7603" w:rsidRDefault="00562C78" w:rsidP="00226147">
            <w:pPr>
              <w:jc w:val="center"/>
              <w:rPr>
                <w:rFonts w:asciiTheme="minorHAnsi" w:hAnsiTheme="minorHAnsi" w:cstheme="minorHAnsi"/>
                <w:sz w:val="18"/>
              </w:rPr>
            </w:pPr>
          </w:p>
        </w:tc>
        <w:tc>
          <w:tcPr>
            <w:tcW w:w="990" w:type="dxa"/>
          </w:tcPr>
          <w:p w14:paraId="77DB422E"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11</w:t>
            </w:r>
            <w:r w:rsidRPr="00AE7603">
              <w:rPr>
                <w:rFonts w:asciiTheme="minorHAnsi" w:hAnsiTheme="minorHAnsi" w:cstheme="minorHAnsi"/>
                <w:sz w:val="18"/>
                <w:vertAlign w:val="superscript"/>
              </w:rPr>
              <w:t>th</w:t>
            </w:r>
          </w:p>
        </w:tc>
        <w:tc>
          <w:tcPr>
            <w:tcW w:w="2790" w:type="dxa"/>
          </w:tcPr>
          <w:p w14:paraId="3186E402"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English III</w:t>
            </w:r>
          </w:p>
          <w:p w14:paraId="1EE5FFF6"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 xml:space="preserve">or </w:t>
            </w:r>
          </w:p>
          <w:p w14:paraId="78995508"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English Language and Composition</w:t>
            </w:r>
          </w:p>
        </w:tc>
        <w:tc>
          <w:tcPr>
            <w:tcW w:w="3708" w:type="dxa"/>
            <w:vMerge/>
          </w:tcPr>
          <w:p w14:paraId="2D601DDA" w14:textId="77777777" w:rsidR="00562C78" w:rsidRPr="00AE7603" w:rsidRDefault="00562C78" w:rsidP="00226147">
            <w:pPr>
              <w:jc w:val="center"/>
              <w:rPr>
                <w:rFonts w:asciiTheme="minorHAnsi" w:hAnsiTheme="minorHAnsi" w:cstheme="minorHAnsi"/>
                <w:sz w:val="18"/>
              </w:rPr>
            </w:pPr>
          </w:p>
        </w:tc>
      </w:tr>
      <w:tr w:rsidR="00562C78" w:rsidRPr="00AE7603" w14:paraId="5F5D5823" w14:textId="77777777" w:rsidTr="00226147">
        <w:tc>
          <w:tcPr>
            <w:tcW w:w="1098" w:type="dxa"/>
            <w:vMerge/>
          </w:tcPr>
          <w:p w14:paraId="71C5A883" w14:textId="77777777" w:rsidR="00562C78" w:rsidRPr="00AE7603" w:rsidRDefault="00562C78" w:rsidP="00226147">
            <w:pPr>
              <w:jc w:val="center"/>
              <w:rPr>
                <w:rFonts w:asciiTheme="minorHAnsi" w:hAnsiTheme="minorHAnsi" w:cstheme="minorHAnsi"/>
                <w:sz w:val="18"/>
              </w:rPr>
            </w:pPr>
          </w:p>
        </w:tc>
        <w:tc>
          <w:tcPr>
            <w:tcW w:w="990" w:type="dxa"/>
            <w:vMerge/>
          </w:tcPr>
          <w:p w14:paraId="46DEA466" w14:textId="77777777" w:rsidR="00562C78" w:rsidRPr="00AE7603" w:rsidRDefault="00562C78" w:rsidP="00226147">
            <w:pPr>
              <w:jc w:val="center"/>
              <w:rPr>
                <w:rFonts w:asciiTheme="minorHAnsi" w:hAnsiTheme="minorHAnsi" w:cstheme="minorHAnsi"/>
                <w:sz w:val="18"/>
              </w:rPr>
            </w:pPr>
          </w:p>
        </w:tc>
        <w:tc>
          <w:tcPr>
            <w:tcW w:w="990" w:type="dxa"/>
          </w:tcPr>
          <w:p w14:paraId="6655ABCD"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12</w:t>
            </w:r>
            <w:r w:rsidRPr="00AE7603">
              <w:rPr>
                <w:rFonts w:asciiTheme="minorHAnsi" w:hAnsiTheme="minorHAnsi" w:cstheme="minorHAnsi"/>
                <w:sz w:val="18"/>
                <w:vertAlign w:val="superscript"/>
              </w:rPr>
              <w:t>th</w:t>
            </w:r>
          </w:p>
        </w:tc>
        <w:tc>
          <w:tcPr>
            <w:tcW w:w="2790" w:type="dxa"/>
          </w:tcPr>
          <w:p w14:paraId="7FACD400"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English Elective or AP English options</w:t>
            </w:r>
          </w:p>
        </w:tc>
        <w:tc>
          <w:tcPr>
            <w:tcW w:w="3708" w:type="dxa"/>
            <w:vMerge/>
          </w:tcPr>
          <w:p w14:paraId="244DFFDC" w14:textId="77777777" w:rsidR="00562C78" w:rsidRPr="00AE7603" w:rsidRDefault="00562C78" w:rsidP="00226147">
            <w:pPr>
              <w:jc w:val="center"/>
              <w:rPr>
                <w:rFonts w:asciiTheme="minorHAnsi" w:hAnsiTheme="minorHAnsi" w:cstheme="minorHAnsi"/>
                <w:sz w:val="18"/>
              </w:rPr>
            </w:pPr>
          </w:p>
        </w:tc>
      </w:tr>
      <w:tr w:rsidR="00562C78" w:rsidRPr="00AE7603" w14:paraId="4F2A2449" w14:textId="77777777" w:rsidTr="00226147">
        <w:tc>
          <w:tcPr>
            <w:tcW w:w="1098" w:type="dxa"/>
            <w:vMerge w:val="restart"/>
            <w:vAlign w:val="center"/>
          </w:tcPr>
          <w:p w14:paraId="1B0B1FEB"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Math</w:t>
            </w:r>
          </w:p>
        </w:tc>
        <w:tc>
          <w:tcPr>
            <w:tcW w:w="990" w:type="dxa"/>
            <w:vMerge w:val="restart"/>
            <w:vAlign w:val="center"/>
          </w:tcPr>
          <w:p w14:paraId="14D42EC0"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4</w:t>
            </w:r>
          </w:p>
        </w:tc>
        <w:tc>
          <w:tcPr>
            <w:tcW w:w="990" w:type="dxa"/>
          </w:tcPr>
          <w:p w14:paraId="2B122DF4"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9</w:t>
            </w:r>
            <w:r w:rsidRPr="00AE7603">
              <w:rPr>
                <w:rFonts w:asciiTheme="minorHAnsi" w:hAnsiTheme="minorHAnsi" w:cstheme="minorHAnsi"/>
                <w:sz w:val="18"/>
                <w:vertAlign w:val="superscript"/>
              </w:rPr>
              <w:t>th</w:t>
            </w:r>
          </w:p>
        </w:tc>
        <w:tc>
          <w:tcPr>
            <w:tcW w:w="2790" w:type="dxa"/>
          </w:tcPr>
          <w:p w14:paraId="7379B7F0"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Algebra I or Geometry</w:t>
            </w:r>
          </w:p>
        </w:tc>
        <w:tc>
          <w:tcPr>
            <w:tcW w:w="3708" w:type="dxa"/>
            <w:vMerge w:val="restart"/>
            <w:vAlign w:val="center"/>
          </w:tcPr>
          <w:p w14:paraId="1F926B46"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6-7x/week, at least 50 min per day, all 4 years, 1 credit per year</w:t>
            </w:r>
          </w:p>
        </w:tc>
      </w:tr>
      <w:tr w:rsidR="00562C78" w:rsidRPr="00AE7603" w14:paraId="7D6F3FE9" w14:textId="77777777" w:rsidTr="00226147">
        <w:tc>
          <w:tcPr>
            <w:tcW w:w="1098" w:type="dxa"/>
            <w:vMerge/>
          </w:tcPr>
          <w:p w14:paraId="1EBEE5C7" w14:textId="77777777" w:rsidR="00562C78" w:rsidRPr="00AE7603" w:rsidRDefault="00562C78" w:rsidP="00226147">
            <w:pPr>
              <w:jc w:val="center"/>
              <w:rPr>
                <w:rFonts w:asciiTheme="minorHAnsi" w:hAnsiTheme="minorHAnsi" w:cstheme="minorHAnsi"/>
                <w:sz w:val="18"/>
              </w:rPr>
            </w:pPr>
          </w:p>
        </w:tc>
        <w:tc>
          <w:tcPr>
            <w:tcW w:w="990" w:type="dxa"/>
            <w:vMerge/>
            <w:vAlign w:val="center"/>
          </w:tcPr>
          <w:p w14:paraId="1C81D44B" w14:textId="77777777" w:rsidR="00562C78" w:rsidRPr="00AE7603" w:rsidRDefault="00562C78" w:rsidP="00226147">
            <w:pPr>
              <w:jc w:val="center"/>
              <w:rPr>
                <w:rFonts w:asciiTheme="minorHAnsi" w:hAnsiTheme="minorHAnsi" w:cstheme="minorHAnsi"/>
                <w:sz w:val="18"/>
              </w:rPr>
            </w:pPr>
          </w:p>
        </w:tc>
        <w:tc>
          <w:tcPr>
            <w:tcW w:w="990" w:type="dxa"/>
          </w:tcPr>
          <w:p w14:paraId="3BBA0249"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10</w:t>
            </w:r>
            <w:r w:rsidRPr="00AE7603">
              <w:rPr>
                <w:rFonts w:asciiTheme="minorHAnsi" w:hAnsiTheme="minorHAnsi" w:cstheme="minorHAnsi"/>
                <w:sz w:val="18"/>
                <w:vertAlign w:val="superscript"/>
              </w:rPr>
              <w:t>th</w:t>
            </w:r>
          </w:p>
        </w:tc>
        <w:tc>
          <w:tcPr>
            <w:tcW w:w="2790" w:type="dxa"/>
          </w:tcPr>
          <w:p w14:paraId="69F67778"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Geometry or Algebra II</w:t>
            </w:r>
          </w:p>
        </w:tc>
        <w:tc>
          <w:tcPr>
            <w:tcW w:w="3708" w:type="dxa"/>
            <w:vMerge/>
            <w:vAlign w:val="center"/>
          </w:tcPr>
          <w:p w14:paraId="2F522557" w14:textId="77777777" w:rsidR="00562C78" w:rsidRPr="00AE7603" w:rsidRDefault="00562C78" w:rsidP="00226147">
            <w:pPr>
              <w:jc w:val="center"/>
              <w:rPr>
                <w:rFonts w:asciiTheme="minorHAnsi" w:hAnsiTheme="minorHAnsi" w:cstheme="minorHAnsi"/>
                <w:sz w:val="18"/>
              </w:rPr>
            </w:pPr>
          </w:p>
        </w:tc>
      </w:tr>
      <w:tr w:rsidR="00562C78" w:rsidRPr="00AE7603" w14:paraId="5B533D0E" w14:textId="77777777" w:rsidTr="00226147">
        <w:tc>
          <w:tcPr>
            <w:tcW w:w="1098" w:type="dxa"/>
            <w:vMerge/>
          </w:tcPr>
          <w:p w14:paraId="2FF3CE86" w14:textId="77777777" w:rsidR="00562C78" w:rsidRPr="00AE7603" w:rsidRDefault="00562C78" w:rsidP="00226147">
            <w:pPr>
              <w:jc w:val="center"/>
              <w:rPr>
                <w:rFonts w:asciiTheme="minorHAnsi" w:hAnsiTheme="minorHAnsi" w:cstheme="minorHAnsi"/>
                <w:sz w:val="18"/>
              </w:rPr>
            </w:pPr>
          </w:p>
        </w:tc>
        <w:tc>
          <w:tcPr>
            <w:tcW w:w="990" w:type="dxa"/>
            <w:vMerge/>
            <w:vAlign w:val="center"/>
          </w:tcPr>
          <w:p w14:paraId="3746AE57" w14:textId="77777777" w:rsidR="00562C78" w:rsidRPr="00AE7603" w:rsidRDefault="00562C78" w:rsidP="00226147">
            <w:pPr>
              <w:jc w:val="center"/>
              <w:rPr>
                <w:rFonts w:asciiTheme="minorHAnsi" w:hAnsiTheme="minorHAnsi" w:cstheme="minorHAnsi"/>
                <w:sz w:val="18"/>
              </w:rPr>
            </w:pPr>
          </w:p>
        </w:tc>
        <w:tc>
          <w:tcPr>
            <w:tcW w:w="990" w:type="dxa"/>
          </w:tcPr>
          <w:p w14:paraId="2D9B1A45"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11</w:t>
            </w:r>
            <w:r w:rsidRPr="00AE7603">
              <w:rPr>
                <w:rFonts w:asciiTheme="minorHAnsi" w:hAnsiTheme="minorHAnsi" w:cstheme="minorHAnsi"/>
                <w:sz w:val="18"/>
                <w:vertAlign w:val="superscript"/>
              </w:rPr>
              <w:t>th</w:t>
            </w:r>
          </w:p>
        </w:tc>
        <w:tc>
          <w:tcPr>
            <w:tcW w:w="2790" w:type="dxa"/>
          </w:tcPr>
          <w:p w14:paraId="324B9AAA"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Algebra II or Pre-AP Calculus</w:t>
            </w:r>
          </w:p>
        </w:tc>
        <w:tc>
          <w:tcPr>
            <w:tcW w:w="3708" w:type="dxa"/>
            <w:vMerge/>
            <w:vAlign w:val="center"/>
          </w:tcPr>
          <w:p w14:paraId="19793E2E" w14:textId="77777777" w:rsidR="00562C78" w:rsidRPr="00AE7603" w:rsidRDefault="00562C78" w:rsidP="00226147">
            <w:pPr>
              <w:jc w:val="center"/>
              <w:rPr>
                <w:rFonts w:asciiTheme="minorHAnsi" w:hAnsiTheme="minorHAnsi" w:cstheme="minorHAnsi"/>
                <w:sz w:val="18"/>
              </w:rPr>
            </w:pPr>
          </w:p>
        </w:tc>
      </w:tr>
      <w:tr w:rsidR="00562C78" w:rsidRPr="00AE7603" w14:paraId="23D01A71" w14:textId="77777777" w:rsidTr="00226147">
        <w:tc>
          <w:tcPr>
            <w:tcW w:w="1098" w:type="dxa"/>
            <w:vMerge/>
          </w:tcPr>
          <w:p w14:paraId="235A33D4" w14:textId="77777777" w:rsidR="00562C78" w:rsidRPr="00AE7603" w:rsidRDefault="00562C78" w:rsidP="00226147">
            <w:pPr>
              <w:jc w:val="center"/>
              <w:rPr>
                <w:rFonts w:asciiTheme="minorHAnsi" w:hAnsiTheme="minorHAnsi" w:cstheme="minorHAnsi"/>
                <w:sz w:val="18"/>
              </w:rPr>
            </w:pPr>
          </w:p>
        </w:tc>
        <w:tc>
          <w:tcPr>
            <w:tcW w:w="990" w:type="dxa"/>
            <w:vMerge/>
            <w:vAlign w:val="center"/>
          </w:tcPr>
          <w:p w14:paraId="56831B83" w14:textId="77777777" w:rsidR="00562C78" w:rsidRPr="00AE7603" w:rsidRDefault="00562C78" w:rsidP="00226147">
            <w:pPr>
              <w:jc w:val="center"/>
              <w:rPr>
                <w:rFonts w:asciiTheme="minorHAnsi" w:hAnsiTheme="minorHAnsi" w:cstheme="minorHAnsi"/>
                <w:sz w:val="18"/>
              </w:rPr>
            </w:pPr>
          </w:p>
        </w:tc>
        <w:tc>
          <w:tcPr>
            <w:tcW w:w="990" w:type="dxa"/>
          </w:tcPr>
          <w:p w14:paraId="7EC36613"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12</w:t>
            </w:r>
            <w:r w:rsidRPr="00AE7603">
              <w:rPr>
                <w:rFonts w:asciiTheme="minorHAnsi" w:hAnsiTheme="minorHAnsi" w:cstheme="minorHAnsi"/>
                <w:sz w:val="18"/>
                <w:vertAlign w:val="superscript"/>
              </w:rPr>
              <w:t>th</w:t>
            </w:r>
          </w:p>
        </w:tc>
        <w:tc>
          <w:tcPr>
            <w:tcW w:w="2790" w:type="dxa"/>
          </w:tcPr>
          <w:p w14:paraId="292FDFEA"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Pre-AP Calculus, AP Calculus AB, or AP Calculus BC</w:t>
            </w:r>
          </w:p>
        </w:tc>
        <w:tc>
          <w:tcPr>
            <w:tcW w:w="3708" w:type="dxa"/>
            <w:vMerge/>
            <w:vAlign w:val="center"/>
          </w:tcPr>
          <w:p w14:paraId="2CADD4F9" w14:textId="77777777" w:rsidR="00562C78" w:rsidRPr="00AE7603" w:rsidRDefault="00562C78" w:rsidP="00226147">
            <w:pPr>
              <w:jc w:val="center"/>
              <w:rPr>
                <w:rFonts w:asciiTheme="minorHAnsi" w:hAnsiTheme="minorHAnsi" w:cstheme="minorHAnsi"/>
                <w:sz w:val="18"/>
              </w:rPr>
            </w:pPr>
          </w:p>
        </w:tc>
      </w:tr>
      <w:tr w:rsidR="00562C78" w:rsidRPr="00AE7603" w14:paraId="1E1B624C" w14:textId="77777777" w:rsidTr="00226147">
        <w:tc>
          <w:tcPr>
            <w:tcW w:w="1098" w:type="dxa"/>
            <w:vMerge w:val="restart"/>
            <w:vAlign w:val="center"/>
          </w:tcPr>
          <w:p w14:paraId="01932D8F"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History</w:t>
            </w:r>
          </w:p>
        </w:tc>
        <w:tc>
          <w:tcPr>
            <w:tcW w:w="990" w:type="dxa"/>
            <w:vMerge w:val="restart"/>
            <w:vAlign w:val="center"/>
          </w:tcPr>
          <w:p w14:paraId="06476586"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3</w:t>
            </w:r>
          </w:p>
        </w:tc>
        <w:tc>
          <w:tcPr>
            <w:tcW w:w="990" w:type="dxa"/>
          </w:tcPr>
          <w:p w14:paraId="7C0E7D59"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9</w:t>
            </w:r>
            <w:r w:rsidRPr="00AE7603">
              <w:rPr>
                <w:rFonts w:asciiTheme="minorHAnsi" w:hAnsiTheme="minorHAnsi" w:cstheme="minorHAnsi"/>
                <w:sz w:val="18"/>
                <w:vertAlign w:val="superscript"/>
              </w:rPr>
              <w:t>th</w:t>
            </w:r>
          </w:p>
        </w:tc>
        <w:tc>
          <w:tcPr>
            <w:tcW w:w="2790" w:type="dxa"/>
          </w:tcPr>
          <w:p w14:paraId="52EBC975"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 xml:space="preserve">Pre-AP World History </w:t>
            </w:r>
          </w:p>
        </w:tc>
        <w:tc>
          <w:tcPr>
            <w:tcW w:w="3708" w:type="dxa"/>
            <w:vMerge w:val="restart"/>
            <w:vAlign w:val="center"/>
          </w:tcPr>
          <w:p w14:paraId="3A9C6D56"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5x/week, at least 50 min per day, 3 years, 1 credit per year</w:t>
            </w:r>
          </w:p>
        </w:tc>
      </w:tr>
      <w:tr w:rsidR="00562C78" w:rsidRPr="00AE7603" w14:paraId="2746A5B0" w14:textId="77777777" w:rsidTr="00226147">
        <w:tc>
          <w:tcPr>
            <w:tcW w:w="1098" w:type="dxa"/>
            <w:vMerge/>
            <w:vAlign w:val="center"/>
          </w:tcPr>
          <w:p w14:paraId="1B96C039" w14:textId="77777777" w:rsidR="00562C78" w:rsidRPr="00AE7603" w:rsidRDefault="00562C78" w:rsidP="00226147">
            <w:pPr>
              <w:jc w:val="center"/>
              <w:rPr>
                <w:rFonts w:asciiTheme="minorHAnsi" w:hAnsiTheme="minorHAnsi" w:cstheme="minorHAnsi"/>
                <w:sz w:val="18"/>
              </w:rPr>
            </w:pPr>
          </w:p>
        </w:tc>
        <w:tc>
          <w:tcPr>
            <w:tcW w:w="990" w:type="dxa"/>
            <w:vMerge/>
          </w:tcPr>
          <w:p w14:paraId="0159108B" w14:textId="77777777" w:rsidR="00562C78" w:rsidRPr="00AE7603" w:rsidRDefault="00562C78" w:rsidP="00226147">
            <w:pPr>
              <w:jc w:val="center"/>
              <w:rPr>
                <w:rFonts w:asciiTheme="minorHAnsi" w:hAnsiTheme="minorHAnsi" w:cstheme="minorHAnsi"/>
                <w:sz w:val="18"/>
              </w:rPr>
            </w:pPr>
          </w:p>
        </w:tc>
        <w:tc>
          <w:tcPr>
            <w:tcW w:w="990" w:type="dxa"/>
          </w:tcPr>
          <w:p w14:paraId="50DC630F"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10</w:t>
            </w:r>
            <w:r w:rsidRPr="00AE7603">
              <w:rPr>
                <w:rFonts w:asciiTheme="minorHAnsi" w:hAnsiTheme="minorHAnsi" w:cstheme="minorHAnsi"/>
                <w:sz w:val="18"/>
                <w:vertAlign w:val="superscript"/>
              </w:rPr>
              <w:t>th</w:t>
            </w:r>
          </w:p>
        </w:tc>
        <w:tc>
          <w:tcPr>
            <w:tcW w:w="2790" w:type="dxa"/>
          </w:tcPr>
          <w:p w14:paraId="31D129FE"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World History or World History II</w:t>
            </w:r>
          </w:p>
        </w:tc>
        <w:tc>
          <w:tcPr>
            <w:tcW w:w="3708" w:type="dxa"/>
            <w:vMerge/>
            <w:vAlign w:val="center"/>
          </w:tcPr>
          <w:p w14:paraId="4044B7A9" w14:textId="77777777" w:rsidR="00562C78" w:rsidRPr="00AE7603" w:rsidRDefault="00562C78" w:rsidP="00226147">
            <w:pPr>
              <w:jc w:val="center"/>
              <w:rPr>
                <w:rFonts w:asciiTheme="minorHAnsi" w:hAnsiTheme="minorHAnsi" w:cstheme="minorHAnsi"/>
                <w:sz w:val="18"/>
              </w:rPr>
            </w:pPr>
          </w:p>
        </w:tc>
      </w:tr>
      <w:tr w:rsidR="00562C78" w:rsidRPr="00AE7603" w14:paraId="48D4B0DB" w14:textId="77777777" w:rsidTr="00226147">
        <w:tc>
          <w:tcPr>
            <w:tcW w:w="1098" w:type="dxa"/>
            <w:vMerge/>
            <w:vAlign w:val="center"/>
          </w:tcPr>
          <w:p w14:paraId="5C4F1BDD" w14:textId="77777777" w:rsidR="00562C78" w:rsidRPr="00AE7603" w:rsidRDefault="00562C78" w:rsidP="00226147">
            <w:pPr>
              <w:jc w:val="center"/>
              <w:rPr>
                <w:rFonts w:asciiTheme="minorHAnsi" w:hAnsiTheme="minorHAnsi" w:cstheme="minorHAnsi"/>
                <w:sz w:val="18"/>
              </w:rPr>
            </w:pPr>
          </w:p>
        </w:tc>
        <w:tc>
          <w:tcPr>
            <w:tcW w:w="990" w:type="dxa"/>
            <w:vMerge/>
          </w:tcPr>
          <w:p w14:paraId="61ECDFB3" w14:textId="77777777" w:rsidR="00562C78" w:rsidRPr="00AE7603" w:rsidRDefault="00562C78" w:rsidP="00226147">
            <w:pPr>
              <w:jc w:val="center"/>
              <w:rPr>
                <w:rFonts w:asciiTheme="minorHAnsi" w:hAnsiTheme="minorHAnsi" w:cstheme="minorHAnsi"/>
                <w:sz w:val="18"/>
              </w:rPr>
            </w:pPr>
          </w:p>
        </w:tc>
        <w:tc>
          <w:tcPr>
            <w:tcW w:w="990" w:type="dxa"/>
          </w:tcPr>
          <w:p w14:paraId="574EBDE0"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11</w:t>
            </w:r>
            <w:r w:rsidRPr="00AE7603">
              <w:rPr>
                <w:rFonts w:asciiTheme="minorHAnsi" w:hAnsiTheme="minorHAnsi" w:cstheme="minorHAnsi"/>
                <w:sz w:val="18"/>
                <w:vertAlign w:val="superscript"/>
              </w:rPr>
              <w:t>th</w:t>
            </w:r>
          </w:p>
        </w:tc>
        <w:tc>
          <w:tcPr>
            <w:tcW w:w="2790" w:type="dxa"/>
          </w:tcPr>
          <w:p w14:paraId="02D73124"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US History or US History I</w:t>
            </w:r>
          </w:p>
        </w:tc>
        <w:tc>
          <w:tcPr>
            <w:tcW w:w="3708" w:type="dxa"/>
            <w:vMerge/>
            <w:vAlign w:val="center"/>
          </w:tcPr>
          <w:p w14:paraId="1484E1BC" w14:textId="77777777" w:rsidR="00562C78" w:rsidRPr="00AE7603" w:rsidRDefault="00562C78" w:rsidP="00226147">
            <w:pPr>
              <w:jc w:val="center"/>
              <w:rPr>
                <w:rFonts w:asciiTheme="minorHAnsi" w:hAnsiTheme="minorHAnsi" w:cstheme="minorHAnsi"/>
                <w:sz w:val="18"/>
              </w:rPr>
            </w:pPr>
          </w:p>
        </w:tc>
      </w:tr>
      <w:tr w:rsidR="00562C78" w:rsidRPr="00AE7603" w14:paraId="6F309D40" w14:textId="77777777" w:rsidTr="00226147">
        <w:tc>
          <w:tcPr>
            <w:tcW w:w="1098" w:type="dxa"/>
            <w:vMerge/>
            <w:vAlign w:val="center"/>
          </w:tcPr>
          <w:p w14:paraId="22919DF3" w14:textId="77777777" w:rsidR="00562C78" w:rsidRPr="00AE7603" w:rsidRDefault="00562C78" w:rsidP="00226147">
            <w:pPr>
              <w:jc w:val="center"/>
              <w:rPr>
                <w:rFonts w:asciiTheme="minorHAnsi" w:hAnsiTheme="minorHAnsi" w:cstheme="minorHAnsi"/>
                <w:sz w:val="18"/>
              </w:rPr>
            </w:pPr>
          </w:p>
        </w:tc>
        <w:tc>
          <w:tcPr>
            <w:tcW w:w="990" w:type="dxa"/>
            <w:vMerge/>
          </w:tcPr>
          <w:p w14:paraId="47652554" w14:textId="77777777" w:rsidR="00562C78" w:rsidRPr="00AE7603" w:rsidRDefault="00562C78" w:rsidP="00226147">
            <w:pPr>
              <w:jc w:val="center"/>
              <w:rPr>
                <w:rFonts w:asciiTheme="minorHAnsi" w:hAnsiTheme="minorHAnsi" w:cstheme="minorHAnsi"/>
                <w:sz w:val="18"/>
              </w:rPr>
            </w:pPr>
          </w:p>
        </w:tc>
        <w:tc>
          <w:tcPr>
            <w:tcW w:w="990" w:type="dxa"/>
          </w:tcPr>
          <w:p w14:paraId="0E55EE3F"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12</w:t>
            </w:r>
            <w:r w:rsidRPr="00AE7603">
              <w:rPr>
                <w:rFonts w:asciiTheme="minorHAnsi" w:hAnsiTheme="minorHAnsi" w:cstheme="minorHAnsi"/>
                <w:sz w:val="18"/>
                <w:vertAlign w:val="superscript"/>
              </w:rPr>
              <w:t>th</w:t>
            </w:r>
          </w:p>
        </w:tc>
        <w:tc>
          <w:tcPr>
            <w:tcW w:w="2790" w:type="dxa"/>
          </w:tcPr>
          <w:p w14:paraId="11A19B7D"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Seminar, AP Research, or History electives</w:t>
            </w:r>
          </w:p>
        </w:tc>
        <w:tc>
          <w:tcPr>
            <w:tcW w:w="3708" w:type="dxa"/>
            <w:vMerge/>
            <w:vAlign w:val="center"/>
          </w:tcPr>
          <w:p w14:paraId="7FD6D183" w14:textId="77777777" w:rsidR="00562C78" w:rsidRPr="00AE7603" w:rsidRDefault="00562C78" w:rsidP="00226147">
            <w:pPr>
              <w:jc w:val="center"/>
              <w:rPr>
                <w:rFonts w:asciiTheme="minorHAnsi" w:hAnsiTheme="minorHAnsi" w:cstheme="minorHAnsi"/>
                <w:sz w:val="18"/>
              </w:rPr>
            </w:pPr>
          </w:p>
        </w:tc>
      </w:tr>
      <w:tr w:rsidR="00562C78" w:rsidRPr="00AE7603" w14:paraId="40529F40" w14:textId="77777777" w:rsidTr="00226147">
        <w:tc>
          <w:tcPr>
            <w:tcW w:w="1098" w:type="dxa"/>
            <w:vMerge w:val="restart"/>
            <w:vAlign w:val="center"/>
          </w:tcPr>
          <w:p w14:paraId="370D9A75"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Science</w:t>
            </w:r>
          </w:p>
        </w:tc>
        <w:tc>
          <w:tcPr>
            <w:tcW w:w="990" w:type="dxa"/>
            <w:vMerge w:val="restart"/>
            <w:vAlign w:val="center"/>
          </w:tcPr>
          <w:p w14:paraId="1FEB5E3C"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3</w:t>
            </w:r>
          </w:p>
        </w:tc>
        <w:tc>
          <w:tcPr>
            <w:tcW w:w="990" w:type="dxa"/>
          </w:tcPr>
          <w:p w14:paraId="238AF492"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9</w:t>
            </w:r>
            <w:r w:rsidRPr="00AE7603">
              <w:rPr>
                <w:rFonts w:asciiTheme="minorHAnsi" w:hAnsiTheme="minorHAnsi" w:cstheme="minorHAnsi"/>
                <w:sz w:val="18"/>
                <w:vertAlign w:val="superscript"/>
              </w:rPr>
              <w:t>th</w:t>
            </w:r>
          </w:p>
        </w:tc>
        <w:tc>
          <w:tcPr>
            <w:tcW w:w="2790" w:type="dxa"/>
          </w:tcPr>
          <w:p w14:paraId="24D55789"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Pre-AP Biology</w:t>
            </w:r>
          </w:p>
        </w:tc>
        <w:tc>
          <w:tcPr>
            <w:tcW w:w="3708" w:type="dxa"/>
            <w:vMerge w:val="restart"/>
            <w:vAlign w:val="center"/>
          </w:tcPr>
          <w:p w14:paraId="278BFC16" w14:textId="77777777" w:rsidR="00562C78" w:rsidRPr="00AE7603" w:rsidRDefault="00562C78" w:rsidP="00226147">
            <w:pPr>
              <w:jc w:val="center"/>
              <w:rPr>
                <w:rFonts w:asciiTheme="minorHAnsi" w:hAnsiTheme="minorHAnsi" w:cstheme="minorHAnsi"/>
                <w:sz w:val="18"/>
              </w:rPr>
            </w:pPr>
            <w:r w:rsidRPr="00AE7603">
              <w:rPr>
                <w:rFonts w:asciiTheme="minorHAnsi" w:hAnsiTheme="minorHAnsi" w:cstheme="minorHAnsi"/>
                <w:sz w:val="18"/>
              </w:rPr>
              <w:t>5-6x/week, at least 50 min per day, 3 years, 1 credit per year</w:t>
            </w:r>
          </w:p>
        </w:tc>
      </w:tr>
      <w:tr w:rsidR="00562C78" w:rsidRPr="00AE7603" w14:paraId="07F24FBF" w14:textId="77777777" w:rsidTr="00226147">
        <w:tc>
          <w:tcPr>
            <w:tcW w:w="1098" w:type="dxa"/>
            <w:vMerge/>
            <w:vAlign w:val="center"/>
          </w:tcPr>
          <w:p w14:paraId="3CB42A20" w14:textId="77777777" w:rsidR="00562C78" w:rsidRPr="00AE7603" w:rsidRDefault="00562C78" w:rsidP="00226147">
            <w:pPr>
              <w:jc w:val="center"/>
              <w:rPr>
                <w:rFonts w:asciiTheme="minorHAnsi" w:hAnsiTheme="minorHAnsi" w:cstheme="minorHAnsi"/>
                <w:sz w:val="18"/>
              </w:rPr>
            </w:pPr>
          </w:p>
        </w:tc>
        <w:tc>
          <w:tcPr>
            <w:tcW w:w="990" w:type="dxa"/>
            <w:vMerge/>
          </w:tcPr>
          <w:p w14:paraId="66C0D93A" w14:textId="77777777" w:rsidR="00562C78" w:rsidRPr="00AE7603" w:rsidRDefault="00562C78" w:rsidP="00226147">
            <w:pPr>
              <w:jc w:val="center"/>
              <w:rPr>
                <w:rFonts w:asciiTheme="minorHAnsi" w:hAnsiTheme="minorHAnsi" w:cstheme="minorHAnsi"/>
                <w:sz w:val="18"/>
              </w:rPr>
            </w:pPr>
          </w:p>
        </w:tc>
        <w:tc>
          <w:tcPr>
            <w:tcW w:w="990" w:type="dxa"/>
          </w:tcPr>
          <w:p w14:paraId="0F5A6A7A"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10</w:t>
            </w:r>
            <w:r w:rsidRPr="00AE7603">
              <w:rPr>
                <w:rFonts w:asciiTheme="minorHAnsi" w:hAnsiTheme="minorHAnsi" w:cstheme="minorHAnsi"/>
                <w:sz w:val="18"/>
                <w:vertAlign w:val="superscript"/>
              </w:rPr>
              <w:t>th</w:t>
            </w:r>
          </w:p>
        </w:tc>
        <w:tc>
          <w:tcPr>
            <w:tcW w:w="2790" w:type="dxa"/>
          </w:tcPr>
          <w:p w14:paraId="1AB38D16"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Pre-AP Chemistry</w:t>
            </w:r>
          </w:p>
        </w:tc>
        <w:tc>
          <w:tcPr>
            <w:tcW w:w="3708" w:type="dxa"/>
            <w:vMerge/>
            <w:vAlign w:val="center"/>
          </w:tcPr>
          <w:p w14:paraId="75383265" w14:textId="77777777" w:rsidR="00562C78" w:rsidRPr="00AE7603" w:rsidRDefault="00562C78" w:rsidP="00226147">
            <w:pPr>
              <w:jc w:val="center"/>
              <w:rPr>
                <w:rFonts w:asciiTheme="minorHAnsi" w:hAnsiTheme="minorHAnsi" w:cstheme="minorHAnsi"/>
                <w:sz w:val="18"/>
              </w:rPr>
            </w:pPr>
          </w:p>
        </w:tc>
      </w:tr>
      <w:tr w:rsidR="00562C78" w:rsidRPr="00AE7603" w14:paraId="4D6A6362" w14:textId="77777777" w:rsidTr="00226147">
        <w:tc>
          <w:tcPr>
            <w:tcW w:w="1098" w:type="dxa"/>
            <w:vMerge/>
            <w:vAlign w:val="center"/>
          </w:tcPr>
          <w:p w14:paraId="75E9FA05" w14:textId="77777777" w:rsidR="00562C78" w:rsidRPr="00AE7603" w:rsidRDefault="00562C78" w:rsidP="00226147">
            <w:pPr>
              <w:jc w:val="center"/>
              <w:rPr>
                <w:rFonts w:asciiTheme="minorHAnsi" w:hAnsiTheme="minorHAnsi" w:cstheme="minorHAnsi"/>
                <w:sz w:val="18"/>
              </w:rPr>
            </w:pPr>
          </w:p>
        </w:tc>
        <w:tc>
          <w:tcPr>
            <w:tcW w:w="990" w:type="dxa"/>
            <w:vMerge/>
          </w:tcPr>
          <w:p w14:paraId="2C299564" w14:textId="77777777" w:rsidR="00562C78" w:rsidRPr="00AE7603" w:rsidRDefault="00562C78" w:rsidP="00226147">
            <w:pPr>
              <w:jc w:val="center"/>
              <w:rPr>
                <w:rFonts w:asciiTheme="minorHAnsi" w:hAnsiTheme="minorHAnsi" w:cstheme="minorHAnsi"/>
                <w:sz w:val="18"/>
              </w:rPr>
            </w:pPr>
          </w:p>
        </w:tc>
        <w:tc>
          <w:tcPr>
            <w:tcW w:w="990" w:type="dxa"/>
          </w:tcPr>
          <w:p w14:paraId="5254F5AB"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11</w:t>
            </w:r>
            <w:r w:rsidRPr="00AE7603">
              <w:rPr>
                <w:rFonts w:asciiTheme="minorHAnsi" w:hAnsiTheme="minorHAnsi" w:cstheme="minorHAnsi"/>
                <w:sz w:val="18"/>
                <w:vertAlign w:val="superscript"/>
              </w:rPr>
              <w:t>th</w:t>
            </w:r>
          </w:p>
        </w:tc>
        <w:tc>
          <w:tcPr>
            <w:tcW w:w="2790" w:type="dxa"/>
          </w:tcPr>
          <w:p w14:paraId="206180E2"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Biology, AP Chemistry, AP Physics 1, Physics</w:t>
            </w:r>
          </w:p>
        </w:tc>
        <w:tc>
          <w:tcPr>
            <w:tcW w:w="3708" w:type="dxa"/>
            <w:vMerge/>
            <w:vAlign w:val="center"/>
          </w:tcPr>
          <w:p w14:paraId="579A16D2" w14:textId="77777777" w:rsidR="00562C78" w:rsidRPr="00AE7603" w:rsidRDefault="00562C78" w:rsidP="00226147">
            <w:pPr>
              <w:jc w:val="center"/>
              <w:rPr>
                <w:rFonts w:asciiTheme="minorHAnsi" w:hAnsiTheme="minorHAnsi" w:cstheme="minorHAnsi"/>
                <w:sz w:val="18"/>
              </w:rPr>
            </w:pPr>
          </w:p>
        </w:tc>
      </w:tr>
      <w:tr w:rsidR="00562C78" w:rsidRPr="00AE7603" w14:paraId="1949933E" w14:textId="77777777" w:rsidTr="00226147">
        <w:tc>
          <w:tcPr>
            <w:tcW w:w="1098" w:type="dxa"/>
            <w:vMerge/>
            <w:vAlign w:val="center"/>
          </w:tcPr>
          <w:p w14:paraId="0573926D" w14:textId="77777777" w:rsidR="00562C78" w:rsidRPr="00AE7603" w:rsidRDefault="00562C78" w:rsidP="00226147">
            <w:pPr>
              <w:jc w:val="center"/>
              <w:rPr>
                <w:rFonts w:asciiTheme="minorHAnsi" w:hAnsiTheme="minorHAnsi" w:cstheme="minorHAnsi"/>
                <w:sz w:val="18"/>
              </w:rPr>
            </w:pPr>
          </w:p>
        </w:tc>
        <w:tc>
          <w:tcPr>
            <w:tcW w:w="990" w:type="dxa"/>
            <w:vMerge/>
          </w:tcPr>
          <w:p w14:paraId="3DC521AF" w14:textId="77777777" w:rsidR="00562C78" w:rsidRPr="00AE7603" w:rsidRDefault="00562C78" w:rsidP="00226147">
            <w:pPr>
              <w:jc w:val="center"/>
              <w:rPr>
                <w:rFonts w:asciiTheme="minorHAnsi" w:hAnsiTheme="minorHAnsi" w:cstheme="minorHAnsi"/>
                <w:sz w:val="18"/>
              </w:rPr>
            </w:pPr>
          </w:p>
        </w:tc>
        <w:tc>
          <w:tcPr>
            <w:tcW w:w="990" w:type="dxa"/>
          </w:tcPr>
          <w:p w14:paraId="4EAA185B"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12</w:t>
            </w:r>
            <w:r w:rsidRPr="00AE7603">
              <w:rPr>
                <w:rFonts w:asciiTheme="minorHAnsi" w:hAnsiTheme="minorHAnsi" w:cstheme="minorHAnsi"/>
                <w:sz w:val="18"/>
                <w:vertAlign w:val="superscript"/>
              </w:rPr>
              <w:t>th</w:t>
            </w:r>
          </w:p>
        </w:tc>
        <w:tc>
          <w:tcPr>
            <w:tcW w:w="2790" w:type="dxa"/>
          </w:tcPr>
          <w:p w14:paraId="6E753678"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AP Biology, AP Chemistry, AP Physics 1, or AP Environmental Science</w:t>
            </w:r>
          </w:p>
        </w:tc>
        <w:tc>
          <w:tcPr>
            <w:tcW w:w="3708" w:type="dxa"/>
            <w:vMerge/>
            <w:vAlign w:val="center"/>
          </w:tcPr>
          <w:p w14:paraId="21B78A83" w14:textId="77777777" w:rsidR="00562C78" w:rsidRPr="00AE7603" w:rsidRDefault="00562C78" w:rsidP="00226147">
            <w:pPr>
              <w:jc w:val="center"/>
              <w:rPr>
                <w:rFonts w:asciiTheme="minorHAnsi" w:hAnsiTheme="minorHAnsi" w:cstheme="minorHAnsi"/>
                <w:sz w:val="18"/>
              </w:rPr>
            </w:pPr>
          </w:p>
        </w:tc>
      </w:tr>
    </w:tbl>
    <w:p w14:paraId="36A26839" w14:textId="77777777" w:rsidR="00562C78" w:rsidRPr="00AE7603" w:rsidRDefault="00562C78" w:rsidP="00562C78">
      <w:pPr>
        <w:rPr>
          <w:rFonts w:cstheme="minorHAnsi"/>
          <w:sz w:val="18"/>
        </w:rPr>
      </w:pPr>
    </w:p>
    <w:tbl>
      <w:tblPr>
        <w:tblStyle w:val="TableGrid1"/>
        <w:tblW w:w="0" w:type="auto"/>
        <w:tblLook w:val="04A0" w:firstRow="1" w:lastRow="0" w:firstColumn="1" w:lastColumn="0" w:noHBand="0" w:noVBand="1"/>
      </w:tblPr>
      <w:tblGrid>
        <w:gridCol w:w="3930"/>
      </w:tblGrid>
      <w:tr w:rsidR="00562C78" w:rsidRPr="00AE7603" w14:paraId="00BAA32D" w14:textId="77777777" w:rsidTr="00226147">
        <w:trPr>
          <w:trHeight w:val="344"/>
        </w:trPr>
        <w:tc>
          <w:tcPr>
            <w:tcW w:w="3930" w:type="dxa"/>
          </w:tcPr>
          <w:p w14:paraId="0F851D1D" w14:textId="77777777" w:rsidR="00562C78" w:rsidRPr="00AE7603" w:rsidRDefault="00562C78" w:rsidP="00226147">
            <w:pPr>
              <w:rPr>
                <w:rFonts w:asciiTheme="minorHAnsi" w:hAnsiTheme="minorHAnsi" w:cstheme="minorHAnsi"/>
                <w:sz w:val="18"/>
              </w:rPr>
            </w:pPr>
            <w:r w:rsidRPr="00AE7603">
              <w:rPr>
                <w:rFonts w:asciiTheme="minorHAnsi" w:hAnsiTheme="minorHAnsi" w:cstheme="minorHAnsi"/>
                <w:sz w:val="18"/>
              </w:rPr>
              <w:t>Credit Equivalen</w:t>
            </w:r>
            <w:r>
              <w:rPr>
                <w:rFonts w:asciiTheme="minorHAnsi" w:hAnsiTheme="minorHAnsi" w:cstheme="minorHAnsi"/>
                <w:sz w:val="18"/>
              </w:rPr>
              <w:t xml:space="preserve">ces </w:t>
            </w:r>
          </w:p>
        </w:tc>
      </w:tr>
      <w:tr w:rsidR="00562C78" w:rsidRPr="00AE7603" w14:paraId="4E8FF091" w14:textId="77777777" w:rsidTr="00226147">
        <w:trPr>
          <w:trHeight w:val="244"/>
        </w:trPr>
        <w:tc>
          <w:tcPr>
            <w:tcW w:w="3930" w:type="dxa"/>
          </w:tcPr>
          <w:p w14:paraId="1312AD52" w14:textId="77777777" w:rsidR="00562C78" w:rsidRPr="00AE7603" w:rsidRDefault="00562C78" w:rsidP="00226147">
            <w:pPr>
              <w:rPr>
                <w:rFonts w:asciiTheme="minorHAnsi" w:hAnsiTheme="minorHAnsi" w:cstheme="minorHAnsi"/>
                <w:sz w:val="18"/>
              </w:rPr>
            </w:pPr>
            <w:r>
              <w:rPr>
                <w:rFonts w:asciiTheme="minorHAnsi" w:hAnsiTheme="minorHAnsi" w:cstheme="minorHAnsi"/>
                <w:sz w:val="18"/>
              </w:rPr>
              <w:t>1 Troy Prep Credit = 2 NYS Credits</w:t>
            </w:r>
          </w:p>
        </w:tc>
      </w:tr>
    </w:tbl>
    <w:p w14:paraId="030CBE7D" w14:textId="77777777" w:rsidR="00562C78" w:rsidRPr="009627A0" w:rsidRDefault="00562C78" w:rsidP="00562C78">
      <w:pPr>
        <w:rPr>
          <w:rFonts w:cstheme="minorHAnsi"/>
        </w:rPr>
      </w:pPr>
    </w:p>
    <w:p w14:paraId="1705C896" w14:textId="77777777" w:rsidR="00562C78" w:rsidRPr="00DD2508" w:rsidRDefault="00562C78" w:rsidP="00BC64E6"/>
    <w:p w14:paraId="7025F26A" w14:textId="5CA5A792" w:rsidR="00BC64E6" w:rsidRPr="00DD2508" w:rsidRDefault="00BC64E6" w:rsidP="52172790">
      <w:pPr>
        <w:pStyle w:val="Heading2"/>
        <w:rPr>
          <w:rFonts w:ascii="Calibri" w:hAnsi="Calibri"/>
        </w:rPr>
      </w:pPr>
      <w:r>
        <w:lastRenderedPageBreak/>
        <w:t xml:space="preserve">Results </w:t>
      </w:r>
      <w:r w:rsidR="00132BB4">
        <w:t>and Evaluation</w:t>
      </w:r>
    </w:p>
    <w:p w14:paraId="431E432D" w14:textId="77BEED30" w:rsidR="00562C78" w:rsidRDefault="00562C78" w:rsidP="00562C78">
      <w:r>
        <w:t>93% of Troy Prep High School students were promoted in the 2018 cohort.  84% of Troy Prep High School students were promoted in the 2019 cohort.</w:t>
      </w:r>
      <w:r w:rsidR="004B25D9">
        <w:t xml:space="preserve"> 78% of Troy Prep High School students were promoted in the 2020 cohort.</w:t>
      </w:r>
    </w:p>
    <w:p w14:paraId="27C96528" w14:textId="0A74E728" w:rsidR="00BC64E6" w:rsidRDefault="00BC64E6" w:rsidP="7D51821A"/>
    <w:p w14:paraId="743A6720" w14:textId="77777777" w:rsidR="00BC64E6" w:rsidRPr="00684173" w:rsidRDefault="00BC64E6" w:rsidP="00BC64E6">
      <w:pPr>
        <w:pStyle w:val="TableHeader"/>
      </w:pPr>
      <w:r w:rsidRPr="00684173">
        <w:t xml:space="preserve">Percent of Students in </w:t>
      </w:r>
      <w:proofErr w:type="gramStart"/>
      <w:r w:rsidRPr="00684173">
        <w:t>First and Second Year</w:t>
      </w:r>
      <w:proofErr w:type="gramEnd"/>
      <w:r w:rsidRPr="00684173">
        <w:t xml:space="preserve"> Cohorts </w:t>
      </w:r>
    </w:p>
    <w:p w14:paraId="7F932E48" w14:textId="55832AC5" w:rsidR="00BC64E6" w:rsidRPr="00684173" w:rsidRDefault="00BC64E6" w:rsidP="00BC64E6">
      <w:pPr>
        <w:pStyle w:val="TableHeader"/>
      </w:pPr>
      <w:r>
        <w:t>Earning the Re</w:t>
      </w:r>
      <w:r w:rsidR="005765F3">
        <w:t>quired Number of Credits in 2020</w:t>
      </w:r>
      <w:r w:rsidR="00CE6E33">
        <w:t>-</w:t>
      </w:r>
      <w:r w:rsidR="005765F3">
        <w:t>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440"/>
        <w:gridCol w:w="1440"/>
      </w:tblGrid>
      <w:tr w:rsidR="00BC64E6" w:rsidRPr="00BC64E6" w14:paraId="25062FCE" w14:textId="77777777" w:rsidTr="7D51821A">
        <w:trPr>
          <w:jc w:val="center"/>
        </w:trPr>
        <w:tc>
          <w:tcPr>
            <w:tcW w:w="1538" w:type="dxa"/>
            <w:vAlign w:val="center"/>
          </w:tcPr>
          <w:p w14:paraId="4C638381" w14:textId="77777777" w:rsidR="00BC64E6" w:rsidRPr="00684173" w:rsidRDefault="00BC64E6" w:rsidP="00317BC5">
            <w:pPr>
              <w:pStyle w:val="TableText"/>
            </w:pPr>
            <w:r w:rsidRPr="00684173">
              <w:t>Cohort Designation</w:t>
            </w:r>
          </w:p>
        </w:tc>
        <w:tc>
          <w:tcPr>
            <w:tcW w:w="1440" w:type="dxa"/>
            <w:vAlign w:val="center"/>
          </w:tcPr>
          <w:p w14:paraId="20B8D5BD" w14:textId="6BE8849C" w:rsidR="00BC64E6" w:rsidRPr="00684173" w:rsidRDefault="00BC64E6" w:rsidP="00317BC5">
            <w:pPr>
              <w:pStyle w:val="TableText"/>
            </w:pPr>
            <w:r>
              <w:t>Number in Cohort</w:t>
            </w:r>
            <w:r w:rsidR="005765F3">
              <w:t xml:space="preserve"> during 2020</w:t>
            </w:r>
            <w:r w:rsidR="00CE6E33">
              <w:t>-</w:t>
            </w:r>
            <w:r w:rsidR="005765F3">
              <w:t>21</w:t>
            </w:r>
          </w:p>
        </w:tc>
        <w:tc>
          <w:tcPr>
            <w:tcW w:w="1440" w:type="dxa"/>
          </w:tcPr>
          <w:p w14:paraId="6DEC8062" w14:textId="77777777" w:rsidR="00BC64E6" w:rsidRPr="00684173" w:rsidRDefault="00BC64E6" w:rsidP="00317BC5">
            <w:pPr>
              <w:pStyle w:val="TableText"/>
            </w:pPr>
            <w:r w:rsidRPr="00684173">
              <w:t xml:space="preserve">Percent promoted </w:t>
            </w:r>
          </w:p>
        </w:tc>
      </w:tr>
      <w:tr w:rsidR="00BC64E6" w:rsidRPr="00BC64E6" w14:paraId="0BAF47D3" w14:textId="77777777" w:rsidTr="7D51821A">
        <w:trPr>
          <w:jc w:val="center"/>
        </w:trPr>
        <w:tc>
          <w:tcPr>
            <w:tcW w:w="1538" w:type="dxa"/>
          </w:tcPr>
          <w:p w14:paraId="7964C394" w14:textId="77BF9B15" w:rsidR="00BC64E6" w:rsidRPr="00684173" w:rsidRDefault="00CE6E33" w:rsidP="00317BC5">
            <w:pPr>
              <w:pStyle w:val="TableText"/>
            </w:pPr>
            <w:r>
              <w:t>201</w:t>
            </w:r>
            <w:r w:rsidR="005765F3">
              <w:t>9</w:t>
            </w:r>
          </w:p>
        </w:tc>
        <w:tc>
          <w:tcPr>
            <w:tcW w:w="1440" w:type="dxa"/>
          </w:tcPr>
          <w:p w14:paraId="29B00B7D" w14:textId="5404E9AB" w:rsidR="00BC64E6" w:rsidRPr="00684173" w:rsidRDefault="00562C78" w:rsidP="00317BC5">
            <w:pPr>
              <w:pStyle w:val="TableText"/>
            </w:pPr>
            <w:r>
              <w:t>51</w:t>
            </w:r>
          </w:p>
        </w:tc>
        <w:tc>
          <w:tcPr>
            <w:tcW w:w="1440" w:type="dxa"/>
          </w:tcPr>
          <w:p w14:paraId="61B584AA" w14:textId="29CAF0BD" w:rsidR="00BC64E6" w:rsidRPr="00684173" w:rsidRDefault="00562C78" w:rsidP="00317BC5">
            <w:pPr>
              <w:pStyle w:val="TableText"/>
            </w:pPr>
            <w:r>
              <w:t>84%</w:t>
            </w:r>
          </w:p>
        </w:tc>
      </w:tr>
      <w:tr w:rsidR="00BC64E6" w:rsidRPr="00DD2508" w14:paraId="5BBED7B7" w14:textId="77777777" w:rsidTr="7D51821A">
        <w:trPr>
          <w:jc w:val="center"/>
        </w:trPr>
        <w:tc>
          <w:tcPr>
            <w:tcW w:w="1538" w:type="dxa"/>
          </w:tcPr>
          <w:p w14:paraId="5E6329DD" w14:textId="166B61BC" w:rsidR="00BC64E6" w:rsidRPr="00DE3E14" w:rsidRDefault="005765F3" w:rsidP="00317BC5">
            <w:pPr>
              <w:pStyle w:val="TableText"/>
            </w:pPr>
            <w:r>
              <w:t>2020</w:t>
            </w:r>
          </w:p>
        </w:tc>
        <w:tc>
          <w:tcPr>
            <w:tcW w:w="1440" w:type="dxa"/>
          </w:tcPr>
          <w:p w14:paraId="1D49F6AD" w14:textId="59CCF873" w:rsidR="00BC64E6" w:rsidRPr="00DE3E14" w:rsidRDefault="005A26F6" w:rsidP="00317BC5">
            <w:pPr>
              <w:pStyle w:val="TableText"/>
            </w:pPr>
            <w:r>
              <w:t>85</w:t>
            </w:r>
          </w:p>
        </w:tc>
        <w:tc>
          <w:tcPr>
            <w:tcW w:w="1440" w:type="dxa"/>
          </w:tcPr>
          <w:p w14:paraId="39891A33" w14:textId="0BE6F396" w:rsidR="00BC64E6" w:rsidRPr="00DE3E14" w:rsidRDefault="005A26F6" w:rsidP="00317BC5">
            <w:pPr>
              <w:pStyle w:val="TableText"/>
            </w:pPr>
            <w:r>
              <w:t>78%</w:t>
            </w:r>
          </w:p>
        </w:tc>
      </w:tr>
    </w:tbl>
    <w:p w14:paraId="4366625E" w14:textId="77777777" w:rsidR="00BC64E6" w:rsidRDefault="00BC64E6" w:rsidP="00BC64E6">
      <w:pPr>
        <w:pStyle w:val="Heading2"/>
      </w:pPr>
      <w:r w:rsidRPr="00DD2508">
        <w:t>Additional Evidence</w:t>
      </w:r>
    </w:p>
    <w:p w14:paraId="4B1F8216" w14:textId="72116116" w:rsidR="005A26F6" w:rsidRPr="00DD2508" w:rsidRDefault="004B25D9" w:rsidP="005A26F6">
      <w:r>
        <w:t xml:space="preserve">Our school continues to meet and exceed this measure year over year. For the past three years, we have had over 75% promotion in our </w:t>
      </w:r>
      <w:proofErr w:type="gramStart"/>
      <w:r>
        <w:t>first and second year</w:t>
      </w:r>
      <w:proofErr w:type="gramEnd"/>
      <w:r>
        <w:t xml:space="preserve"> cohorts.</w:t>
      </w:r>
    </w:p>
    <w:p w14:paraId="15184ABB" w14:textId="7C081701" w:rsidR="00BC64E6" w:rsidRPr="00DD2508" w:rsidRDefault="00BC64E6" w:rsidP="00BC64E6">
      <w:pPr>
        <w:pStyle w:val="MeasureTitle"/>
      </w:pPr>
      <w:r>
        <w:t>Goal 1: Leading Indicator</w:t>
      </w:r>
    </w:p>
    <w:p w14:paraId="5FF7950A" w14:textId="77777777" w:rsidR="00BC64E6" w:rsidRPr="00DD2508" w:rsidRDefault="00BC64E6" w:rsidP="00BC64E6">
      <w:pPr>
        <w:pStyle w:val="MeasureText"/>
      </w:pPr>
      <w:r w:rsidRPr="001130F3">
        <w:t xml:space="preserve">Each year, 75 percent of students in the </w:t>
      </w:r>
      <w:proofErr w:type="gramStart"/>
      <w:r>
        <w:t>second year</w:t>
      </w:r>
      <w:proofErr w:type="gramEnd"/>
      <w:r>
        <w:t xml:space="preserve"> high school Total Graduation </w:t>
      </w:r>
      <w:r w:rsidRPr="001130F3">
        <w:t xml:space="preserve">Cohort will score </w:t>
      </w:r>
      <w:r>
        <w:t>at or above proficient</w:t>
      </w:r>
      <w:r w:rsidRPr="001130F3">
        <w:t xml:space="preserve"> on at least three different New York State Regents exams required for graduation.</w:t>
      </w:r>
      <w:r w:rsidRPr="00DD2508">
        <w:t xml:space="preserve">  </w:t>
      </w:r>
    </w:p>
    <w:p w14:paraId="381D87CF" w14:textId="77777777" w:rsidR="00BC64E6" w:rsidRPr="00DD2508" w:rsidRDefault="00BC64E6" w:rsidP="00BC64E6">
      <w:pPr>
        <w:pStyle w:val="Heading2"/>
      </w:pPr>
      <w:r w:rsidRPr="00DD2508">
        <w:t>Method</w:t>
      </w:r>
    </w:p>
    <w:p w14:paraId="464BFCF5" w14:textId="77777777" w:rsidR="00616126" w:rsidRDefault="00BC64E6" w:rsidP="00BC64E6">
      <w:r>
        <w:t xml:space="preserve">This measure serves as a leading indicator of the performance of high school cohorts and examines their progress towards graduation based on Regents exam passage.  The measure requires that 75 percent of students in each </w:t>
      </w:r>
      <w:r w:rsidR="000032C2">
        <w:t>Graduation C</w:t>
      </w:r>
      <w:r>
        <w:t>ohort have passed at least three Regents exams by their second year in the cohort.</w:t>
      </w:r>
      <w:r w:rsidR="00F78646">
        <w:t xml:space="preserve">  </w:t>
      </w:r>
    </w:p>
    <w:p w14:paraId="57FD10F9" w14:textId="77777777" w:rsidR="005765F3" w:rsidRPr="00616126" w:rsidRDefault="005765F3" w:rsidP="005765F3">
      <w:pPr>
        <w:rPr>
          <w:b/>
        </w:rPr>
      </w:pPr>
      <w:r w:rsidRPr="00616126">
        <w:rPr>
          <w:b/>
        </w:rPr>
        <w:t xml:space="preserve">As a result of the Board of Regents’ guidance regarding the cancellation of </w:t>
      </w:r>
      <w:r>
        <w:rPr>
          <w:b/>
        </w:rPr>
        <w:t>multiple administrations of the Regents exams in 2019-20 and 2020-21</w:t>
      </w:r>
      <w:r w:rsidRPr="00616126">
        <w:rPr>
          <w:b/>
        </w:rPr>
        <w:t>, for the most recent second year cohort schools should report the percentage of students who either passed or were exempted from at least three exams. In August of 20</w:t>
      </w:r>
      <w:r>
        <w:rPr>
          <w:b/>
        </w:rPr>
        <w:t>21</w:t>
      </w:r>
      <w:r w:rsidRPr="00616126">
        <w:rPr>
          <w:b/>
        </w:rPr>
        <w:t>, the 201</w:t>
      </w:r>
      <w:r>
        <w:rPr>
          <w:b/>
        </w:rPr>
        <w:t>9</w:t>
      </w:r>
      <w:r w:rsidRPr="00616126">
        <w:rPr>
          <w:b/>
        </w:rPr>
        <w:t xml:space="preserve"> cohort will have completed its second year.</w:t>
      </w:r>
    </w:p>
    <w:p w14:paraId="12A1AB6B" w14:textId="77777777" w:rsidR="00BC64E6" w:rsidRPr="00422A98" w:rsidRDefault="00BC64E6" w:rsidP="00BC64E6">
      <w:pPr>
        <w:pStyle w:val="Heading2"/>
      </w:pPr>
      <w:r w:rsidRPr="00422A98">
        <w:t>Results and Evaluation</w:t>
      </w:r>
    </w:p>
    <w:p w14:paraId="37260575" w14:textId="431B5A9B" w:rsidR="004B25D9" w:rsidRPr="004B25D9" w:rsidRDefault="004B25D9" w:rsidP="004B25D9">
      <w:pPr>
        <w:rPr>
          <w:rFonts w:ascii="Times New Roman" w:hAnsi="Times New Roman"/>
          <w:color w:val="auto"/>
          <w:sz w:val="24"/>
          <w:szCs w:val="24"/>
        </w:rPr>
      </w:pPr>
      <w:r w:rsidRPr="00422A98">
        <w:rPr>
          <w:rFonts w:ascii="Calibri" w:hAnsi="Calibri"/>
          <w:color w:val="404040"/>
          <w:szCs w:val="23"/>
        </w:rPr>
        <w:t>As evidenced by looking at 2016, 2017, and 2018 cohorts in their second year, we are exceeding the measure of 75% of</w:t>
      </w:r>
      <w:r w:rsidRPr="004B25D9">
        <w:rPr>
          <w:rFonts w:ascii="Calibri" w:hAnsi="Calibri"/>
          <w:color w:val="404040"/>
          <w:szCs w:val="23"/>
        </w:rPr>
        <w:t xml:space="preserve"> students passing at least three different New York State Regents Exams required for graduation. At the end of their second year</w:t>
      </w:r>
      <w:r w:rsidRPr="00422A98">
        <w:rPr>
          <w:rFonts w:ascii="Calibri" w:hAnsi="Calibri"/>
          <w:color w:val="404040"/>
          <w:szCs w:val="23"/>
        </w:rPr>
        <w:t xml:space="preserve">, </w:t>
      </w:r>
      <w:r w:rsidR="00422A98" w:rsidRPr="00422A98">
        <w:rPr>
          <w:rFonts w:ascii="Calibri" w:hAnsi="Calibri"/>
          <w:color w:val="404040"/>
          <w:szCs w:val="23"/>
        </w:rPr>
        <w:t>75</w:t>
      </w:r>
      <w:r w:rsidRPr="00422A98">
        <w:rPr>
          <w:rFonts w:ascii="Calibri" w:hAnsi="Calibri"/>
          <w:color w:val="404040"/>
          <w:szCs w:val="23"/>
        </w:rPr>
        <w:t>%</w:t>
      </w:r>
      <w:r w:rsidRPr="004B25D9">
        <w:rPr>
          <w:rFonts w:ascii="Calibri" w:hAnsi="Calibri"/>
          <w:color w:val="404040"/>
          <w:szCs w:val="23"/>
        </w:rPr>
        <w:t xml:space="preserve"> of the 201</w:t>
      </w:r>
      <w:r w:rsidR="00422A98">
        <w:rPr>
          <w:rFonts w:ascii="Calibri" w:hAnsi="Calibri"/>
          <w:color w:val="404040"/>
          <w:szCs w:val="23"/>
        </w:rPr>
        <w:t>7</w:t>
      </w:r>
      <w:r w:rsidRPr="004B25D9">
        <w:rPr>
          <w:rFonts w:ascii="Calibri" w:hAnsi="Calibri"/>
          <w:color w:val="404040"/>
          <w:szCs w:val="23"/>
        </w:rPr>
        <w:t xml:space="preserve"> cohort had passed 3 or more Regents exams, and </w:t>
      </w:r>
      <w:r w:rsidR="00422A98" w:rsidRPr="00422A98">
        <w:rPr>
          <w:rFonts w:ascii="Calibri" w:hAnsi="Calibri"/>
          <w:color w:val="404040"/>
          <w:szCs w:val="23"/>
        </w:rPr>
        <w:t>92</w:t>
      </w:r>
      <w:r w:rsidRPr="00422A98">
        <w:rPr>
          <w:rFonts w:ascii="Calibri" w:hAnsi="Calibri"/>
          <w:color w:val="404040"/>
          <w:szCs w:val="23"/>
        </w:rPr>
        <w:t>%</w:t>
      </w:r>
      <w:r w:rsidRPr="004B25D9">
        <w:rPr>
          <w:rFonts w:ascii="Calibri" w:hAnsi="Calibri"/>
          <w:color w:val="404040"/>
          <w:szCs w:val="23"/>
        </w:rPr>
        <w:t xml:space="preserve"> of the 201</w:t>
      </w:r>
      <w:r w:rsidR="00422A98">
        <w:rPr>
          <w:rFonts w:ascii="Calibri" w:hAnsi="Calibri"/>
          <w:color w:val="404040"/>
          <w:szCs w:val="23"/>
        </w:rPr>
        <w:t>8</w:t>
      </w:r>
      <w:r w:rsidRPr="004B25D9">
        <w:rPr>
          <w:rFonts w:ascii="Calibri" w:hAnsi="Calibri"/>
          <w:color w:val="404040"/>
          <w:szCs w:val="23"/>
        </w:rPr>
        <w:t xml:space="preserve"> cohort and </w:t>
      </w:r>
      <w:r w:rsidR="00422A98" w:rsidRPr="00422A98">
        <w:rPr>
          <w:rFonts w:ascii="Calibri" w:hAnsi="Calibri"/>
          <w:color w:val="404040"/>
          <w:szCs w:val="23"/>
        </w:rPr>
        <w:t>77</w:t>
      </w:r>
      <w:r w:rsidRPr="00422A98">
        <w:rPr>
          <w:rFonts w:ascii="Calibri" w:hAnsi="Calibri"/>
          <w:color w:val="404040"/>
          <w:szCs w:val="23"/>
        </w:rPr>
        <w:t>%</w:t>
      </w:r>
      <w:r w:rsidRPr="004B25D9">
        <w:rPr>
          <w:rFonts w:ascii="Calibri" w:hAnsi="Calibri"/>
          <w:color w:val="404040"/>
          <w:szCs w:val="23"/>
        </w:rPr>
        <w:t xml:space="preserve"> of the 201</w:t>
      </w:r>
      <w:r w:rsidR="00422A98">
        <w:rPr>
          <w:rFonts w:ascii="Calibri" w:hAnsi="Calibri"/>
          <w:color w:val="404040"/>
          <w:szCs w:val="23"/>
        </w:rPr>
        <w:t>9</w:t>
      </w:r>
      <w:r w:rsidRPr="004B25D9">
        <w:rPr>
          <w:rFonts w:ascii="Calibri" w:hAnsi="Calibri"/>
          <w:color w:val="404040"/>
          <w:szCs w:val="23"/>
        </w:rPr>
        <w:t xml:space="preserve"> cohort had done the same based on the NYSED allowed regents exemptions given COVID-19. </w:t>
      </w:r>
    </w:p>
    <w:p w14:paraId="4C21BA2A" w14:textId="48AC2016" w:rsidR="00BC64E6" w:rsidRPr="00DD2508" w:rsidRDefault="004B25D9" w:rsidP="004B25D9">
      <w:r w:rsidRPr="004B25D9">
        <w:rPr>
          <w:rFonts w:ascii="Calibri" w:hAnsi="Calibri"/>
          <w:color w:val="404040"/>
          <w:szCs w:val="23"/>
        </w:rPr>
        <w:t>Looking at future data, we expect to continue to meet and exceed this goal. Most of our students take and pass two Regents exams in the 8</w:t>
      </w:r>
      <w:r w:rsidRPr="004B25D9">
        <w:rPr>
          <w:rFonts w:ascii="Calibri" w:hAnsi="Calibri"/>
          <w:color w:val="404040"/>
          <w:sz w:val="8"/>
          <w:szCs w:val="8"/>
          <w:vertAlign w:val="superscript"/>
        </w:rPr>
        <w:t>th</w:t>
      </w:r>
      <w:r w:rsidRPr="004B25D9">
        <w:rPr>
          <w:rFonts w:ascii="Calibri" w:hAnsi="Calibri"/>
          <w:color w:val="404040"/>
          <w:szCs w:val="23"/>
        </w:rPr>
        <w:t xml:space="preserve"> grade (Living Environment and Algebra I). Those who do not pass those exams, will be required to re-take the exam a second time in their 9</w:t>
      </w:r>
      <w:r w:rsidRPr="004B25D9">
        <w:rPr>
          <w:rFonts w:ascii="Calibri" w:hAnsi="Calibri"/>
          <w:color w:val="404040"/>
          <w:sz w:val="8"/>
          <w:szCs w:val="8"/>
          <w:vertAlign w:val="superscript"/>
        </w:rPr>
        <w:t>th</w:t>
      </w:r>
      <w:r w:rsidRPr="004B25D9">
        <w:rPr>
          <w:rFonts w:ascii="Calibri" w:hAnsi="Calibri"/>
          <w:color w:val="404040"/>
          <w:szCs w:val="23"/>
        </w:rPr>
        <w:t xml:space="preserve"> grade year. </w:t>
      </w:r>
      <w:r w:rsidRPr="004B25D9">
        <w:rPr>
          <w:rFonts w:ascii="Calibri" w:hAnsi="Calibri"/>
          <w:color w:val="404040"/>
          <w:szCs w:val="23"/>
        </w:rPr>
        <w:lastRenderedPageBreak/>
        <w:t>When students are enrolled in 9</w:t>
      </w:r>
      <w:r w:rsidRPr="004B25D9">
        <w:rPr>
          <w:rFonts w:ascii="Calibri" w:hAnsi="Calibri"/>
          <w:color w:val="404040"/>
          <w:sz w:val="8"/>
          <w:szCs w:val="8"/>
          <w:vertAlign w:val="superscript"/>
        </w:rPr>
        <w:t>th</w:t>
      </w:r>
      <w:r w:rsidRPr="004B25D9">
        <w:rPr>
          <w:rFonts w:ascii="Calibri" w:hAnsi="Calibri"/>
          <w:color w:val="404040"/>
          <w:szCs w:val="23"/>
        </w:rPr>
        <w:t xml:space="preserve"> grade, all students take the ELA Regents Exam, and about 50% take the Geometry Regents Exam. By prioritizing Regents exams in the 8th and 9</w:t>
      </w:r>
      <w:r w:rsidRPr="004B25D9">
        <w:rPr>
          <w:rFonts w:ascii="Calibri" w:hAnsi="Calibri"/>
          <w:color w:val="404040"/>
          <w:sz w:val="8"/>
          <w:szCs w:val="8"/>
          <w:vertAlign w:val="superscript"/>
        </w:rPr>
        <w:t>th</w:t>
      </w:r>
      <w:r w:rsidRPr="004B25D9">
        <w:rPr>
          <w:rFonts w:ascii="Calibri" w:hAnsi="Calibri"/>
          <w:color w:val="404040"/>
          <w:szCs w:val="23"/>
        </w:rPr>
        <w:t xml:space="preserve"> grades, we </w:t>
      </w:r>
      <w:proofErr w:type="gramStart"/>
      <w:r w:rsidRPr="004B25D9">
        <w:rPr>
          <w:rFonts w:ascii="Calibri" w:hAnsi="Calibri"/>
          <w:color w:val="404040"/>
          <w:szCs w:val="23"/>
        </w:rPr>
        <w:t>are able to</w:t>
      </w:r>
      <w:proofErr w:type="gramEnd"/>
      <w:r w:rsidRPr="004B25D9">
        <w:rPr>
          <w:rFonts w:ascii="Calibri" w:hAnsi="Calibri"/>
          <w:color w:val="404040"/>
          <w:szCs w:val="23"/>
        </w:rPr>
        <w:t xml:space="preserve"> ensure that at least 75% of students meet and exceed our goal of 3 passing Regents exams by the end of the 10</w:t>
      </w:r>
      <w:r w:rsidRPr="004B25D9">
        <w:rPr>
          <w:rFonts w:ascii="Calibri" w:hAnsi="Calibri"/>
          <w:color w:val="404040"/>
          <w:sz w:val="8"/>
          <w:szCs w:val="8"/>
          <w:vertAlign w:val="superscript"/>
        </w:rPr>
        <w:t>th</w:t>
      </w:r>
      <w:r w:rsidRPr="004B25D9">
        <w:rPr>
          <w:rFonts w:ascii="Calibri" w:hAnsi="Calibri"/>
          <w:color w:val="404040"/>
          <w:szCs w:val="23"/>
        </w:rPr>
        <w:t xml:space="preserve"> grade. While there are still unknows given COVID-19 as we enter School Year 2020-21, we are confident that </w:t>
      </w:r>
      <w:proofErr w:type="gramStart"/>
      <w:r w:rsidRPr="004B25D9">
        <w:rPr>
          <w:rFonts w:ascii="Calibri" w:hAnsi="Calibri"/>
          <w:color w:val="404040"/>
          <w:szCs w:val="23"/>
        </w:rPr>
        <w:t>whether or not</w:t>
      </w:r>
      <w:proofErr w:type="gramEnd"/>
      <w:r w:rsidRPr="004B25D9">
        <w:rPr>
          <w:rFonts w:ascii="Calibri" w:hAnsi="Calibri"/>
          <w:color w:val="404040"/>
          <w:szCs w:val="23"/>
        </w:rPr>
        <w:t xml:space="preserve"> students take Regents or submit for exemptions, we will continue to see the same growth over the course of the next year.</w:t>
      </w:r>
    </w:p>
    <w:p w14:paraId="44EFB85F" w14:textId="77777777" w:rsidR="00BC64E6" w:rsidRPr="00DD2508" w:rsidRDefault="00BC64E6" w:rsidP="00BC64E6">
      <w:pPr>
        <w:pStyle w:val="TableHeader"/>
      </w:pPr>
      <w:r w:rsidRPr="00DD2508">
        <w:t>Percent of Students in their Second Year Passing Three Regents Exams by Cohort</w:t>
      </w:r>
    </w:p>
    <w:tbl>
      <w:tblPr>
        <w:tblW w:w="6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38"/>
        <w:gridCol w:w="1440"/>
        <w:gridCol w:w="1800"/>
      </w:tblGrid>
      <w:tr w:rsidR="003D3746" w:rsidRPr="00DD2508" w14:paraId="13022662" w14:textId="77777777" w:rsidTr="32B83688">
        <w:trPr>
          <w:jc w:val="center"/>
        </w:trPr>
        <w:tc>
          <w:tcPr>
            <w:tcW w:w="1538" w:type="dxa"/>
            <w:vAlign w:val="center"/>
          </w:tcPr>
          <w:p w14:paraId="7A41061A" w14:textId="7A6315C9" w:rsidR="003D3746" w:rsidRDefault="003D3746" w:rsidP="003D3746">
            <w:pPr>
              <w:pStyle w:val="TableText"/>
            </w:pPr>
            <w:r w:rsidRPr="00DE3E14">
              <w:t>Cohort Designation</w:t>
            </w:r>
          </w:p>
        </w:tc>
        <w:tc>
          <w:tcPr>
            <w:tcW w:w="1538" w:type="dxa"/>
          </w:tcPr>
          <w:p w14:paraId="4F829445" w14:textId="0466E3E2" w:rsidR="003D3746" w:rsidRDefault="003D3746" w:rsidP="003D3746">
            <w:pPr>
              <w:pStyle w:val="TableText"/>
            </w:pPr>
          </w:p>
          <w:p w14:paraId="4FE1D9E3" w14:textId="5F7F0D2E" w:rsidR="003D3746" w:rsidRPr="00DE3E14" w:rsidRDefault="003D3746" w:rsidP="003D3746">
            <w:pPr>
              <w:pStyle w:val="TableText"/>
            </w:pPr>
            <w:r>
              <w:t>School Year</w:t>
            </w:r>
          </w:p>
        </w:tc>
        <w:tc>
          <w:tcPr>
            <w:tcW w:w="1440" w:type="dxa"/>
            <w:vAlign w:val="center"/>
          </w:tcPr>
          <w:p w14:paraId="5B8CCCA5" w14:textId="7BA06343" w:rsidR="003D3746" w:rsidRPr="00DE3E14" w:rsidRDefault="003D3746" w:rsidP="003D3746">
            <w:pPr>
              <w:pStyle w:val="TableText"/>
            </w:pPr>
            <w:r w:rsidRPr="00DE3E14">
              <w:t>Number in Cohort</w:t>
            </w:r>
          </w:p>
        </w:tc>
        <w:tc>
          <w:tcPr>
            <w:tcW w:w="1800" w:type="dxa"/>
          </w:tcPr>
          <w:p w14:paraId="4393AA89" w14:textId="6C0AB5E3" w:rsidR="003D3746" w:rsidRPr="00DE3E14" w:rsidRDefault="003D3746" w:rsidP="005765F3">
            <w:pPr>
              <w:pStyle w:val="TableText"/>
            </w:pPr>
            <w:r>
              <w:t xml:space="preserve">Percent Passing </w:t>
            </w:r>
            <w:r w:rsidR="001A5186">
              <w:t xml:space="preserve">at Least </w:t>
            </w:r>
            <w:r>
              <w:t>Three Regents</w:t>
            </w:r>
            <w:r w:rsidR="3CD67925">
              <w:t xml:space="preserve"> (including exemption</w:t>
            </w:r>
            <w:r w:rsidR="001A5186">
              <w:t>s</w:t>
            </w:r>
            <w:r w:rsidR="3CD67925">
              <w:t>)</w:t>
            </w:r>
            <w:r>
              <w:t xml:space="preserve"> </w:t>
            </w:r>
          </w:p>
        </w:tc>
      </w:tr>
      <w:tr w:rsidR="003D3746" w:rsidRPr="00DD2508" w14:paraId="582645B5" w14:textId="77777777" w:rsidTr="32B83688">
        <w:trPr>
          <w:jc w:val="center"/>
        </w:trPr>
        <w:tc>
          <w:tcPr>
            <w:tcW w:w="1538" w:type="dxa"/>
          </w:tcPr>
          <w:p w14:paraId="6991E6C2" w14:textId="367DF23B" w:rsidR="003D3746" w:rsidRDefault="003D3746" w:rsidP="003D3746">
            <w:pPr>
              <w:pStyle w:val="TableText"/>
            </w:pPr>
            <w:r>
              <w:t>201</w:t>
            </w:r>
            <w:r w:rsidR="005765F3">
              <w:t>7</w:t>
            </w:r>
          </w:p>
        </w:tc>
        <w:tc>
          <w:tcPr>
            <w:tcW w:w="1538" w:type="dxa"/>
          </w:tcPr>
          <w:p w14:paraId="4F3F0A9E" w14:textId="5B090DA8" w:rsidR="003D3746" w:rsidRPr="00DE3E14" w:rsidRDefault="003D3746" w:rsidP="003D3746">
            <w:pPr>
              <w:pStyle w:val="TableText"/>
            </w:pPr>
            <w:r>
              <w:t>201</w:t>
            </w:r>
            <w:r w:rsidR="005765F3">
              <w:t>8</w:t>
            </w:r>
            <w:r>
              <w:t>-1</w:t>
            </w:r>
            <w:r w:rsidR="60C1F615">
              <w:t>9</w:t>
            </w:r>
          </w:p>
        </w:tc>
        <w:tc>
          <w:tcPr>
            <w:tcW w:w="1440" w:type="dxa"/>
          </w:tcPr>
          <w:p w14:paraId="645DFC50" w14:textId="214774AD" w:rsidR="003D3746" w:rsidRPr="00DE3E14" w:rsidRDefault="0063050E" w:rsidP="003D3746">
            <w:pPr>
              <w:pStyle w:val="TableText"/>
            </w:pPr>
            <w:r>
              <w:t>20</w:t>
            </w:r>
          </w:p>
        </w:tc>
        <w:tc>
          <w:tcPr>
            <w:tcW w:w="1800" w:type="dxa"/>
          </w:tcPr>
          <w:p w14:paraId="04A56527" w14:textId="2C9B1366" w:rsidR="003D3746" w:rsidRPr="00DE3E14" w:rsidRDefault="0063050E" w:rsidP="003D3746">
            <w:pPr>
              <w:pStyle w:val="TableText"/>
            </w:pPr>
            <w:r>
              <w:t>75</w:t>
            </w:r>
            <w:r w:rsidR="00724266">
              <w:t>%</w:t>
            </w:r>
          </w:p>
        </w:tc>
      </w:tr>
      <w:tr w:rsidR="003D3746" w:rsidRPr="00DD2508" w14:paraId="7B18000D" w14:textId="77777777" w:rsidTr="32B83688">
        <w:trPr>
          <w:jc w:val="center"/>
        </w:trPr>
        <w:tc>
          <w:tcPr>
            <w:tcW w:w="1538" w:type="dxa"/>
          </w:tcPr>
          <w:p w14:paraId="69EA823D" w14:textId="0146AA28" w:rsidR="003D3746" w:rsidRDefault="003D3746" w:rsidP="003D3746">
            <w:pPr>
              <w:pStyle w:val="TableText"/>
            </w:pPr>
            <w:r>
              <w:t>201</w:t>
            </w:r>
            <w:r w:rsidR="005765F3">
              <w:t>8</w:t>
            </w:r>
          </w:p>
        </w:tc>
        <w:tc>
          <w:tcPr>
            <w:tcW w:w="1538" w:type="dxa"/>
          </w:tcPr>
          <w:p w14:paraId="1ACD4BC7" w14:textId="48B2FA33" w:rsidR="003D3746" w:rsidRPr="00DE3E14" w:rsidRDefault="003D3746" w:rsidP="003D3746">
            <w:pPr>
              <w:pStyle w:val="TableText"/>
            </w:pPr>
            <w:r>
              <w:t>201</w:t>
            </w:r>
            <w:r w:rsidR="005765F3">
              <w:t>9-20</w:t>
            </w:r>
          </w:p>
        </w:tc>
        <w:tc>
          <w:tcPr>
            <w:tcW w:w="1440" w:type="dxa"/>
          </w:tcPr>
          <w:p w14:paraId="5E030831" w14:textId="0F5E9535" w:rsidR="003D3746" w:rsidRPr="00DE3E14" w:rsidRDefault="00422A98" w:rsidP="003D3746">
            <w:pPr>
              <w:pStyle w:val="TableText"/>
            </w:pPr>
            <w:r>
              <w:t>28</w:t>
            </w:r>
          </w:p>
        </w:tc>
        <w:tc>
          <w:tcPr>
            <w:tcW w:w="1800" w:type="dxa"/>
          </w:tcPr>
          <w:p w14:paraId="355E3B5C" w14:textId="4C6EFC5F" w:rsidR="003D3746" w:rsidRPr="00DE3E14" w:rsidRDefault="0063050E" w:rsidP="003D3746">
            <w:pPr>
              <w:pStyle w:val="TableText"/>
            </w:pPr>
            <w:r>
              <w:t>92%</w:t>
            </w:r>
          </w:p>
        </w:tc>
      </w:tr>
      <w:tr w:rsidR="003D3746" w:rsidRPr="00DD2508" w14:paraId="23CE27A0" w14:textId="77777777" w:rsidTr="32B83688">
        <w:trPr>
          <w:jc w:val="center"/>
        </w:trPr>
        <w:tc>
          <w:tcPr>
            <w:tcW w:w="1538" w:type="dxa"/>
          </w:tcPr>
          <w:p w14:paraId="00FD30FA" w14:textId="7932EE48" w:rsidR="003D3746" w:rsidRDefault="003D3746" w:rsidP="003D3746">
            <w:pPr>
              <w:pStyle w:val="TableText"/>
            </w:pPr>
            <w:r>
              <w:t>201</w:t>
            </w:r>
            <w:r w:rsidR="005765F3">
              <w:t>9</w:t>
            </w:r>
          </w:p>
        </w:tc>
        <w:tc>
          <w:tcPr>
            <w:tcW w:w="1538" w:type="dxa"/>
          </w:tcPr>
          <w:p w14:paraId="5A42A73A" w14:textId="02DB2022" w:rsidR="003D3746" w:rsidRPr="00DE3E14" w:rsidRDefault="005765F3" w:rsidP="003D3746">
            <w:pPr>
              <w:pStyle w:val="TableText"/>
            </w:pPr>
            <w:r>
              <w:t>2020</w:t>
            </w:r>
            <w:r w:rsidR="003D3746">
              <w:t>-</w:t>
            </w:r>
            <w:r>
              <w:t>21</w:t>
            </w:r>
          </w:p>
        </w:tc>
        <w:tc>
          <w:tcPr>
            <w:tcW w:w="1440" w:type="dxa"/>
          </w:tcPr>
          <w:p w14:paraId="035CD721" w14:textId="67E0D64F" w:rsidR="003D3746" w:rsidRPr="00DE3E14" w:rsidRDefault="00422A98" w:rsidP="003D3746">
            <w:pPr>
              <w:pStyle w:val="TableText"/>
            </w:pPr>
            <w:r>
              <w:t>56</w:t>
            </w:r>
          </w:p>
        </w:tc>
        <w:tc>
          <w:tcPr>
            <w:tcW w:w="1800" w:type="dxa"/>
          </w:tcPr>
          <w:p w14:paraId="1BB5AD82" w14:textId="47FF348B" w:rsidR="003D3746" w:rsidRPr="00DE3E14" w:rsidRDefault="00422A98" w:rsidP="003D3746">
            <w:pPr>
              <w:pStyle w:val="TableText"/>
            </w:pPr>
            <w:r>
              <w:t>77%</w:t>
            </w:r>
          </w:p>
        </w:tc>
      </w:tr>
    </w:tbl>
    <w:p w14:paraId="4591787F" w14:textId="5ECA52C2" w:rsidR="00BC64E6" w:rsidRPr="00DD2508" w:rsidRDefault="00BC64E6" w:rsidP="00BC64E6">
      <w:pPr>
        <w:pStyle w:val="MeasureTitle"/>
      </w:pPr>
      <w:r w:rsidRPr="00DD2508">
        <w:t xml:space="preserve">Goal </w:t>
      </w:r>
      <w:r w:rsidR="00887F40">
        <w:t>1</w:t>
      </w:r>
      <w:r w:rsidRPr="00DD2508">
        <w:t>: Absolute Measure</w:t>
      </w:r>
      <w:r>
        <w:t>s</w:t>
      </w:r>
    </w:p>
    <w:p w14:paraId="78C867D7" w14:textId="77777777" w:rsidR="00BC64E6" w:rsidRPr="00DD2508" w:rsidRDefault="00BC64E6" w:rsidP="00BC64E6">
      <w:pPr>
        <w:pStyle w:val="MeasureText"/>
      </w:pPr>
      <w:r w:rsidRPr="00DD2508">
        <w:t xml:space="preserve">Each year, 75 percent of students in the </w:t>
      </w:r>
      <w:proofErr w:type="gramStart"/>
      <w:r>
        <w:t>fourth year</w:t>
      </w:r>
      <w:proofErr w:type="gramEnd"/>
      <w:r>
        <w:t xml:space="preserve"> </w:t>
      </w:r>
      <w:r w:rsidRPr="00DD2508">
        <w:t xml:space="preserve">high school </w:t>
      </w:r>
      <w:r>
        <w:t xml:space="preserve">Total </w:t>
      </w:r>
      <w:r w:rsidRPr="00DD2508">
        <w:t xml:space="preserve">Graduation Cohort </w:t>
      </w:r>
      <w:r>
        <w:t xml:space="preserve">and 95 percent of students in the fifth year high school Total Graduation Cohort </w:t>
      </w:r>
      <w:r w:rsidRPr="00DD2508">
        <w:t>will graduate</w:t>
      </w:r>
      <w:r>
        <w:t>.</w:t>
      </w:r>
    </w:p>
    <w:p w14:paraId="3B449CCA" w14:textId="77777777" w:rsidR="00BC64E6" w:rsidRPr="00DD2508" w:rsidRDefault="00BC64E6" w:rsidP="00BC64E6">
      <w:pPr>
        <w:pStyle w:val="Heading2"/>
      </w:pPr>
      <w:r w:rsidRPr="00DD2508">
        <w:t>Method</w:t>
      </w:r>
    </w:p>
    <w:p w14:paraId="523FCA9F" w14:textId="239B493B" w:rsidR="00BC64E6" w:rsidRPr="00DD2508" w:rsidRDefault="00BC64E6" w:rsidP="00BC64E6">
      <w:r>
        <w:t xml:space="preserve">This measure </w:t>
      </w:r>
      <w:r w:rsidRPr="00DD2508">
        <w:t xml:space="preserve">examines students in </w:t>
      </w:r>
      <w:r>
        <w:t xml:space="preserve">two </w:t>
      </w:r>
      <w:r w:rsidRPr="00DD2508">
        <w:t>high school Graduation Cohort</w:t>
      </w:r>
      <w:r>
        <w:t xml:space="preserve">s:  those </w:t>
      </w:r>
      <w:r w:rsidRPr="00DD2508">
        <w:t>who enter</w:t>
      </w:r>
      <w:r>
        <w:t>ed</w:t>
      </w:r>
      <w:r w:rsidRPr="00DD2508">
        <w:t xml:space="preserve"> the 9</w:t>
      </w:r>
      <w:r w:rsidRPr="00DD2508">
        <w:rPr>
          <w:vertAlign w:val="superscript"/>
        </w:rPr>
        <w:t>th</w:t>
      </w:r>
      <w:r w:rsidRPr="00DD2508">
        <w:t xml:space="preserve"> grade </w:t>
      </w:r>
      <w:r w:rsidR="003D3746">
        <w:t>as members of the 201</w:t>
      </w:r>
      <w:r w:rsidR="00053538">
        <w:t>7</w:t>
      </w:r>
      <w:r>
        <w:t xml:space="preserve"> cohort and graduated four years later and those wh</w:t>
      </w:r>
      <w:r w:rsidR="003D3746">
        <w:t>o entered as members of the 201</w:t>
      </w:r>
      <w:r w:rsidR="00053538">
        <w:t>6</w:t>
      </w:r>
      <w:r>
        <w:t xml:space="preserve"> cohort </w:t>
      </w:r>
      <w:r w:rsidRPr="00DD2508">
        <w:t>and graduate</w:t>
      </w:r>
      <w:r>
        <w:t>d</w:t>
      </w:r>
      <w:r w:rsidRPr="00DD2508">
        <w:t xml:space="preserve"> f</w:t>
      </w:r>
      <w:r>
        <w:t>ive</w:t>
      </w:r>
      <w:r w:rsidRPr="00DD2508">
        <w:t xml:space="preserve"> years later.</w:t>
      </w:r>
      <w:r w:rsidR="00807DB8">
        <w:t xml:space="preserve">  These data reflect August graduation rates.</w:t>
      </w:r>
      <w:r w:rsidRPr="00DD2508">
        <w:t xml:space="preserve">  At a minimum, these students have passed</w:t>
      </w:r>
      <w:r w:rsidR="4460B964" w:rsidRPr="00DD2508">
        <w:t xml:space="preserve"> or been exempted from</w:t>
      </w:r>
      <w:r w:rsidRPr="00DD2508">
        <w:t xml:space="preserve"> five Regents exams </w:t>
      </w:r>
      <w:r>
        <w:t xml:space="preserve">required for high school graduation </w:t>
      </w:r>
      <w:r w:rsidR="00071BB9">
        <w:t>in ELA</w:t>
      </w:r>
      <w:r w:rsidRPr="00DD2508">
        <w:t>, mathematics, science, U.S. History</w:t>
      </w:r>
      <w:r w:rsidR="00071BB9">
        <w:t>,</w:t>
      </w:r>
      <w:r w:rsidRPr="00DD2508">
        <w:t xml:space="preserve"> and Global History</w:t>
      </w:r>
      <w:r>
        <w:t xml:space="preserve"> or met the requirements for the 4+1 pathway to graduation</w:t>
      </w:r>
      <w:r w:rsidRPr="00DD2508">
        <w:t>.</w:t>
      </w:r>
      <w:r>
        <w:rPr>
          <w:rStyle w:val="FootnoteReference"/>
        </w:rPr>
        <w:footnoteReference w:id="1"/>
      </w:r>
      <w:r w:rsidRPr="00DD2508">
        <w:t xml:space="preserve">   </w:t>
      </w:r>
    </w:p>
    <w:p w14:paraId="744D1C69" w14:textId="0DA2539E" w:rsidR="00BC64E6" w:rsidRDefault="00BC64E6" w:rsidP="00BC64E6">
      <w:r>
        <w:t>The school’s grad</w:t>
      </w:r>
      <w:r w:rsidR="00807DB8">
        <w:t>uation requirements appear in this document</w:t>
      </w:r>
      <w:r>
        <w:t xml:space="preserve"> </w:t>
      </w:r>
      <w:r w:rsidR="6A59FB54">
        <w:t xml:space="preserve">above </w:t>
      </w:r>
      <w:r w:rsidR="001A5186">
        <w:t>the graduation goal</w:t>
      </w:r>
      <w:r>
        <w:t>.</w:t>
      </w:r>
    </w:p>
    <w:p w14:paraId="276E7EBC" w14:textId="77777777" w:rsidR="001A5186" w:rsidRDefault="001A5186" w:rsidP="00BC64E6"/>
    <w:p w14:paraId="4D47E280" w14:textId="77777777" w:rsidR="00BC64E6" w:rsidRPr="00DD2508" w:rsidRDefault="00BC64E6" w:rsidP="00BC64E6">
      <w:pPr>
        <w:pStyle w:val="Heading2"/>
      </w:pPr>
      <w:r w:rsidRPr="00DD2508">
        <w:t>Results</w:t>
      </w:r>
      <w:r>
        <w:t xml:space="preserve"> and evaluation</w:t>
      </w:r>
    </w:p>
    <w:p w14:paraId="59C93A2A" w14:textId="18F1E7B4" w:rsidR="00BC64E6" w:rsidRPr="00DD2508" w:rsidRDefault="005A26F6" w:rsidP="00BC64E6">
      <w:r>
        <w:t xml:space="preserve">We are extremely pleased with our graduation rate for our first </w:t>
      </w:r>
      <w:proofErr w:type="gramStart"/>
      <w:r>
        <w:t>four year</w:t>
      </w:r>
      <w:proofErr w:type="gramEnd"/>
      <w:r>
        <w:t xml:space="preserve"> cohort. 100% of students have graduated.</w:t>
      </w:r>
    </w:p>
    <w:p w14:paraId="17C94C28" w14:textId="77777777" w:rsidR="00BC64E6" w:rsidRPr="00DD2508" w:rsidRDefault="00BC64E6" w:rsidP="00BC64E6">
      <w:pPr>
        <w:pStyle w:val="TableHeader"/>
      </w:pPr>
      <w:r w:rsidRPr="00DD2508">
        <w:t xml:space="preserve">Percent of Students in </w:t>
      </w:r>
      <w:r>
        <w:t xml:space="preserve">the Total </w:t>
      </w:r>
      <w:r w:rsidRPr="00DD2508">
        <w:t>Graduation Cohort who have Graduated After Four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8"/>
        <w:gridCol w:w="1440"/>
        <w:gridCol w:w="1440"/>
        <w:gridCol w:w="1440"/>
      </w:tblGrid>
      <w:tr w:rsidR="003D3746" w:rsidRPr="00DD2508" w14:paraId="0EF1BFCD" w14:textId="77777777" w:rsidTr="7D51821A">
        <w:trPr>
          <w:jc w:val="center"/>
        </w:trPr>
        <w:tc>
          <w:tcPr>
            <w:tcW w:w="1268" w:type="dxa"/>
            <w:vAlign w:val="center"/>
          </w:tcPr>
          <w:p w14:paraId="207B476A" w14:textId="77777777" w:rsidR="003D3746" w:rsidRPr="00DE3E14" w:rsidRDefault="003D3746" w:rsidP="00317BC5">
            <w:pPr>
              <w:pStyle w:val="TableText"/>
            </w:pPr>
            <w:r w:rsidRPr="00DE3E14">
              <w:t>Cohort Designation</w:t>
            </w:r>
          </w:p>
        </w:tc>
        <w:tc>
          <w:tcPr>
            <w:tcW w:w="1440" w:type="dxa"/>
          </w:tcPr>
          <w:p w14:paraId="60ED3CA0" w14:textId="77777777" w:rsidR="003D3746" w:rsidRDefault="003D3746" w:rsidP="003D3746">
            <w:pPr>
              <w:pStyle w:val="TableText"/>
            </w:pPr>
            <w:r>
              <w:t xml:space="preserve">School </w:t>
            </w:r>
          </w:p>
          <w:p w14:paraId="2B100126" w14:textId="6DE40DAB" w:rsidR="003D3746" w:rsidRPr="00DE3E14" w:rsidRDefault="003D3746" w:rsidP="003D3746">
            <w:pPr>
              <w:pStyle w:val="TableText"/>
            </w:pPr>
            <w:r>
              <w:t>Year</w:t>
            </w:r>
          </w:p>
        </w:tc>
        <w:tc>
          <w:tcPr>
            <w:tcW w:w="1440" w:type="dxa"/>
            <w:vAlign w:val="center"/>
          </w:tcPr>
          <w:p w14:paraId="346F7FC8" w14:textId="09FF87F9" w:rsidR="003D3746" w:rsidRPr="00DE3E14" w:rsidRDefault="003D3746" w:rsidP="00317BC5">
            <w:pPr>
              <w:pStyle w:val="TableText"/>
            </w:pPr>
            <w:r w:rsidRPr="00DE3E14">
              <w:t xml:space="preserve">Number in Cohort </w:t>
            </w:r>
          </w:p>
        </w:tc>
        <w:tc>
          <w:tcPr>
            <w:tcW w:w="1440" w:type="dxa"/>
          </w:tcPr>
          <w:p w14:paraId="3485E011" w14:textId="77777777" w:rsidR="003D3746" w:rsidRPr="00DE3E14" w:rsidRDefault="003D3746" w:rsidP="00317BC5">
            <w:pPr>
              <w:pStyle w:val="TableText"/>
            </w:pPr>
            <w:r w:rsidRPr="00DE3E14">
              <w:t>Percent Graduating</w:t>
            </w:r>
          </w:p>
        </w:tc>
      </w:tr>
      <w:tr w:rsidR="003D3746" w:rsidRPr="00DD2508" w14:paraId="16C28015" w14:textId="77777777" w:rsidTr="7D51821A">
        <w:trPr>
          <w:jc w:val="center"/>
        </w:trPr>
        <w:tc>
          <w:tcPr>
            <w:tcW w:w="1268" w:type="dxa"/>
          </w:tcPr>
          <w:p w14:paraId="6B57C3DB" w14:textId="6DC11914" w:rsidR="003D3746" w:rsidRPr="00DE3E14" w:rsidRDefault="003D3746" w:rsidP="00317BC5">
            <w:pPr>
              <w:pStyle w:val="TableText"/>
            </w:pPr>
            <w:r>
              <w:t>201</w:t>
            </w:r>
            <w:r w:rsidR="00053538">
              <w:t>5</w:t>
            </w:r>
          </w:p>
        </w:tc>
        <w:tc>
          <w:tcPr>
            <w:tcW w:w="1440" w:type="dxa"/>
          </w:tcPr>
          <w:p w14:paraId="0D2B9DA6" w14:textId="459FF6D2" w:rsidR="003D3746" w:rsidRPr="00DE3E14" w:rsidRDefault="003D3746" w:rsidP="00317BC5">
            <w:pPr>
              <w:pStyle w:val="TableText"/>
            </w:pPr>
            <w:r>
              <w:t>201</w:t>
            </w:r>
            <w:r w:rsidR="00053538">
              <w:t>8</w:t>
            </w:r>
            <w:r>
              <w:t>-1</w:t>
            </w:r>
            <w:r w:rsidR="00053538">
              <w:t>9</w:t>
            </w:r>
          </w:p>
        </w:tc>
        <w:tc>
          <w:tcPr>
            <w:tcW w:w="1440" w:type="dxa"/>
          </w:tcPr>
          <w:p w14:paraId="2101A517" w14:textId="2008D04B" w:rsidR="003D3746" w:rsidRPr="00DE3E14" w:rsidRDefault="003D3746" w:rsidP="00317BC5">
            <w:pPr>
              <w:pStyle w:val="TableText"/>
            </w:pPr>
          </w:p>
        </w:tc>
        <w:tc>
          <w:tcPr>
            <w:tcW w:w="1440" w:type="dxa"/>
          </w:tcPr>
          <w:p w14:paraId="572738FF" w14:textId="77777777" w:rsidR="003D3746" w:rsidRPr="00DE3E14" w:rsidRDefault="003D3746" w:rsidP="00317BC5">
            <w:pPr>
              <w:pStyle w:val="TableText"/>
            </w:pPr>
          </w:p>
        </w:tc>
      </w:tr>
      <w:tr w:rsidR="003D3746" w:rsidRPr="00DD2508" w14:paraId="513DB188" w14:textId="77777777" w:rsidTr="7D51821A">
        <w:trPr>
          <w:jc w:val="center"/>
        </w:trPr>
        <w:tc>
          <w:tcPr>
            <w:tcW w:w="1268" w:type="dxa"/>
          </w:tcPr>
          <w:p w14:paraId="3EB85941" w14:textId="1AE025A2" w:rsidR="003D3746" w:rsidRPr="00DE3E14" w:rsidRDefault="003D3746" w:rsidP="00317BC5">
            <w:pPr>
              <w:pStyle w:val="TableText"/>
            </w:pPr>
            <w:r>
              <w:t>201</w:t>
            </w:r>
            <w:r w:rsidR="00053538">
              <w:t>6</w:t>
            </w:r>
          </w:p>
        </w:tc>
        <w:tc>
          <w:tcPr>
            <w:tcW w:w="1440" w:type="dxa"/>
          </w:tcPr>
          <w:p w14:paraId="3837DCED" w14:textId="39D390C5" w:rsidR="003D3746" w:rsidRPr="00DE3E14" w:rsidRDefault="003D3746" w:rsidP="00317BC5">
            <w:pPr>
              <w:pStyle w:val="TableText"/>
            </w:pPr>
            <w:r>
              <w:t>201</w:t>
            </w:r>
            <w:r w:rsidR="00053538">
              <w:t>9-20</w:t>
            </w:r>
          </w:p>
        </w:tc>
        <w:tc>
          <w:tcPr>
            <w:tcW w:w="1440" w:type="dxa"/>
          </w:tcPr>
          <w:p w14:paraId="4144F239" w14:textId="5D4B98F5" w:rsidR="003D3746" w:rsidRPr="00DE3E14" w:rsidRDefault="003D3746" w:rsidP="00317BC5">
            <w:pPr>
              <w:pStyle w:val="TableText"/>
            </w:pPr>
          </w:p>
        </w:tc>
        <w:tc>
          <w:tcPr>
            <w:tcW w:w="1440" w:type="dxa"/>
          </w:tcPr>
          <w:p w14:paraId="0D0D45DC" w14:textId="77777777" w:rsidR="003D3746" w:rsidRPr="00DE3E14" w:rsidRDefault="003D3746" w:rsidP="00317BC5">
            <w:pPr>
              <w:pStyle w:val="TableText"/>
            </w:pPr>
          </w:p>
        </w:tc>
      </w:tr>
      <w:tr w:rsidR="003D3746" w:rsidRPr="00DD2508" w14:paraId="592E2B77" w14:textId="77777777" w:rsidTr="7D51821A">
        <w:trPr>
          <w:jc w:val="center"/>
        </w:trPr>
        <w:tc>
          <w:tcPr>
            <w:tcW w:w="1268" w:type="dxa"/>
          </w:tcPr>
          <w:p w14:paraId="46D0997B" w14:textId="1EC86AAE" w:rsidR="003D3746" w:rsidRPr="00DE3E14" w:rsidRDefault="003D3746" w:rsidP="00317BC5">
            <w:pPr>
              <w:pStyle w:val="TableText"/>
            </w:pPr>
            <w:r>
              <w:t>201</w:t>
            </w:r>
            <w:r w:rsidR="00053538">
              <w:t>7</w:t>
            </w:r>
          </w:p>
        </w:tc>
        <w:tc>
          <w:tcPr>
            <w:tcW w:w="1440" w:type="dxa"/>
          </w:tcPr>
          <w:p w14:paraId="2BC7912B" w14:textId="688657E7" w:rsidR="003D3746" w:rsidRPr="00DE3E14" w:rsidRDefault="00053538" w:rsidP="00317BC5">
            <w:pPr>
              <w:pStyle w:val="TableText"/>
            </w:pPr>
            <w:r>
              <w:t>2020</w:t>
            </w:r>
            <w:r w:rsidR="003D3746">
              <w:t>-</w:t>
            </w:r>
            <w:r>
              <w:t>21</w:t>
            </w:r>
          </w:p>
        </w:tc>
        <w:tc>
          <w:tcPr>
            <w:tcW w:w="1440" w:type="dxa"/>
          </w:tcPr>
          <w:p w14:paraId="4B9CCCD0" w14:textId="6BDFD9E5" w:rsidR="003D3746" w:rsidRPr="00DE3E14" w:rsidRDefault="005A26F6" w:rsidP="00317BC5">
            <w:pPr>
              <w:pStyle w:val="TableText"/>
            </w:pPr>
            <w:r>
              <w:t>1</w:t>
            </w:r>
            <w:r w:rsidR="00D85A57">
              <w:t>7</w:t>
            </w:r>
          </w:p>
        </w:tc>
        <w:tc>
          <w:tcPr>
            <w:tcW w:w="1440" w:type="dxa"/>
          </w:tcPr>
          <w:p w14:paraId="596A2C31" w14:textId="2AC05550" w:rsidR="003D3746" w:rsidRPr="00DE3E14" w:rsidRDefault="00D85A57" w:rsidP="00317BC5">
            <w:pPr>
              <w:pStyle w:val="TableText"/>
            </w:pPr>
            <w:r>
              <w:t>94</w:t>
            </w:r>
            <w:r w:rsidR="005A26F6">
              <w:t>%</w:t>
            </w:r>
          </w:p>
        </w:tc>
      </w:tr>
    </w:tbl>
    <w:p w14:paraId="5B466200" w14:textId="77777777" w:rsidR="00BC64E6" w:rsidRPr="00935BB2" w:rsidRDefault="00BC64E6" w:rsidP="00BC64E6">
      <w:pPr>
        <w:rPr>
          <w:rFonts w:ascii="Calibri" w:hAnsi="Calibri"/>
          <w:color w:val="FF0000"/>
          <w:sz w:val="16"/>
          <w:szCs w:val="16"/>
        </w:rPr>
      </w:pPr>
    </w:p>
    <w:p w14:paraId="362A77D0" w14:textId="77777777" w:rsidR="00BC64E6" w:rsidRPr="00E17A9E" w:rsidRDefault="00BC64E6" w:rsidP="00BC64E6">
      <w:pPr>
        <w:pStyle w:val="TableHeader"/>
      </w:pPr>
      <w:r w:rsidRPr="00E17A9E">
        <w:t xml:space="preserve">Percent of Students in </w:t>
      </w:r>
      <w:r>
        <w:t xml:space="preserve">Total </w:t>
      </w:r>
      <w:r w:rsidRPr="00E17A9E">
        <w:t>Graduation Cohort Who Have Graduated After Five Years</w:t>
      </w:r>
    </w:p>
    <w:sdt>
      <w:sdtPr>
        <w:id w:val="656574734"/>
        <w:placeholder>
          <w:docPart w:val="72B55D0918E544CAA021495F4E968F96"/>
        </w:placeholder>
      </w:sdtPr>
      <w:sdt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440"/>
            <w:gridCol w:w="1440"/>
            <w:gridCol w:w="1440"/>
          </w:tblGrid>
          <w:tr w:rsidR="003D3746" w:rsidRPr="00E17A9E" w14:paraId="5B44F8C8" w14:textId="77777777" w:rsidTr="7D51821A">
            <w:trPr>
              <w:jc w:val="center"/>
            </w:trPr>
            <w:tc>
              <w:tcPr>
                <w:tcW w:w="1309" w:type="dxa"/>
                <w:vAlign w:val="center"/>
              </w:tcPr>
              <w:p w14:paraId="164329ED" w14:textId="77777777" w:rsidR="003D3746" w:rsidRPr="00E17A9E" w:rsidRDefault="003D3746" w:rsidP="00317BC5">
                <w:pPr>
                  <w:pStyle w:val="TableText"/>
                </w:pPr>
                <w:r w:rsidRPr="00E17A9E">
                  <w:t>Cohort Designation</w:t>
                </w:r>
              </w:p>
            </w:tc>
            <w:tc>
              <w:tcPr>
                <w:tcW w:w="1440" w:type="dxa"/>
              </w:tcPr>
              <w:p w14:paraId="26206160" w14:textId="77777777" w:rsidR="003D3746" w:rsidRDefault="003D3746" w:rsidP="00317BC5">
                <w:pPr>
                  <w:pStyle w:val="TableText"/>
                </w:pPr>
                <w:r>
                  <w:t>School</w:t>
                </w:r>
              </w:p>
              <w:p w14:paraId="1C091750" w14:textId="7FFB34D1" w:rsidR="003D3746" w:rsidRPr="00E17A9E" w:rsidRDefault="003D3746" w:rsidP="00317BC5">
                <w:pPr>
                  <w:pStyle w:val="TableText"/>
                </w:pPr>
                <w:r>
                  <w:t>Year</w:t>
                </w:r>
              </w:p>
            </w:tc>
            <w:tc>
              <w:tcPr>
                <w:tcW w:w="1440" w:type="dxa"/>
                <w:vAlign w:val="center"/>
              </w:tcPr>
              <w:p w14:paraId="29AC27E4" w14:textId="54A3693C" w:rsidR="003D3746" w:rsidRPr="00E17A9E" w:rsidRDefault="003D3746" w:rsidP="00317BC5">
                <w:pPr>
                  <w:pStyle w:val="TableText"/>
                </w:pPr>
                <w:r w:rsidRPr="00E17A9E">
                  <w:t>Number in Cohort</w:t>
                </w:r>
              </w:p>
            </w:tc>
            <w:tc>
              <w:tcPr>
                <w:tcW w:w="1440" w:type="dxa"/>
                <w:vAlign w:val="center"/>
              </w:tcPr>
              <w:p w14:paraId="4C83118C" w14:textId="77777777" w:rsidR="003D3746" w:rsidRPr="00E17A9E" w:rsidRDefault="003D3746" w:rsidP="00317BC5">
                <w:pPr>
                  <w:pStyle w:val="TableText"/>
                </w:pPr>
                <w:r w:rsidRPr="00E17A9E">
                  <w:t>Percent Graduating</w:t>
                </w:r>
              </w:p>
            </w:tc>
          </w:tr>
          <w:tr w:rsidR="003D3746" w:rsidRPr="00E17A9E" w14:paraId="2A75A7A3" w14:textId="77777777" w:rsidTr="7D51821A">
            <w:trPr>
              <w:jc w:val="center"/>
            </w:trPr>
            <w:tc>
              <w:tcPr>
                <w:tcW w:w="1309" w:type="dxa"/>
              </w:tcPr>
              <w:p w14:paraId="0008F118" w14:textId="7BDAD114" w:rsidR="003D3746" w:rsidRPr="00DE3E14" w:rsidRDefault="003D3746" w:rsidP="00317BC5">
                <w:pPr>
                  <w:pStyle w:val="TableText"/>
                </w:pPr>
                <w:r>
                  <w:t>201</w:t>
                </w:r>
                <w:r w:rsidR="00053538">
                  <w:t>4</w:t>
                </w:r>
              </w:p>
            </w:tc>
            <w:tc>
              <w:tcPr>
                <w:tcW w:w="1440" w:type="dxa"/>
              </w:tcPr>
              <w:p w14:paraId="01EF80EF" w14:textId="4EA6C984" w:rsidR="003D3746" w:rsidRPr="00E17A9E" w:rsidRDefault="003D3746" w:rsidP="00317BC5">
                <w:pPr>
                  <w:pStyle w:val="TableText"/>
                </w:pPr>
                <w:r>
                  <w:t>201</w:t>
                </w:r>
                <w:r w:rsidR="00053538">
                  <w:t>8</w:t>
                </w:r>
                <w:r>
                  <w:t>-1</w:t>
                </w:r>
                <w:r w:rsidR="00053538">
                  <w:t>9</w:t>
                </w:r>
              </w:p>
            </w:tc>
            <w:tc>
              <w:tcPr>
                <w:tcW w:w="1440" w:type="dxa"/>
              </w:tcPr>
              <w:p w14:paraId="7215D06D" w14:textId="23D01CD9" w:rsidR="003D3746" w:rsidRPr="00E17A9E" w:rsidRDefault="003D3746" w:rsidP="00317BC5">
                <w:pPr>
                  <w:pStyle w:val="TableText"/>
                </w:pPr>
              </w:p>
            </w:tc>
            <w:tc>
              <w:tcPr>
                <w:tcW w:w="1440" w:type="dxa"/>
              </w:tcPr>
              <w:p w14:paraId="49E9D3F8" w14:textId="77777777" w:rsidR="003D3746" w:rsidRPr="00E17A9E" w:rsidRDefault="003D3746" w:rsidP="00317BC5">
                <w:pPr>
                  <w:pStyle w:val="TableText"/>
                </w:pPr>
              </w:p>
            </w:tc>
          </w:tr>
          <w:tr w:rsidR="003D3746" w:rsidRPr="00E17A9E" w14:paraId="3BE8E074" w14:textId="77777777" w:rsidTr="7D51821A">
            <w:trPr>
              <w:trHeight w:val="287"/>
              <w:jc w:val="center"/>
            </w:trPr>
            <w:tc>
              <w:tcPr>
                <w:tcW w:w="1309" w:type="dxa"/>
              </w:tcPr>
              <w:p w14:paraId="7EACEA2F" w14:textId="78BA5148" w:rsidR="003D3746" w:rsidRPr="00DE3E14" w:rsidRDefault="003D3746" w:rsidP="00317BC5">
                <w:pPr>
                  <w:pStyle w:val="TableText"/>
                </w:pPr>
                <w:r>
                  <w:t>201</w:t>
                </w:r>
                <w:r w:rsidR="00053538">
                  <w:t>5</w:t>
                </w:r>
              </w:p>
            </w:tc>
            <w:tc>
              <w:tcPr>
                <w:tcW w:w="1440" w:type="dxa"/>
              </w:tcPr>
              <w:p w14:paraId="06DBA424" w14:textId="1331482F" w:rsidR="003D3746" w:rsidRPr="00E17A9E" w:rsidRDefault="003D3746" w:rsidP="00317BC5">
                <w:pPr>
                  <w:pStyle w:val="TableText"/>
                </w:pPr>
                <w:r>
                  <w:t>201</w:t>
                </w:r>
                <w:r w:rsidR="00053538">
                  <w:t>9-20</w:t>
                </w:r>
              </w:p>
            </w:tc>
            <w:tc>
              <w:tcPr>
                <w:tcW w:w="1440" w:type="dxa"/>
              </w:tcPr>
              <w:p w14:paraId="4AA10256" w14:textId="5C320AF8" w:rsidR="003D3746" w:rsidRPr="00E17A9E" w:rsidRDefault="003D3746" w:rsidP="00317BC5">
                <w:pPr>
                  <w:pStyle w:val="TableText"/>
                </w:pPr>
              </w:p>
            </w:tc>
            <w:tc>
              <w:tcPr>
                <w:tcW w:w="1440" w:type="dxa"/>
              </w:tcPr>
              <w:p w14:paraId="1DE3816C" w14:textId="77777777" w:rsidR="003D3746" w:rsidRPr="00E17A9E" w:rsidRDefault="003D3746" w:rsidP="00317BC5">
                <w:pPr>
                  <w:pStyle w:val="TableText"/>
                </w:pPr>
              </w:p>
            </w:tc>
          </w:tr>
          <w:tr w:rsidR="003D3746" w:rsidRPr="00E17A9E" w14:paraId="60D07046" w14:textId="77777777" w:rsidTr="7D51821A">
            <w:trPr>
              <w:jc w:val="center"/>
            </w:trPr>
            <w:tc>
              <w:tcPr>
                <w:tcW w:w="1309" w:type="dxa"/>
              </w:tcPr>
              <w:p w14:paraId="6FF7A245" w14:textId="596318E7" w:rsidR="003D3746" w:rsidRPr="00DE3E14" w:rsidRDefault="003D3746" w:rsidP="00317BC5">
                <w:pPr>
                  <w:pStyle w:val="TableText"/>
                </w:pPr>
                <w:r>
                  <w:t>201</w:t>
                </w:r>
                <w:r w:rsidR="00053538">
                  <w:t>6</w:t>
                </w:r>
              </w:p>
            </w:tc>
            <w:tc>
              <w:tcPr>
                <w:tcW w:w="1440" w:type="dxa"/>
              </w:tcPr>
              <w:p w14:paraId="06F4D373" w14:textId="73705E8C" w:rsidR="003D3746" w:rsidRPr="00E17A9E" w:rsidRDefault="00053538" w:rsidP="00317BC5">
                <w:pPr>
                  <w:pStyle w:val="TableText"/>
                </w:pPr>
                <w:r>
                  <w:t>2020</w:t>
                </w:r>
                <w:r w:rsidR="003D3746">
                  <w:t>-</w:t>
                </w:r>
                <w:r>
                  <w:t>21</w:t>
                </w:r>
              </w:p>
            </w:tc>
            <w:tc>
              <w:tcPr>
                <w:tcW w:w="1440" w:type="dxa"/>
              </w:tcPr>
              <w:p w14:paraId="0A1932FF" w14:textId="711099C7" w:rsidR="003D3746" w:rsidRPr="00E17A9E" w:rsidRDefault="005A26F6" w:rsidP="00317BC5">
                <w:pPr>
                  <w:pStyle w:val="TableText"/>
                </w:pPr>
                <w:r>
                  <w:t>7</w:t>
                </w:r>
              </w:p>
            </w:tc>
            <w:tc>
              <w:tcPr>
                <w:tcW w:w="1440" w:type="dxa"/>
              </w:tcPr>
              <w:p w14:paraId="03C612EB" w14:textId="074D6FD7" w:rsidR="003D3746" w:rsidRPr="00E17A9E" w:rsidRDefault="005A26F6" w:rsidP="00317BC5">
                <w:pPr>
                  <w:pStyle w:val="TableText"/>
                </w:pPr>
                <w:r>
                  <w:t>100%</w:t>
                </w:r>
              </w:p>
            </w:tc>
          </w:tr>
        </w:tbl>
      </w:sdtContent>
    </w:sdt>
    <w:p w14:paraId="37702265" w14:textId="2FFF4D57" w:rsidR="00BC64E6" w:rsidRPr="00DD2508" w:rsidRDefault="00BC64E6" w:rsidP="00BC64E6">
      <w:pPr>
        <w:pStyle w:val="Heading2"/>
      </w:pPr>
    </w:p>
    <w:p w14:paraId="2264CA02" w14:textId="5F018F0D" w:rsidR="00B04A0B" w:rsidRPr="00DD2508" w:rsidRDefault="00BC64E6" w:rsidP="00BC64E6">
      <w:pPr>
        <w:pStyle w:val="MeasureTitle"/>
      </w:pPr>
      <w:r w:rsidRPr="00DD2508">
        <w:t xml:space="preserve">Goal </w:t>
      </w:r>
      <w:r w:rsidR="00887F40">
        <w:t>1</w:t>
      </w:r>
      <w:r w:rsidRPr="00DD2508">
        <w:t>: Comparative Measure</w:t>
      </w:r>
    </w:p>
    <w:p w14:paraId="54D3B159" w14:textId="77777777" w:rsidR="00BC64E6" w:rsidRPr="00DD2508" w:rsidRDefault="00BC64E6" w:rsidP="00BC64E6">
      <w:pPr>
        <w:pStyle w:val="MeasureText"/>
        <w:rPr>
          <w:i/>
        </w:rPr>
      </w:pPr>
      <w:r>
        <w:t>Each year, the percent of students in the high school Total Graduation Cohort graduating after the completion of their fourth year will exceed that of the Total Graduation Cohort from the school district of comparison.</w:t>
      </w:r>
    </w:p>
    <w:p w14:paraId="7BA23F1D" w14:textId="77777777" w:rsidR="00053538" w:rsidRPr="00DD2508" w:rsidRDefault="00053538" w:rsidP="00053538">
      <w:pPr>
        <w:pStyle w:val="Heading2"/>
      </w:pPr>
      <w:r w:rsidRPr="00DD2508">
        <w:t>Method</w:t>
      </w:r>
    </w:p>
    <w:p w14:paraId="1A5C48ED" w14:textId="77777777" w:rsidR="00053538" w:rsidRPr="00DD2508" w:rsidRDefault="00053538" w:rsidP="00053538">
      <w:r>
        <w:t>The school compares t</w:t>
      </w:r>
      <w:r w:rsidRPr="00DD2508">
        <w:t>he graduation rate of students completing their fourth year in the charter school</w:t>
      </w:r>
      <w:r>
        <w:t>’s</w:t>
      </w:r>
      <w:r w:rsidRPr="00DD2508">
        <w:t xml:space="preserve"> </w:t>
      </w:r>
      <w:r>
        <w:t xml:space="preserve">Total Graduation Cohort </w:t>
      </w:r>
      <w:r w:rsidRPr="00DD2508">
        <w:t>to that of the respective cohort of students in the school district</w:t>
      </w:r>
      <w:r>
        <w:t xml:space="preserve"> of comparison. Given that district</w:t>
      </w:r>
      <w:r w:rsidRPr="00DD2508">
        <w:t xml:space="preserve"> results for the current year are gener</w:t>
      </w:r>
      <w:r>
        <w:t>ally not available at this time, for purposes of this report schools should include the district’s 2019-20 results as a temporary placeholder for the district’s 2020-21 results.</w:t>
      </w:r>
    </w:p>
    <w:p w14:paraId="61667CA5" w14:textId="77777777" w:rsidR="00053538" w:rsidRPr="00DD2508" w:rsidRDefault="00053538" w:rsidP="00053538">
      <w:pPr>
        <w:pStyle w:val="Heading2"/>
      </w:pPr>
      <w:r w:rsidRPr="00DD2508">
        <w:t>Results</w:t>
      </w:r>
      <w:r>
        <w:t xml:space="preserve"> and evaluation</w:t>
      </w:r>
    </w:p>
    <w:p w14:paraId="342A9BDF" w14:textId="753BB9D6" w:rsidR="00053538" w:rsidRPr="00DD2508" w:rsidRDefault="00D85A57" w:rsidP="00053538">
      <w:proofErr w:type="gramStart"/>
      <w:r>
        <w:rPr>
          <w:rFonts w:ascii="Calibri" w:hAnsi="Calibri" w:cs="Calibri"/>
          <w:color w:val="404040"/>
          <w:szCs w:val="23"/>
        </w:rPr>
        <w:t>Due to the fact that</w:t>
      </w:r>
      <w:proofErr w:type="gramEnd"/>
      <w:r>
        <w:rPr>
          <w:rFonts w:ascii="Calibri" w:hAnsi="Calibri" w:cs="Calibri"/>
          <w:color w:val="404040"/>
          <w:szCs w:val="23"/>
        </w:rPr>
        <w:t xml:space="preserve"> the state does not finalize high school outcome data until later in the school year and data prior to 2019-20 are not suitable for comparison, the calculation of this measure is not required.</w:t>
      </w:r>
    </w:p>
    <w:p w14:paraId="61AA8025" w14:textId="77777777" w:rsidR="00053538" w:rsidRPr="00DD2508" w:rsidRDefault="00053538" w:rsidP="00053538">
      <w:pPr>
        <w:pStyle w:val="TableHeader"/>
      </w:pPr>
      <w:r w:rsidRPr="00DD2508">
        <w:t>Percent of Students in the</w:t>
      </w:r>
      <w:r>
        <w:t xml:space="preserve"> Total</w:t>
      </w:r>
      <w:r w:rsidRPr="00DD2508">
        <w:t xml:space="preserve"> Graduation Cohort who </w:t>
      </w:r>
      <w:r w:rsidRPr="00DD2508">
        <w:br/>
        <w:t xml:space="preserve">Graduate in Four Years Compared to </w:t>
      </w:r>
      <w:r>
        <w:t>the</w:t>
      </w:r>
      <w:r w:rsidRPr="00DD2508">
        <w:t xml:space="preserve"> District </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40"/>
        <w:gridCol w:w="1530"/>
        <w:gridCol w:w="1530"/>
        <w:gridCol w:w="1440"/>
        <w:gridCol w:w="1440"/>
      </w:tblGrid>
      <w:tr w:rsidR="00053538" w:rsidRPr="00DD2508" w14:paraId="638D2FE9" w14:textId="77777777" w:rsidTr="00F37AF1">
        <w:trPr>
          <w:jc w:val="center"/>
        </w:trPr>
        <w:tc>
          <w:tcPr>
            <w:tcW w:w="1255" w:type="dxa"/>
            <w:vMerge w:val="restart"/>
            <w:vAlign w:val="center"/>
          </w:tcPr>
          <w:p w14:paraId="6502E5E1" w14:textId="77777777" w:rsidR="00053538" w:rsidRPr="00DE3E14" w:rsidRDefault="00053538" w:rsidP="00F37AF1">
            <w:pPr>
              <w:pStyle w:val="TableText"/>
            </w:pPr>
            <w:r w:rsidRPr="00DE3E14">
              <w:t>Cohort Designation</w:t>
            </w:r>
          </w:p>
        </w:tc>
        <w:tc>
          <w:tcPr>
            <w:tcW w:w="1440" w:type="dxa"/>
            <w:vMerge w:val="restart"/>
          </w:tcPr>
          <w:p w14:paraId="3B39CBCB" w14:textId="77777777" w:rsidR="00053538" w:rsidRDefault="00053538" w:rsidP="00F37AF1">
            <w:pPr>
              <w:pStyle w:val="TableText"/>
            </w:pPr>
          </w:p>
          <w:p w14:paraId="334C0988" w14:textId="77777777" w:rsidR="00053538" w:rsidRPr="00DE3E14" w:rsidRDefault="00053538" w:rsidP="00F37AF1">
            <w:pPr>
              <w:pStyle w:val="TableText"/>
            </w:pPr>
            <w:r>
              <w:t>School Year</w:t>
            </w:r>
          </w:p>
        </w:tc>
        <w:tc>
          <w:tcPr>
            <w:tcW w:w="3060" w:type="dxa"/>
            <w:gridSpan w:val="2"/>
            <w:vAlign w:val="center"/>
          </w:tcPr>
          <w:p w14:paraId="071677A2" w14:textId="77777777" w:rsidR="00053538" w:rsidRPr="00DE3E14" w:rsidRDefault="00053538" w:rsidP="00F37AF1">
            <w:pPr>
              <w:pStyle w:val="TableText"/>
            </w:pPr>
            <w:r w:rsidRPr="00DE3E14">
              <w:t>Charter School</w:t>
            </w:r>
          </w:p>
        </w:tc>
        <w:tc>
          <w:tcPr>
            <w:tcW w:w="2880" w:type="dxa"/>
            <w:gridSpan w:val="2"/>
            <w:vAlign w:val="center"/>
          </w:tcPr>
          <w:p w14:paraId="03F8316F" w14:textId="77777777" w:rsidR="00053538" w:rsidRPr="00DE3E14" w:rsidRDefault="00053538" w:rsidP="00F37AF1">
            <w:pPr>
              <w:pStyle w:val="TableText"/>
            </w:pPr>
            <w:proofErr w:type="gramStart"/>
            <w:r w:rsidRPr="00DE3E14">
              <w:t>School  Distric</w:t>
            </w:r>
            <w:r w:rsidRPr="00811B1C">
              <w:t>t</w:t>
            </w:r>
            <w:proofErr w:type="gramEnd"/>
          </w:p>
        </w:tc>
      </w:tr>
      <w:tr w:rsidR="00053538" w:rsidRPr="00DD2508" w14:paraId="1D7880C5" w14:textId="77777777" w:rsidTr="00F37AF1">
        <w:trPr>
          <w:trHeight w:val="530"/>
          <w:jc w:val="center"/>
        </w:trPr>
        <w:tc>
          <w:tcPr>
            <w:tcW w:w="1255" w:type="dxa"/>
            <w:vMerge/>
            <w:vAlign w:val="center"/>
          </w:tcPr>
          <w:p w14:paraId="3A73ED83" w14:textId="77777777" w:rsidR="00053538" w:rsidRPr="00DE3E14" w:rsidRDefault="00053538" w:rsidP="00F37AF1">
            <w:pPr>
              <w:pStyle w:val="TableText"/>
            </w:pPr>
          </w:p>
        </w:tc>
        <w:tc>
          <w:tcPr>
            <w:tcW w:w="1440" w:type="dxa"/>
            <w:vMerge/>
          </w:tcPr>
          <w:p w14:paraId="0C6B9BB3" w14:textId="77777777" w:rsidR="00053538" w:rsidRPr="00DE3E14" w:rsidRDefault="00053538" w:rsidP="00F37AF1">
            <w:pPr>
              <w:pStyle w:val="TableText"/>
            </w:pPr>
          </w:p>
        </w:tc>
        <w:tc>
          <w:tcPr>
            <w:tcW w:w="1530" w:type="dxa"/>
            <w:vAlign w:val="center"/>
          </w:tcPr>
          <w:p w14:paraId="1740E517" w14:textId="77777777" w:rsidR="00053538" w:rsidRPr="00DE3E14" w:rsidRDefault="00053538" w:rsidP="00F37AF1">
            <w:pPr>
              <w:pStyle w:val="TableText"/>
            </w:pPr>
            <w:r w:rsidRPr="00DE3E14">
              <w:t>Number in Cohort</w:t>
            </w:r>
          </w:p>
        </w:tc>
        <w:tc>
          <w:tcPr>
            <w:tcW w:w="1530" w:type="dxa"/>
            <w:vAlign w:val="center"/>
          </w:tcPr>
          <w:p w14:paraId="2FA16CA3" w14:textId="77777777" w:rsidR="00053538" w:rsidRPr="00DE3E14" w:rsidRDefault="00053538" w:rsidP="00F37AF1">
            <w:pPr>
              <w:pStyle w:val="TableText"/>
            </w:pPr>
            <w:r w:rsidRPr="00DE3E14">
              <w:t>Percent Graduating</w:t>
            </w:r>
          </w:p>
        </w:tc>
        <w:tc>
          <w:tcPr>
            <w:tcW w:w="1440" w:type="dxa"/>
            <w:vAlign w:val="center"/>
          </w:tcPr>
          <w:p w14:paraId="5ED1756A" w14:textId="77777777" w:rsidR="00053538" w:rsidRPr="00DE3E14" w:rsidRDefault="00053538" w:rsidP="00F37AF1">
            <w:pPr>
              <w:pStyle w:val="TableText"/>
            </w:pPr>
            <w:r w:rsidRPr="00DE3E14">
              <w:t>Number in Cohort</w:t>
            </w:r>
          </w:p>
        </w:tc>
        <w:tc>
          <w:tcPr>
            <w:tcW w:w="1440" w:type="dxa"/>
            <w:vAlign w:val="center"/>
          </w:tcPr>
          <w:p w14:paraId="2492594C" w14:textId="77777777" w:rsidR="00053538" w:rsidRPr="00DE3E14" w:rsidRDefault="00053538" w:rsidP="00F37AF1">
            <w:pPr>
              <w:pStyle w:val="TableText"/>
            </w:pPr>
            <w:r w:rsidRPr="00DE3E14">
              <w:t xml:space="preserve">Percent Graduating </w:t>
            </w:r>
          </w:p>
        </w:tc>
      </w:tr>
      <w:tr w:rsidR="00053538" w:rsidRPr="00DD2508" w14:paraId="6C1243FC" w14:textId="77777777" w:rsidTr="00F37AF1">
        <w:trPr>
          <w:jc w:val="center"/>
        </w:trPr>
        <w:tc>
          <w:tcPr>
            <w:tcW w:w="1255" w:type="dxa"/>
            <w:vAlign w:val="center"/>
          </w:tcPr>
          <w:p w14:paraId="32F0B5F9" w14:textId="77777777" w:rsidR="00053538" w:rsidRPr="00DE3E14" w:rsidRDefault="00053538" w:rsidP="00F37AF1">
            <w:pPr>
              <w:pStyle w:val="TableText"/>
            </w:pPr>
            <w:r w:rsidRPr="00DE3E14">
              <w:t>20</w:t>
            </w:r>
            <w:r>
              <w:t>15</w:t>
            </w:r>
          </w:p>
        </w:tc>
        <w:tc>
          <w:tcPr>
            <w:tcW w:w="1440" w:type="dxa"/>
          </w:tcPr>
          <w:p w14:paraId="5781D1F8" w14:textId="77777777" w:rsidR="00053538" w:rsidRPr="00DE3E14" w:rsidRDefault="00053538" w:rsidP="00F37AF1">
            <w:pPr>
              <w:pStyle w:val="TableText"/>
            </w:pPr>
            <w:r>
              <w:t>2018-19</w:t>
            </w:r>
          </w:p>
        </w:tc>
        <w:tc>
          <w:tcPr>
            <w:tcW w:w="1530" w:type="dxa"/>
          </w:tcPr>
          <w:p w14:paraId="2A60FFFF" w14:textId="77777777" w:rsidR="00053538" w:rsidRPr="00DE3E14" w:rsidRDefault="00053538" w:rsidP="00F37AF1">
            <w:pPr>
              <w:pStyle w:val="TableText"/>
            </w:pPr>
          </w:p>
        </w:tc>
        <w:tc>
          <w:tcPr>
            <w:tcW w:w="1530" w:type="dxa"/>
          </w:tcPr>
          <w:p w14:paraId="66499880" w14:textId="77777777" w:rsidR="00053538" w:rsidRPr="00DE3E14" w:rsidRDefault="00053538" w:rsidP="00F37AF1">
            <w:pPr>
              <w:pStyle w:val="TableText"/>
            </w:pPr>
          </w:p>
        </w:tc>
        <w:tc>
          <w:tcPr>
            <w:tcW w:w="1440" w:type="dxa"/>
          </w:tcPr>
          <w:p w14:paraId="306C4F8D" w14:textId="77777777" w:rsidR="00053538" w:rsidRPr="00DE3E14" w:rsidRDefault="00053538" w:rsidP="00F37AF1">
            <w:pPr>
              <w:pStyle w:val="TableText"/>
            </w:pPr>
          </w:p>
        </w:tc>
        <w:tc>
          <w:tcPr>
            <w:tcW w:w="1440" w:type="dxa"/>
          </w:tcPr>
          <w:p w14:paraId="4634A106" w14:textId="77777777" w:rsidR="00053538" w:rsidRPr="00DE3E14" w:rsidRDefault="00053538" w:rsidP="00F37AF1">
            <w:pPr>
              <w:pStyle w:val="TableText"/>
            </w:pPr>
          </w:p>
        </w:tc>
      </w:tr>
      <w:tr w:rsidR="00053538" w:rsidRPr="00DD2508" w14:paraId="23223877" w14:textId="77777777" w:rsidTr="00F37AF1">
        <w:trPr>
          <w:jc w:val="center"/>
        </w:trPr>
        <w:tc>
          <w:tcPr>
            <w:tcW w:w="1255" w:type="dxa"/>
          </w:tcPr>
          <w:p w14:paraId="13C70E77" w14:textId="77777777" w:rsidR="00053538" w:rsidRPr="00DE3E14" w:rsidRDefault="00053538" w:rsidP="00F37AF1">
            <w:pPr>
              <w:pStyle w:val="TableText"/>
            </w:pPr>
            <w:r w:rsidRPr="00DE3E14">
              <w:t>20</w:t>
            </w:r>
            <w:r>
              <w:t>16</w:t>
            </w:r>
          </w:p>
        </w:tc>
        <w:tc>
          <w:tcPr>
            <w:tcW w:w="1440" w:type="dxa"/>
          </w:tcPr>
          <w:p w14:paraId="56829EB5" w14:textId="77777777" w:rsidR="00053538" w:rsidRPr="00DE3E14" w:rsidRDefault="00053538" w:rsidP="00F37AF1">
            <w:pPr>
              <w:pStyle w:val="TableText"/>
            </w:pPr>
            <w:r>
              <w:t>2019-20</w:t>
            </w:r>
          </w:p>
        </w:tc>
        <w:tc>
          <w:tcPr>
            <w:tcW w:w="1530" w:type="dxa"/>
          </w:tcPr>
          <w:p w14:paraId="6C0F576C" w14:textId="77777777" w:rsidR="00053538" w:rsidRPr="00DE3E14" w:rsidRDefault="00053538" w:rsidP="00F37AF1">
            <w:pPr>
              <w:pStyle w:val="TableText"/>
            </w:pPr>
          </w:p>
        </w:tc>
        <w:tc>
          <w:tcPr>
            <w:tcW w:w="1530" w:type="dxa"/>
          </w:tcPr>
          <w:p w14:paraId="2399C9FD" w14:textId="77777777" w:rsidR="00053538" w:rsidRPr="00DE3E14" w:rsidRDefault="00053538" w:rsidP="00F37AF1">
            <w:pPr>
              <w:pStyle w:val="TableText"/>
            </w:pPr>
          </w:p>
        </w:tc>
        <w:tc>
          <w:tcPr>
            <w:tcW w:w="1440" w:type="dxa"/>
          </w:tcPr>
          <w:p w14:paraId="5DE6BD35" w14:textId="77777777" w:rsidR="00053538" w:rsidRPr="00DE3E14" w:rsidRDefault="00053538" w:rsidP="00F37AF1">
            <w:pPr>
              <w:pStyle w:val="TableText"/>
            </w:pPr>
          </w:p>
        </w:tc>
        <w:tc>
          <w:tcPr>
            <w:tcW w:w="1440" w:type="dxa"/>
          </w:tcPr>
          <w:p w14:paraId="77F59356" w14:textId="77777777" w:rsidR="00053538" w:rsidRPr="00DE3E14" w:rsidRDefault="00053538" w:rsidP="00F37AF1">
            <w:pPr>
              <w:pStyle w:val="TableText"/>
            </w:pPr>
          </w:p>
        </w:tc>
      </w:tr>
      <w:tr w:rsidR="00053538" w:rsidRPr="00DD2508" w14:paraId="755DC81A" w14:textId="77777777" w:rsidTr="00F37AF1">
        <w:trPr>
          <w:jc w:val="center"/>
        </w:trPr>
        <w:tc>
          <w:tcPr>
            <w:tcW w:w="1255" w:type="dxa"/>
          </w:tcPr>
          <w:p w14:paraId="72DCE832" w14:textId="77777777" w:rsidR="00053538" w:rsidRPr="00DE3E14" w:rsidRDefault="00053538" w:rsidP="00F37AF1">
            <w:pPr>
              <w:pStyle w:val="TableText"/>
            </w:pPr>
            <w:r w:rsidRPr="00DE3E14">
              <w:t>20</w:t>
            </w:r>
            <w:r>
              <w:t>17</w:t>
            </w:r>
          </w:p>
        </w:tc>
        <w:tc>
          <w:tcPr>
            <w:tcW w:w="1440" w:type="dxa"/>
          </w:tcPr>
          <w:p w14:paraId="1FC4C47F" w14:textId="77777777" w:rsidR="00053538" w:rsidRPr="00DE3E14" w:rsidRDefault="00053538" w:rsidP="00F37AF1">
            <w:pPr>
              <w:pStyle w:val="TableText"/>
            </w:pPr>
            <w:r>
              <w:t>2020-21</w:t>
            </w:r>
          </w:p>
        </w:tc>
        <w:tc>
          <w:tcPr>
            <w:tcW w:w="1530" w:type="dxa"/>
          </w:tcPr>
          <w:p w14:paraId="5AB2F934" w14:textId="0B54A257" w:rsidR="00053538" w:rsidRPr="00DE3E14" w:rsidRDefault="00D85A57" w:rsidP="00F37AF1">
            <w:pPr>
              <w:pStyle w:val="TableText"/>
            </w:pPr>
            <w:r>
              <w:t>24</w:t>
            </w:r>
          </w:p>
        </w:tc>
        <w:tc>
          <w:tcPr>
            <w:tcW w:w="1530" w:type="dxa"/>
          </w:tcPr>
          <w:p w14:paraId="1F0F1B28" w14:textId="3D8A22E8" w:rsidR="00053538" w:rsidRPr="00DE3E14" w:rsidRDefault="00D85A57" w:rsidP="00F37AF1">
            <w:pPr>
              <w:pStyle w:val="TableText"/>
            </w:pPr>
            <w:r>
              <w:t>96%</w:t>
            </w:r>
          </w:p>
        </w:tc>
        <w:tc>
          <w:tcPr>
            <w:tcW w:w="1440" w:type="dxa"/>
          </w:tcPr>
          <w:p w14:paraId="21918A27" w14:textId="30B2FD40" w:rsidR="00053538" w:rsidRPr="00DE3E14" w:rsidRDefault="00D85A57" w:rsidP="00F37AF1">
            <w:pPr>
              <w:pStyle w:val="TableText"/>
            </w:pPr>
            <w:r>
              <w:t>1577</w:t>
            </w:r>
          </w:p>
        </w:tc>
        <w:tc>
          <w:tcPr>
            <w:tcW w:w="1440" w:type="dxa"/>
          </w:tcPr>
          <w:p w14:paraId="676DAB9E" w14:textId="76C0727D" w:rsidR="00053538" w:rsidRPr="00DE3E14" w:rsidRDefault="00D85A57" w:rsidP="00F37AF1">
            <w:pPr>
              <w:pStyle w:val="TableText"/>
            </w:pPr>
            <w:r>
              <w:t>89%</w:t>
            </w:r>
          </w:p>
        </w:tc>
      </w:tr>
    </w:tbl>
    <w:p w14:paraId="3613FE28" w14:textId="2684D621" w:rsidR="57F71D55" w:rsidRDefault="57F71D55" w:rsidP="57F71D55"/>
    <w:p w14:paraId="534DA462" w14:textId="694A9F4D" w:rsidR="00B04A0B" w:rsidRDefault="00AB6152" w:rsidP="00525629">
      <w:pPr>
        <w:pStyle w:val="MeasureTitle"/>
      </w:pPr>
      <w:r w:rsidRPr="00DD2508">
        <w:t xml:space="preserve">Goal </w:t>
      </w:r>
      <w:r w:rsidR="00B63EF0">
        <w:t>1</w:t>
      </w:r>
      <w:r w:rsidRPr="00DD2508">
        <w:t>: Absolute Measure</w:t>
      </w:r>
      <w:r w:rsidR="008C044D">
        <w:t xml:space="preserve"> </w:t>
      </w:r>
    </w:p>
    <w:p w14:paraId="6ECE4D53" w14:textId="05B2CDDB" w:rsidR="00B04A0B" w:rsidRPr="00525629" w:rsidRDefault="00B04A0B" w:rsidP="00525629">
      <w:pPr>
        <w:pStyle w:val="MeasureText"/>
      </w:pPr>
      <w:r w:rsidRPr="00684173">
        <w:t xml:space="preserve">Each year, </w:t>
      </w:r>
      <w:r w:rsidRPr="00AB6152">
        <w:t>75 percent of students in the high school Total Cohort pursuing an alternative graduation pathway</w:t>
      </w:r>
      <w:r>
        <w:t xml:space="preserve"> (commonly referred to as the 4+1 pathway)</w:t>
      </w:r>
      <w:r w:rsidRPr="00AB6152">
        <w:t xml:space="preserve"> will achieve a Regents equivalency score and pass an approved pathway assessment required for graduation by the end of their fourth year</w:t>
      </w:r>
      <w:r>
        <w:t xml:space="preserve"> in the cohort.</w:t>
      </w:r>
    </w:p>
    <w:p w14:paraId="45FFA74B" w14:textId="725A1018" w:rsidR="00AB6152" w:rsidRDefault="00AB6152" w:rsidP="00AB6152">
      <w:pPr>
        <w:pStyle w:val="Heading2"/>
      </w:pPr>
      <w:r w:rsidRPr="00DD2508">
        <w:t>Method</w:t>
      </w:r>
    </w:p>
    <w:p w14:paraId="042853A5" w14:textId="1FE7404E" w:rsidR="00876A76" w:rsidRDefault="00876A76" w:rsidP="00876A76">
      <w:r w:rsidRPr="00876A76">
        <w:t>The New York State Board of Regents approved regulations establishing alternative pathways to graduation for all students.  Students may replace one of the required Social Studies Regents exams with an approved alternative assessment.  For more information about requirements and approved assessments refer to the NYSED resource online:</w:t>
      </w:r>
      <w:r w:rsidRPr="00876A76">
        <w:rPr>
          <w:bCs/>
        </w:rPr>
        <w:t xml:space="preserve"> </w:t>
      </w:r>
      <w:hyperlink r:id="rId13" w:history="1">
        <w:r w:rsidRPr="00876A76">
          <w:rPr>
            <w:rStyle w:val="Hyperlink"/>
          </w:rPr>
          <w:t>http://www.p12.nysed.gov/ciai/multiple-</w:t>
        </w:r>
        <w:r w:rsidRPr="00876A76">
          <w:rPr>
            <w:rStyle w:val="Hyperlink"/>
          </w:rPr>
          <w:lastRenderedPageBreak/>
          <w:t>pathways/</w:t>
        </w:r>
      </w:hyperlink>
      <w:r w:rsidRPr="00876A76">
        <w:t>.  The school will document the names of the alternative assessments administered and success rate for students in the templates bellow.</w:t>
      </w:r>
    </w:p>
    <w:p w14:paraId="314D9F0C" w14:textId="77777777" w:rsidR="00053538" w:rsidRPr="00525629" w:rsidRDefault="00053538" w:rsidP="00053538">
      <w:pPr>
        <w:rPr>
          <w:b/>
        </w:rPr>
      </w:pPr>
      <w:r w:rsidRPr="00616126">
        <w:rPr>
          <w:b/>
        </w:rPr>
        <w:t xml:space="preserve">As a result of the Board of Regents’ guidance regarding the cancellation of </w:t>
      </w:r>
      <w:r>
        <w:rPr>
          <w:b/>
        </w:rPr>
        <w:t>multiple administrations of the Regents exams in 2019-20 and 2020-21</w:t>
      </w:r>
      <w:r w:rsidRPr="00616126">
        <w:rPr>
          <w:b/>
        </w:rPr>
        <w:t xml:space="preserve">, </w:t>
      </w:r>
      <w:r>
        <w:rPr>
          <w:b/>
        </w:rPr>
        <w:t>students planning to take a pathway examination during those cancelled dates would be exempted from the requirement</w:t>
      </w:r>
      <w:r w:rsidRPr="00616126">
        <w:rPr>
          <w:b/>
        </w:rPr>
        <w:t xml:space="preserve">. </w:t>
      </w:r>
      <w:r>
        <w:rPr>
          <w:b/>
        </w:rPr>
        <w:t xml:space="preserve">For purposes of this measure, only report results for students with valid scores for any pathway exam. </w:t>
      </w:r>
    </w:p>
    <w:p w14:paraId="51654D01" w14:textId="3082E1D9" w:rsidR="00AB6152" w:rsidRPr="00DD2508" w:rsidRDefault="00AB6152" w:rsidP="00AB6152">
      <w:pPr>
        <w:pStyle w:val="Heading2"/>
      </w:pPr>
      <w:r w:rsidRPr="00DD2508">
        <w:t>Results</w:t>
      </w:r>
      <w:r>
        <w:t xml:space="preserve"> and Evaluation</w:t>
      </w:r>
    </w:p>
    <w:p w14:paraId="446B92A4" w14:textId="1E57DFD3" w:rsidR="00184492" w:rsidRDefault="00B51105" w:rsidP="00AB6152">
      <w:proofErr w:type="gramStart"/>
      <w:r w:rsidRPr="00B51105">
        <w:t>At this time</w:t>
      </w:r>
      <w:proofErr w:type="gramEnd"/>
      <w:r w:rsidRPr="00B51105">
        <w:t xml:space="preserve">, </w:t>
      </w:r>
      <w:r>
        <w:t>Troy Prep</w:t>
      </w:r>
      <w:r w:rsidRPr="00B51105">
        <w:t xml:space="preserve"> Charter School did not have 201</w:t>
      </w:r>
      <w:r>
        <w:t>7</w:t>
      </w:r>
      <w:r w:rsidRPr="00B51105">
        <w:t xml:space="preserve"> cohort students in an alternative graduation pathway program.</w:t>
      </w:r>
    </w:p>
    <w:p w14:paraId="46A02FF0" w14:textId="77777777" w:rsidR="00184492" w:rsidRDefault="00184492" w:rsidP="00AB6152"/>
    <w:p w14:paraId="68E9B3E5" w14:textId="0B628C26" w:rsidR="00AB6152" w:rsidRDefault="008C5567" w:rsidP="00AB6152">
      <w:pPr>
        <w:pStyle w:val="TableHeader"/>
      </w:pPr>
      <w:r>
        <w:t>Percentage of the 201</w:t>
      </w:r>
      <w:r w:rsidR="00053538">
        <w:t>7</w:t>
      </w:r>
      <w:r w:rsidR="007753E3">
        <w:t xml:space="preserve"> Graduation</w:t>
      </w:r>
      <w:r w:rsidR="00AB6152">
        <w:t xml:space="preserve"> Cohort Pathway Students Demonstrating Success by Exam Type </w:t>
      </w:r>
    </w:p>
    <w:tbl>
      <w:tblPr>
        <w:tblStyle w:val="TableGrid"/>
        <w:tblW w:w="0" w:type="auto"/>
        <w:jc w:val="center"/>
        <w:tblLook w:val="04A0" w:firstRow="1" w:lastRow="0" w:firstColumn="1" w:lastColumn="0" w:noHBand="0" w:noVBand="1"/>
      </w:tblPr>
      <w:tblGrid>
        <w:gridCol w:w="2515"/>
        <w:gridCol w:w="1800"/>
        <w:gridCol w:w="2250"/>
        <w:gridCol w:w="2340"/>
      </w:tblGrid>
      <w:tr w:rsidR="00AB6152" w14:paraId="544909C5" w14:textId="77777777" w:rsidTr="00684173">
        <w:trPr>
          <w:trHeight w:val="1106"/>
          <w:jc w:val="center"/>
        </w:trPr>
        <w:tc>
          <w:tcPr>
            <w:tcW w:w="2515" w:type="dxa"/>
          </w:tcPr>
          <w:p w14:paraId="68A7450F" w14:textId="77777777" w:rsidR="00AB6152" w:rsidRDefault="00AB6152" w:rsidP="00F71C65">
            <w:pPr>
              <w:jc w:val="center"/>
              <w:rPr>
                <w:rFonts w:asciiTheme="minorHAnsi" w:hAnsiTheme="minorHAnsi" w:cstheme="minorHAnsi"/>
                <w:sz w:val="20"/>
              </w:rPr>
            </w:pPr>
          </w:p>
          <w:p w14:paraId="74114DBA" w14:textId="65E7A245" w:rsidR="00AB6152" w:rsidRPr="00FF7D0A" w:rsidRDefault="00AB6152" w:rsidP="00F71C65">
            <w:pPr>
              <w:jc w:val="center"/>
              <w:rPr>
                <w:rFonts w:asciiTheme="minorHAnsi" w:hAnsiTheme="minorHAnsi" w:cstheme="minorHAnsi"/>
                <w:sz w:val="20"/>
              </w:rPr>
            </w:pPr>
            <w:r>
              <w:rPr>
                <w:rFonts w:asciiTheme="minorHAnsi" w:hAnsiTheme="minorHAnsi" w:cstheme="minorHAnsi"/>
                <w:sz w:val="20"/>
              </w:rPr>
              <w:t>Exam</w:t>
            </w:r>
          </w:p>
        </w:tc>
        <w:tc>
          <w:tcPr>
            <w:tcW w:w="1800" w:type="dxa"/>
          </w:tcPr>
          <w:p w14:paraId="213E25B6" w14:textId="77777777" w:rsidR="007753E3" w:rsidRDefault="00AB6152">
            <w:pPr>
              <w:jc w:val="center"/>
              <w:rPr>
                <w:rFonts w:asciiTheme="minorHAnsi" w:hAnsiTheme="minorHAnsi" w:cstheme="minorHAnsi"/>
                <w:sz w:val="20"/>
              </w:rPr>
            </w:pPr>
            <w:r w:rsidRPr="00FF7D0A">
              <w:rPr>
                <w:rFonts w:asciiTheme="minorHAnsi" w:hAnsiTheme="minorHAnsi" w:cstheme="minorHAnsi"/>
                <w:sz w:val="20"/>
              </w:rPr>
              <w:t xml:space="preserve">Number of </w:t>
            </w:r>
            <w:r w:rsidR="007753E3">
              <w:rPr>
                <w:rFonts w:asciiTheme="minorHAnsi" w:hAnsiTheme="minorHAnsi" w:cstheme="minorHAnsi"/>
                <w:sz w:val="20"/>
              </w:rPr>
              <w:t xml:space="preserve">Graduation </w:t>
            </w:r>
            <w:r>
              <w:rPr>
                <w:rFonts w:asciiTheme="minorHAnsi" w:hAnsiTheme="minorHAnsi" w:cstheme="minorHAnsi"/>
                <w:sz w:val="20"/>
              </w:rPr>
              <w:t>Cohort Members Tested</w:t>
            </w:r>
          </w:p>
          <w:p w14:paraId="56DFCD62" w14:textId="3B08C4D8" w:rsidR="007753E3" w:rsidRPr="00FF7D0A" w:rsidRDefault="007753E3">
            <w:pPr>
              <w:jc w:val="center"/>
              <w:rPr>
                <w:rFonts w:asciiTheme="minorHAnsi" w:hAnsiTheme="minorHAnsi" w:cstheme="minorHAnsi"/>
                <w:sz w:val="20"/>
              </w:rPr>
            </w:pPr>
            <w:r>
              <w:rPr>
                <w:rFonts w:asciiTheme="minorHAnsi" w:hAnsiTheme="minorHAnsi" w:cstheme="minorHAnsi"/>
                <w:sz w:val="20"/>
              </w:rPr>
              <w:t>(a)</w:t>
            </w:r>
          </w:p>
        </w:tc>
        <w:tc>
          <w:tcPr>
            <w:tcW w:w="2250" w:type="dxa"/>
          </w:tcPr>
          <w:p w14:paraId="46E664C1" w14:textId="77777777" w:rsidR="00AB6152" w:rsidRDefault="00AB6152">
            <w:pPr>
              <w:jc w:val="center"/>
              <w:rPr>
                <w:rFonts w:asciiTheme="minorHAnsi" w:hAnsiTheme="minorHAnsi" w:cstheme="minorHAnsi"/>
                <w:sz w:val="20"/>
              </w:rPr>
            </w:pPr>
            <w:r w:rsidRPr="00FF7D0A">
              <w:rPr>
                <w:rFonts w:asciiTheme="minorHAnsi" w:hAnsiTheme="minorHAnsi" w:cstheme="minorHAnsi"/>
                <w:sz w:val="20"/>
              </w:rPr>
              <w:t xml:space="preserve">Number </w:t>
            </w:r>
            <w:r w:rsidR="007753E3">
              <w:rPr>
                <w:rFonts w:asciiTheme="minorHAnsi" w:hAnsiTheme="minorHAnsi" w:cstheme="minorHAnsi"/>
                <w:sz w:val="20"/>
              </w:rPr>
              <w:t>Passing or Achieving Regents E</w:t>
            </w:r>
            <w:r w:rsidR="002112CE">
              <w:rPr>
                <w:rFonts w:asciiTheme="minorHAnsi" w:hAnsiTheme="minorHAnsi" w:cstheme="minorHAnsi"/>
                <w:sz w:val="20"/>
              </w:rPr>
              <w:t>quivalency</w:t>
            </w:r>
          </w:p>
          <w:p w14:paraId="6E8DEED2" w14:textId="67960C58" w:rsidR="007753E3" w:rsidRPr="00FF7D0A" w:rsidRDefault="007753E3">
            <w:pPr>
              <w:jc w:val="center"/>
              <w:rPr>
                <w:rFonts w:asciiTheme="minorHAnsi" w:hAnsiTheme="minorHAnsi" w:cstheme="minorHAnsi"/>
                <w:sz w:val="20"/>
              </w:rPr>
            </w:pPr>
            <w:r>
              <w:rPr>
                <w:rFonts w:asciiTheme="minorHAnsi" w:hAnsiTheme="minorHAnsi" w:cstheme="minorHAnsi"/>
                <w:sz w:val="20"/>
              </w:rPr>
              <w:t>(b)</w:t>
            </w:r>
          </w:p>
        </w:tc>
        <w:tc>
          <w:tcPr>
            <w:tcW w:w="2340" w:type="dxa"/>
          </w:tcPr>
          <w:p w14:paraId="4E93279B" w14:textId="77777777" w:rsidR="007753E3" w:rsidRDefault="007753E3">
            <w:pPr>
              <w:jc w:val="center"/>
              <w:rPr>
                <w:rFonts w:asciiTheme="minorHAnsi" w:hAnsiTheme="minorHAnsi" w:cstheme="minorHAnsi"/>
                <w:sz w:val="20"/>
              </w:rPr>
            </w:pPr>
          </w:p>
          <w:p w14:paraId="725C07D4" w14:textId="5E3FBF1A" w:rsidR="00AB6152" w:rsidRDefault="00AB6152">
            <w:pPr>
              <w:jc w:val="center"/>
              <w:rPr>
                <w:rFonts w:asciiTheme="minorHAnsi" w:hAnsiTheme="minorHAnsi" w:cstheme="minorHAnsi"/>
                <w:sz w:val="20"/>
              </w:rPr>
            </w:pPr>
            <w:r w:rsidRPr="00FF7D0A">
              <w:rPr>
                <w:rFonts w:asciiTheme="minorHAnsi" w:hAnsiTheme="minorHAnsi" w:cstheme="minorHAnsi"/>
                <w:sz w:val="20"/>
              </w:rPr>
              <w:t xml:space="preserve">Percentage </w:t>
            </w:r>
            <w:r w:rsidR="002112CE">
              <w:rPr>
                <w:rFonts w:asciiTheme="minorHAnsi" w:hAnsiTheme="minorHAnsi" w:cstheme="minorHAnsi"/>
                <w:sz w:val="20"/>
              </w:rPr>
              <w:t>Passing</w:t>
            </w:r>
          </w:p>
          <w:p w14:paraId="3CD8628A" w14:textId="3109038E" w:rsidR="007753E3" w:rsidRPr="00FF7D0A" w:rsidRDefault="007753E3">
            <w:pPr>
              <w:jc w:val="center"/>
              <w:rPr>
                <w:rFonts w:asciiTheme="minorHAnsi" w:hAnsiTheme="minorHAnsi" w:cstheme="minorHAnsi"/>
                <w:sz w:val="20"/>
              </w:rPr>
            </w:pPr>
            <w:r>
              <w:rPr>
                <w:rFonts w:asciiTheme="minorHAnsi" w:hAnsiTheme="minorHAnsi" w:cstheme="minorHAnsi"/>
                <w:sz w:val="20"/>
              </w:rPr>
              <w:t>=[(b)/(a</w:t>
            </w:r>
            <w:proofErr w:type="gramStart"/>
            <w:r>
              <w:rPr>
                <w:rFonts w:asciiTheme="minorHAnsi" w:hAnsiTheme="minorHAnsi" w:cstheme="minorHAnsi"/>
                <w:sz w:val="20"/>
              </w:rPr>
              <w:t>)]*</w:t>
            </w:r>
            <w:proofErr w:type="gramEnd"/>
            <w:r>
              <w:rPr>
                <w:rFonts w:asciiTheme="minorHAnsi" w:hAnsiTheme="minorHAnsi" w:cstheme="minorHAnsi"/>
                <w:sz w:val="20"/>
              </w:rPr>
              <w:t>100</w:t>
            </w:r>
          </w:p>
        </w:tc>
      </w:tr>
      <w:tr w:rsidR="00AB6152" w14:paraId="113AD9BF" w14:textId="77777777" w:rsidTr="00B51105">
        <w:trPr>
          <w:jc w:val="center"/>
        </w:trPr>
        <w:tc>
          <w:tcPr>
            <w:tcW w:w="2515" w:type="dxa"/>
            <w:shd w:val="clear" w:color="auto" w:fill="auto"/>
          </w:tcPr>
          <w:p w14:paraId="1108A8E8" w14:textId="207588DF" w:rsidR="00AB6152" w:rsidRPr="00FF7D0A" w:rsidRDefault="00B51105">
            <w:pPr>
              <w:jc w:val="center"/>
              <w:rPr>
                <w:rFonts w:asciiTheme="minorHAnsi" w:hAnsiTheme="minorHAnsi" w:cstheme="minorHAnsi"/>
                <w:sz w:val="20"/>
                <w:highlight w:val="lightGray"/>
              </w:rPr>
            </w:pPr>
            <w:r>
              <w:rPr>
                <w:rFonts w:asciiTheme="minorHAnsi" w:hAnsiTheme="minorHAnsi" w:cstheme="minorHAnsi"/>
                <w:sz w:val="20"/>
              </w:rPr>
              <w:t>N/A</w:t>
            </w:r>
          </w:p>
        </w:tc>
        <w:tc>
          <w:tcPr>
            <w:tcW w:w="1800" w:type="dxa"/>
          </w:tcPr>
          <w:p w14:paraId="144473B2" w14:textId="77777777" w:rsidR="00AB6152" w:rsidRPr="00FF7D0A" w:rsidRDefault="00AB6152" w:rsidP="00F71C65">
            <w:pPr>
              <w:jc w:val="center"/>
              <w:rPr>
                <w:rFonts w:asciiTheme="minorHAnsi" w:hAnsiTheme="minorHAnsi" w:cstheme="minorHAnsi"/>
                <w:sz w:val="20"/>
              </w:rPr>
            </w:pPr>
          </w:p>
        </w:tc>
        <w:tc>
          <w:tcPr>
            <w:tcW w:w="2250" w:type="dxa"/>
          </w:tcPr>
          <w:p w14:paraId="21173BF9" w14:textId="77777777" w:rsidR="00AB6152" w:rsidRPr="00FF7D0A" w:rsidRDefault="00AB6152" w:rsidP="00F71C65">
            <w:pPr>
              <w:jc w:val="center"/>
              <w:rPr>
                <w:rFonts w:asciiTheme="minorHAnsi" w:hAnsiTheme="minorHAnsi" w:cstheme="minorHAnsi"/>
                <w:sz w:val="20"/>
              </w:rPr>
            </w:pPr>
          </w:p>
        </w:tc>
        <w:tc>
          <w:tcPr>
            <w:tcW w:w="2340" w:type="dxa"/>
          </w:tcPr>
          <w:p w14:paraId="13647DCD" w14:textId="77777777" w:rsidR="00AB6152" w:rsidRPr="00FF7D0A" w:rsidRDefault="00AB6152" w:rsidP="00F71C65">
            <w:pPr>
              <w:jc w:val="center"/>
              <w:rPr>
                <w:rFonts w:asciiTheme="minorHAnsi" w:hAnsiTheme="minorHAnsi" w:cstheme="minorHAnsi"/>
                <w:sz w:val="20"/>
              </w:rPr>
            </w:pPr>
          </w:p>
        </w:tc>
      </w:tr>
      <w:tr w:rsidR="00B51105" w14:paraId="0EF047FC" w14:textId="77777777" w:rsidTr="00B51105">
        <w:trPr>
          <w:jc w:val="center"/>
        </w:trPr>
        <w:tc>
          <w:tcPr>
            <w:tcW w:w="2515" w:type="dxa"/>
            <w:shd w:val="clear" w:color="auto" w:fill="auto"/>
          </w:tcPr>
          <w:p w14:paraId="19C037AD" w14:textId="72D41537" w:rsidR="00B51105" w:rsidRPr="00FF7D0A" w:rsidRDefault="00B51105" w:rsidP="00B51105">
            <w:pPr>
              <w:jc w:val="center"/>
              <w:rPr>
                <w:rFonts w:asciiTheme="minorHAnsi" w:hAnsiTheme="minorHAnsi" w:cstheme="minorHAnsi"/>
                <w:sz w:val="20"/>
                <w:highlight w:val="lightGray"/>
              </w:rPr>
            </w:pPr>
            <w:r>
              <w:rPr>
                <w:rFonts w:asciiTheme="minorHAnsi" w:hAnsiTheme="minorHAnsi" w:cstheme="minorHAnsi"/>
                <w:sz w:val="20"/>
              </w:rPr>
              <w:t>N/A</w:t>
            </w:r>
          </w:p>
        </w:tc>
        <w:tc>
          <w:tcPr>
            <w:tcW w:w="1800" w:type="dxa"/>
          </w:tcPr>
          <w:p w14:paraId="7E249FAA" w14:textId="77777777" w:rsidR="00B51105" w:rsidRPr="00FF7D0A" w:rsidRDefault="00B51105" w:rsidP="00B51105">
            <w:pPr>
              <w:jc w:val="center"/>
              <w:rPr>
                <w:rFonts w:asciiTheme="minorHAnsi" w:hAnsiTheme="minorHAnsi" w:cstheme="minorHAnsi"/>
                <w:sz w:val="20"/>
              </w:rPr>
            </w:pPr>
          </w:p>
        </w:tc>
        <w:tc>
          <w:tcPr>
            <w:tcW w:w="2250" w:type="dxa"/>
          </w:tcPr>
          <w:p w14:paraId="5E0E4952" w14:textId="77777777" w:rsidR="00B51105" w:rsidRPr="00FF7D0A" w:rsidRDefault="00B51105" w:rsidP="00B51105">
            <w:pPr>
              <w:jc w:val="center"/>
              <w:rPr>
                <w:rFonts w:asciiTheme="minorHAnsi" w:hAnsiTheme="minorHAnsi" w:cstheme="minorHAnsi"/>
                <w:sz w:val="20"/>
              </w:rPr>
            </w:pPr>
          </w:p>
        </w:tc>
        <w:tc>
          <w:tcPr>
            <w:tcW w:w="2340" w:type="dxa"/>
          </w:tcPr>
          <w:p w14:paraId="651FC5B3" w14:textId="77777777" w:rsidR="00B51105" w:rsidRPr="00FF7D0A" w:rsidRDefault="00B51105" w:rsidP="00B51105">
            <w:pPr>
              <w:jc w:val="center"/>
              <w:rPr>
                <w:rFonts w:asciiTheme="minorHAnsi" w:hAnsiTheme="minorHAnsi" w:cstheme="minorHAnsi"/>
                <w:sz w:val="20"/>
              </w:rPr>
            </w:pPr>
          </w:p>
        </w:tc>
      </w:tr>
      <w:tr w:rsidR="00B51105" w14:paraId="38058C0C" w14:textId="77777777" w:rsidTr="00B51105">
        <w:trPr>
          <w:jc w:val="center"/>
        </w:trPr>
        <w:tc>
          <w:tcPr>
            <w:tcW w:w="2515" w:type="dxa"/>
            <w:shd w:val="clear" w:color="auto" w:fill="auto"/>
          </w:tcPr>
          <w:p w14:paraId="33064DDD" w14:textId="2351122E" w:rsidR="00B51105" w:rsidRPr="00FF7D0A" w:rsidRDefault="00B51105" w:rsidP="00B51105">
            <w:pPr>
              <w:jc w:val="center"/>
              <w:rPr>
                <w:rFonts w:asciiTheme="minorHAnsi" w:hAnsiTheme="minorHAnsi" w:cstheme="minorHAnsi"/>
                <w:sz w:val="20"/>
                <w:highlight w:val="lightGray"/>
              </w:rPr>
            </w:pPr>
            <w:r>
              <w:rPr>
                <w:rFonts w:asciiTheme="minorHAnsi" w:hAnsiTheme="minorHAnsi" w:cstheme="minorHAnsi"/>
                <w:sz w:val="20"/>
              </w:rPr>
              <w:t>N/A</w:t>
            </w:r>
          </w:p>
        </w:tc>
        <w:tc>
          <w:tcPr>
            <w:tcW w:w="1800" w:type="dxa"/>
          </w:tcPr>
          <w:p w14:paraId="13E5DD6C" w14:textId="77777777" w:rsidR="00B51105" w:rsidRPr="00FF7D0A" w:rsidRDefault="00B51105" w:rsidP="00B51105">
            <w:pPr>
              <w:jc w:val="center"/>
              <w:rPr>
                <w:rFonts w:asciiTheme="minorHAnsi" w:hAnsiTheme="minorHAnsi" w:cstheme="minorHAnsi"/>
                <w:sz w:val="20"/>
              </w:rPr>
            </w:pPr>
          </w:p>
        </w:tc>
        <w:tc>
          <w:tcPr>
            <w:tcW w:w="2250" w:type="dxa"/>
          </w:tcPr>
          <w:p w14:paraId="746C2C4F" w14:textId="77777777" w:rsidR="00B51105" w:rsidRPr="00FF7D0A" w:rsidRDefault="00B51105" w:rsidP="00B51105">
            <w:pPr>
              <w:jc w:val="center"/>
              <w:rPr>
                <w:rFonts w:asciiTheme="minorHAnsi" w:hAnsiTheme="minorHAnsi" w:cstheme="minorHAnsi"/>
                <w:sz w:val="20"/>
              </w:rPr>
            </w:pPr>
          </w:p>
        </w:tc>
        <w:tc>
          <w:tcPr>
            <w:tcW w:w="2340" w:type="dxa"/>
          </w:tcPr>
          <w:p w14:paraId="74ECB5C0" w14:textId="77777777" w:rsidR="00B51105" w:rsidRPr="00FF7D0A" w:rsidRDefault="00B51105" w:rsidP="00B51105">
            <w:pPr>
              <w:jc w:val="center"/>
              <w:rPr>
                <w:rFonts w:asciiTheme="minorHAnsi" w:hAnsiTheme="minorHAnsi" w:cstheme="minorHAnsi"/>
                <w:sz w:val="20"/>
              </w:rPr>
            </w:pPr>
          </w:p>
        </w:tc>
      </w:tr>
      <w:tr w:rsidR="00B51105" w14:paraId="3060B1CF" w14:textId="77777777" w:rsidTr="00B51105">
        <w:trPr>
          <w:trHeight w:val="305"/>
          <w:jc w:val="center"/>
        </w:trPr>
        <w:tc>
          <w:tcPr>
            <w:tcW w:w="2515" w:type="dxa"/>
            <w:shd w:val="clear" w:color="auto" w:fill="auto"/>
          </w:tcPr>
          <w:p w14:paraId="1BBAA5BD" w14:textId="77777777" w:rsidR="00B51105" w:rsidRDefault="00B51105" w:rsidP="00B51105">
            <w:pPr>
              <w:jc w:val="center"/>
              <w:rPr>
                <w:rFonts w:asciiTheme="minorHAnsi" w:hAnsiTheme="minorHAnsi" w:cstheme="minorHAnsi"/>
                <w:sz w:val="20"/>
              </w:rPr>
            </w:pPr>
          </w:p>
          <w:p w14:paraId="28B0C37C" w14:textId="6274F21D" w:rsidR="00B51105" w:rsidRPr="00FF7D0A" w:rsidRDefault="00B51105" w:rsidP="00B51105">
            <w:pPr>
              <w:jc w:val="center"/>
              <w:rPr>
                <w:rFonts w:asciiTheme="minorHAnsi" w:hAnsiTheme="minorHAnsi" w:cstheme="minorHAnsi"/>
                <w:sz w:val="20"/>
              </w:rPr>
            </w:pPr>
            <w:r w:rsidRPr="00FF7D0A">
              <w:rPr>
                <w:rFonts w:asciiTheme="minorHAnsi" w:hAnsiTheme="minorHAnsi" w:cstheme="minorHAnsi"/>
                <w:sz w:val="20"/>
              </w:rPr>
              <w:t>Overall</w:t>
            </w:r>
          </w:p>
        </w:tc>
        <w:tc>
          <w:tcPr>
            <w:tcW w:w="1800" w:type="dxa"/>
          </w:tcPr>
          <w:p w14:paraId="20483A59" w14:textId="0B5BE3C0" w:rsidR="00B51105" w:rsidRPr="00FF7D0A" w:rsidRDefault="00B51105" w:rsidP="00B51105">
            <w:pPr>
              <w:jc w:val="center"/>
              <w:rPr>
                <w:rFonts w:asciiTheme="minorHAnsi" w:hAnsiTheme="minorHAnsi" w:cstheme="minorHAnsi"/>
                <w:sz w:val="20"/>
              </w:rPr>
            </w:pPr>
          </w:p>
        </w:tc>
        <w:tc>
          <w:tcPr>
            <w:tcW w:w="2250" w:type="dxa"/>
          </w:tcPr>
          <w:p w14:paraId="0DF33B0E" w14:textId="5D6874F6" w:rsidR="00B51105" w:rsidRPr="00FF7D0A" w:rsidRDefault="00B51105" w:rsidP="00B51105">
            <w:pPr>
              <w:jc w:val="center"/>
              <w:rPr>
                <w:rFonts w:asciiTheme="minorHAnsi" w:hAnsiTheme="minorHAnsi" w:cstheme="minorHAnsi"/>
                <w:sz w:val="20"/>
              </w:rPr>
            </w:pPr>
          </w:p>
        </w:tc>
        <w:tc>
          <w:tcPr>
            <w:tcW w:w="2340" w:type="dxa"/>
          </w:tcPr>
          <w:p w14:paraId="472D4FF1" w14:textId="783326E7" w:rsidR="00B51105" w:rsidRPr="00FF7D0A" w:rsidRDefault="00B51105" w:rsidP="00B51105">
            <w:pPr>
              <w:jc w:val="center"/>
              <w:rPr>
                <w:rFonts w:asciiTheme="minorHAnsi" w:hAnsiTheme="minorHAnsi" w:cstheme="minorHAnsi"/>
                <w:sz w:val="20"/>
              </w:rPr>
            </w:pPr>
          </w:p>
        </w:tc>
      </w:tr>
    </w:tbl>
    <w:p w14:paraId="008C6473" w14:textId="62593192" w:rsidR="00AB6152" w:rsidRPr="00DD2508" w:rsidRDefault="00AB6152" w:rsidP="00AB6152"/>
    <w:p w14:paraId="24F636AB" w14:textId="6FDCDE33" w:rsidR="00AB6152" w:rsidRDefault="00AB6152" w:rsidP="00AB6152">
      <w:pPr>
        <w:pStyle w:val="TableHeader"/>
      </w:pPr>
      <w:r>
        <w:t>Pathway Exam Passing Rate</w:t>
      </w:r>
    </w:p>
    <w:p w14:paraId="149BFC04" w14:textId="103F0BF3" w:rsidR="00AB6152" w:rsidRPr="00DD2508" w:rsidRDefault="00AB6152" w:rsidP="00AB6152">
      <w:pPr>
        <w:pStyle w:val="TableHeader"/>
      </w:pPr>
      <w:r w:rsidRPr="00DD2508">
        <w:t>by Fourth Year Accountability Cohort</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615"/>
        <w:gridCol w:w="1615"/>
        <w:gridCol w:w="2555"/>
      </w:tblGrid>
      <w:tr w:rsidR="008C5567" w:rsidRPr="00DD2508" w14:paraId="5D0EB316" w14:textId="77777777" w:rsidTr="7D51821A">
        <w:trPr>
          <w:trHeight w:val="738"/>
          <w:jc w:val="center"/>
        </w:trPr>
        <w:tc>
          <w:tcPr>
            <w:tcW w:w="1890" w:type="dxa"/>
            <w:shd w:val="clear" w:color="auto" w:fill="auto"/>
            <w:vAlign w:val="center"/>
          </w:tcPr>
          <w:p w14:paraId="3F1FE5C8" w14:textId="77777777" w:rsidR="008C5567" w:rsidRPr="00DE3E14" w:rsidRDefault="008C5567" w:rsidP="00F71C65">
            <w:pPr>
              <w:pStyle w:val="TableText"/>
            </w:pPr>
            <w:r w:rsidRPr="00DE3E14">
              <w:t>Cohort Designation</w:t>
            </w:r>
          </w:p>
        </w:tc>
        <w:tc>
          <w:tcPr>
            <w:tcW w:w="1615" w:type="dxa"/>
          </w:tcPr>
          <w:p w14:paraId="28010A5A" w14:textId="77777777" w:rsidR="008C5567" w:rsidRDefault="008C5567" w:rsidP="00F71C65">
            <w:pPr>
              <w:pStyle w:val="TableText"/>
            </w:pPr>
          </w:p>
          <w:p w14:paraId="2C03B5D7" w14:textId="22C98506" w:rsidR="008C5567" w:rsidRPr="00DE3E14" w:rsidRDefault="008C5567" w:rsidP="00F71C65">
            <w:pPr>
              <w:pStyle w:val="TableText"/>
            </w:pPr>
            <w:r>
              <w:t>School Year</w:t>
            </w:r>
          </w:p>
        </w:tc>
        <w:tc>
          <w:tcPr>
            <w:tcW w:w="1615" w:type="dxa"/>
            <w:tcBorders>
              <w:right w:val="single" w:sz="4" w:space="0" w:color="auto"/>
            </w:tcBorders>
            <w:vAlign w:val="center"/>
          </w:tcPr>
          <w:p w14:paraId="45BEEDF4" w14:textId="1F341483" w:rsidR="008C5567" w:rsidRPr="00DE3E14" w:rsidRDefault="008C5567" w:rsidP="00F71C65">
            <w:pPr>
              <w:pStyle w:val="TableText"/>
              <w:rPr>
                <w:bCs/>
              </w:rPr>
            </w:pPr>
            <w:r w:rsidRPr="00DE3E14">
              <w:t>Number in Cohort</w:t>
            </w:r>
          </w:p>
        </w:tc>
        <w:tc>
          <w:tcPr>
            <w:tcW w:w="2555" w:type="dxa"/>
            <w:tcBorders>
              <w:top w:val="single" w:sz="4" w:space="0" w:color="auto"/>
              <w:left w:val="single" w:sz="4" w:space="0" w:color="auto"/>
              <w:right w:val="single" w:sz="4" w:space="0" w:color="auto"/>
            </w:tcBorders>
            <w:vAlign w:val="center"/>
          </w:tcPr>
          <w:p w14:paraId="48BB85F4" w14:textId="36A0A503" w:rsidR="008C5567" w:rsidRPr="00DE3E14" w:rsidRDefault="008C5567">
            <w:pPr>
              <w:pStyle w:val="TableText"/>
              <w:rPr>
                <w:bCs/>
              </w:rPr>
            </w:pPr>
            <w:r w:rsidRPr="00D9256A">
              <w:t xml:space="preserve">Percent Passing </w:t>
            </w:r>
            <w:r>
              <w:t>a Pathway Exam</w:t>
            </w:r>
          </w:p>
        </w:tc>
      </w:tr>
      <w:tr w:rsidR="008C5567" w:rsidRPr="00DD2508" w14:paraId="0B0DE7DC" w14:textId="77777777" w:rsidTr="7D51821A">
        <w:trPr>
          <w:trHeight w:val="228"/>
          <w:jc w:val="center"/>
        </w:trPr>
        <w:tc>
          <w:tcPr>
            <w:tcW w:w="1890" w:type="dxa"/>
          </w:tcPr>
          <w:p w14:paraId="518A945B" w14:textId="2C967B1F" w:rsidR="008C5567" w:rsidRPr="00DE3E14" w:rsidRDefault="008C5567" w:rsidP="00F71C65">
            <w:pPr>
              <w:pStyle w:val="TableText"/>
            </w:pPr>
            <w:r>
              <w:t>201</w:t>
            </w:r>
            <w:r w:rsidR="00053538">
              <w:t>5</w:t>
            </w:r>
          </w:p>
        </w:tc>
        <w:tc>
          <w:tcPr>
            <w:tcW w:w="1615" w:type="dxa"/>
          </w:tcPr>
          <w:p w14:paraId="35BD2A46" w14:textId="0E51EC61" w:rsidR="008C5567" w:rsidRPr="00DE3E14" w:rsidRDefault="008C5567" w:rsidP="00F71C65">
            <w:pPr>
              <w:pStyle w:val="TableText"/>
            </w:pPr>
            <w:r>
              <w:t>201</w:t>
            </w:r>
            <w:r w:rsidR="00053538">
              <w:t>8</w:t>
            </w:r>
            <w:r>
              <w:t>-1</w:t>
            </w:r>
            <w:r w:rsidR="00053538">
              <w:t>9</w:t>
            </w:r>
          </w:p>
        </w:tc>
        <w:tc>
          <w:tcPr>
            <w:tcW w:w="1615" w:type="dxa"/>
            <w:tcBorders>
              <w:right w:val="single" w:sz="4" w:space="0" w:color="auto"/>
            </w:tcBorders>
          </w:tcPr>
          <w:p w14:paraId="4C6A4CF6" w14:textId="694FCECB" w:rsidR="008C5567" w:rsidRPr="00DE3E14" w:rsidRDefault="008C5567" w:rsidP="00F71C65">
            <w:pPr>
              <w:pStyle w:val="TableText"/>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5175468" w14:textId="77777777" w:rsidR="008C5567" w:rsidRPr="00DE3E14" w:rsidRDefault="008C5567" w:rsidP="00F71C65">
            <w:pPr>
              <w:pStyle w:val="TableText"/>
              <w:rPr>
                <w:b/>
              </w:rPr>
            </w:pPr>
          </w:p>
        </w:tc>
      </w:tr>
      <w:tr w:rsidR="008C5567" w:rsidRPr="00DD2508" w14:paraId="5E791793" w14:textId="77777777" w:rsidTr="7D51821A">
        <w:trPr>
          <w:trHeight w:val="228"/>
          <w:jc w:val="center"/>
        </w:trPr>
        <w:tc>
          <w:tcPr>
            <w:tcW w:w="1890" w:type="dxa"/>
          </w:tcPr>
          <w:p w14:paraId="2F84A0BD" w14:textId="794C457A" w:rsidR="008C5567" w:rsidRPr="00DE3E14" w:rsidRDefault="008C5567" w:rsidP="00F71C65">
            <w:pPr>
              <w:pStyle w:val="TableText"/>
            </w:pPr>
            <w:r>
              <w:t>201</w:t>
            </w:r>
            <w:r w:rsidR="00053538">
              <w:t>6</w:t>
            </w:r>
          </w:p>
        </w:tc>
        <w:tc>
          <w:tcPr>
            <w:tcW w:w="1615" w:type="dxa"/>
          </w:tcPr>
          <w:p w14:paraId="15800638" w14:textId="1C6B30E1" w:rsidR="008C5567" w:rsidRPr="00DE3E14" w:rsidRDefault="008C5567" w:rsidP="00F71C65">
            <w:pPr>
              <w:pStyle w:val="TableText"/>
            </w:pPr>
            <w:r>
              <w:t>201</w:t>
            </w:r>
            <w:r w:rsidR="00053538">
              <w:t>9-20</w:t>
            </w:r>
          </w:p>
        </w:tc>
        <w:tc>
          <w:tcPr>
            <w:tcW w:w="1615" w:type="dxa"/>
            <w:tcBorders>
              <w:right w:val="single" w:sz="4" w:space="0" w:color="auto"/>
            </w:tcBorders>
          </w:tcPr>
          <w:p w14:paraId="0E1746E2" w14:textId="350B81D1" w:rsidR="008C5567" w:rsidRPr="00DE3E14" w:rsidRDefault="008C5567" w:rsidP="00F71C65">
            <w:pPr>
              <w:pStyle w:val="TableText"/>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2E0705DF" w14:textId="77777777" w:rsidR="008C5567" w:rsidRPr="00DE3E14" w:rsidRDefault="008C5567" w:rsidP="00F71C65">
            <w:pPr>
              <w:pStyle w:val="TableText"/>
            </w:pPr>
          </w:p>
        </w:tc>
      </w:tr>
      <w:tr w:rsidR="008C5567" w:rsidRPr="00DD2508" w14:paraId="29AD352A" w14:textId="77777777" w:rsidTr="7D51821A">
        <w:trPr>
          <w:trHeight w:val="260"/>
          <w:jc w:val="center"/>
        </w:trPr>
        <w:tc>
          <w:tcPr>
            <w:tcW w:w="1890" w:type="dxa"/>
          </w:tcPr>
          <w:p w14:paraId="668A3AE4" w14:textId="57090641" w:rsidR="008C5567" w:rsidRPr="00DE3E14" w:rsidRDefault="008C5567" w:rsidP="00F71C65">
            <w:pPr>
              <w:pStyle w:val="TableText"/>
            </w:pPr>
            <w:r>
              <w:t>201</w:t>
            </w:r>
            <w:r w:rsidR="00053538">
              <w:t>7</w:t>
            </w:r>
          </w:p>
        </w:tc>
        <w:tc>
          <w:tcPr>
            <w:tcW w:w="1615" w:type="dxa"/>
          </w:tcPr>
          <w:p w14:paraId="76B6127B" w14:textId="431B0069" w:rsidR="008C5567" w:rsidRPr="00DE3E14" w:rsidRDefault="00053538" w:rsidP="00F71C65">
            <w:pPr>
              <w:pStyle w:val="TableText"/>
            </w:pPr>
            <w:r>
              <w:t>2020</w:t>
            </w:r>
            <w:r w:rsidR="008C5567">
              <w:t>-</w:t>
            </w:r>
            <w:r>
              <w:t>21</w:t>
            </w:r>
          </w:p>
        </w:tc>
        <w:tc>
          <w:tcPr>
            <w:tcW w:w="1615" w:type="dxa"/>
            <w:tcBorders>
              <w:bottom w:val="single" w:sz="4" w:space="0" w:color="auto"/>
              <w:right w:val="single" w:sz="4" w:space="0" w:color="auto"/>
            </w:tcBorders>
          </w:tcPr>
          <w:p w14:paraId="60022A86" w14:textId="6B7B5D45" w:rsidR="008C5567" w:rsidRPr="00DE3E14" w:rsidRDefault="008C5567" w:rsidP="00F71C65">
            <w:pPr>
              <w:pStyle w:val="TableText"/>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4E262D85" w14:textId="77777777" w:rsidR="008C5567" w:rsidRPr="00DE3E14" w:rsidRDefault="008C5567" w:rsidP="00F71C65">
            <w:pPr>
              <w:pStyle w:val="TableText"/>
            </w:pPr>
          </w:p>
        </w:tc>
      </w:tr>
    </w:tbl>
    <w:p w14:paraId="7C125701" w14:textId="77777777" w:rsidR="00AB6152" w:rsidRPr="00DD2508" w:rsidRDefault="00AB6152" w:rsidP="00AB6152">
      <w:pPr>
        <w:pStyle w:val="Heading2"/>
      </w:pPr>
      <w:r w:rsidRPr="00DD2508">
        <w:t>Additional Evidence</w:t>
      </w:r>
    </w:p>
    <w:p w14:paraId="72E4A2BF" w14:textId="77777777" w:rsidR="00B51105" w:rsidRDefault="00B51105" w:rsidP="00B51105">
      <w:proofErr w:type="gramStart"/>
      <w:r w:rsidRPr="00B51105">
        <w:t>At this time</w:t>
      </w:r>
      <w:proofErr w:type="gramEnd"/>
      <w:r w:rsidRPr="00B51105">
        <w:t xml:space="preserve">, </w:t>
      </w:r>
      <w:r>
        <w:t>Troy Prep</w:t>
      </w:r>
      <w:r w:rsidRPr="00B51105">
        <w:t xml:space="preserve"> Charter School did not have 201</w:t>
      </w:r>
      <w:r>
        <w:t>7</w:t>
      </w:r>
      <w:r w:rsidRPr="00B51105">
        <w:t xml:space="preserve"> cohort students in an alternative graduation pathway program.</w:t>
      </w:r>
    </w:p>
    <w:p w14:paraId="373369E4" w14:textId="77777777" w:rsidR="00BC64E6" w:rsidRPr="00977126" w:rsidRDefault="00BC64E6" w:rsidP="00BC64E6">
      <w:pPr>
        <w:pStyle w:val="Heading2"/>
      </w:pPr>
      <w:r>
        <w:t>Summary of the High School Graduation Goal</w:t>
      </w:r>
    </w:p>
    <w:p w14:paraId="19A9ABCE" w14:textId="0F9372B9" w:rsidR="00BC64E6" w:rsidRDefault="00B51105" w:rsidP="00BC64E6">
      <w:pPr>
        <w:rPr>
          <w:rFonts w:ascii="Calibri" w:hAnsi="Calibri"/>
          <w:color w:val="000000"/>
          <w:szCs w:val="23"/>
        </w:rPr>
      </w:pPr>
      <w:r w:rsidRPr="00B51105">
        <w:t xml:space="preserve">In our </w:t>
      </w:r>
      <w:r>
        <w:t>1st</w:t>
      </w:r>
      <w:r w:rsidRPr="00B51105">
        <w:t xml:space="preserve"> year with a graduating cohort, </w:t>
      </w:r>
      <w:r>
        <w:t>Troy Prep</w:t>
      </w:r>
      <w:r w:rsidRPr="00B51105">
        <w:t xml:space="preserve"> Charter School achieved its High School graduation goals</w:t>
      </w:r>
      <w:r>
        <w:t>.</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5788"/>
        <w:gridCol w:w="1700"/>
      </w:tblGrid>
      <w:tr w:rsidR="00BC64E6" w:rsidRPr="00DD2508" w14:paraId="66D4535C" w14:textId="77777777" w:rsidTr="7D51821A">
        <w:trPr>
          <w:jc w:val="center"/>
        </w:trPr>
        <w:tc>
          <w:tcPr>
            <w:tcW w:w="1416" w:type="dxa"/>
            <w:shd w:val="clear" w:color="auto" w:fill="auto"/>
            <w:vAlign w:val="center"/>
          </w:tcPr>
          <w:p w14:paraId="1D30ABD8" w14:textId="77777777" w:rsidR="00BC64E6" w:rsidRPr="00DE3E14" w:rsidRDefault="00BC64E6" w:rsidP="00317BC5">
            <w:pPr>
              <w:pStyle w:val="TableText"/>
            </w:pPr>
            <w:r w:rsidRPr="00DE3E14">
              <w:t>Type</w:t>
            </w:r>
          </w:p>
        </w:tc>
        <w:tc>
          <w:tcPr>
            <w:tcW w:w="5788" w:type="dxa"/>
            <w:shd w:val="clear" w:color="auto" w:fill="auto"/>
            <w:vAlign w:val="center"/>
          </w:tcPr>
          <w:p w14:paraId="6F3D452C" w14:textId="77777777" w:rsidR="00BC64E6" w:rsidRPr="00DE3E14" w:rsidRDefault="00BC64E6" w:rsidP="00317BC5">
            <w:pPr>
              <w:pStyle w:val="TableText"/>
            </w:pPr>
            <w:r w:rsidRPr="00DE3E14">
              <w:t>Measure</w:t>
            </w:r>
          </w:p>
        </w:tc>
        <w:tc>
          <w:tcPr>
            <w:tcW w:w="1700" w:type="dxa"/>
            <w:vAlign w:val="center"/>
          </w:tcPr>
          <w:p w14:paraId="1C93A2AC" w14:textId="77777777" w:rsidR="00BC64E6" w:rsidRPr="00DE3E14" w:rsidRDefault="00BC64E6" w:rsidP="00317BC5">
            <w:pPr>
              <w:pStyle w:val="TableText"/>
            </w:pPr>
            <w:r w:rsidRPr="00DE3E14">
              <w:t>Outcome</w:t>
            </w:r>
          </w:p>
        </w:tc>
      </w:tr>
      <w:tr w:rsidR="00BC64E6" w:rsidRPr="00DD2508" w14:paraId="5630F974" w14:textId="77777777" w:rsidTr="7D51821A">
        <w:trPr>
          <w:trHeight w:val="1205"/>
          <w:jc w:val="center"/>
        </w:trPr>
        <w:tc>
          <w:tcPr>
            <w:tcW w:w="1416" w:type="dxa"/>
            <w:shd w:val="clear" w:color="auto" w:fill="auto"/>
            <w:vAlign w:val="center"/>
          </w:tcPr>
          <w:p w14:paraId="7A8ED712" w14:textId="77777777" w:rsidR="00BC64E6" w:rsidRPr="00DE3E14" w:rsidRDefault="00BC64E6" w:rsidP="00317BC5">
            <w:pPr>
              <w:pStyle w:val="TableText"/>
            </w:pPr>
            <w:r>
              <w:lastRenderedPageBreak/>
              <w:t>Leading Indicator</w:t>
            </w:r>
          </w:p>
        </w:tc>
        <w:tc>
          <w:tcPr>
            <w:tcW w:w="5788" w:type="dxa"/>
            <w:shd w:val="clear" w:color="auto" w:fill="auto"/>
            <w:vAlign w:val="center"/>
          </w:tcPr>
          <w:p w14:paraId="54DDC7E5" w14:textId="77777777" w:rsidR="00BC64E6" w:rsidRPr="00B05C42" w:rsidRDefault="00BC64E6" w:rsidP="00317BC5">
            <w:pPr>
              <w:pStyle w:val="TableText"/>
              <w:jc w:val="left"/>
              <w:rPr>
                <w:szCs w:val="24"/>
              </w:rPr>
            </w:pPr>
            <w:r w:rsidRPr="004E259E">
              <w:t xml:space="preserve">Each year, 75 percent of students in </w:t>
            </w:r>
            <w:proofErr w:type="gramStart"/>
            <w:r w:rsidRPr="004E259E">
              <w:t>first and second year</w:t>
            </w:r>
            <w:proofErr w:type="gramEnd"/>
            <w:r w:rsidRPr="004E259E">
              <w:t xml:space="preserve"> high school Total Graduation Cohorts will earn at least ten credits (if 44 needed for graduation) or five credits (if 22 needed for graduation) each year.</w:t>
            </w:r>
            <w:r w:rsidRPr="00EF5579">
              <w:rPr>
                <w:szCs w:val="24"/>
              </w:rPr>
              <w:t xml:space="preserve">   </w:t>
            </w:r>
          </w:p>
        </w:tc>
        <w:tc>
          <w:tcPr>
            <w:tcW w:w="1700" w:type="dxa"/>
            <w:vAlign w:val="center"/>
          </w:tcPr>
          <w:p w14:paraId="5B4A8DDB" w14:textId="150A1DB9" w:rsidR="00BC64E6" w:rsidRPr="00B51105" w:rsidRDefault="00B51105" w:rsidP="00317BC5">
            <w:pPr>
              <w:pStyle w:val="TableText"/>
              <w:rPr>
                <w:highlight w:val="yellow"/>
              </w:rPr>
            </w:pPr>
            <w:r w:rsidRPr="00710DBC">
              <w:rPr>
                <w:highlight w:val="green"/>
              </w:rPr>
              <w:t>Achieved</w:t>
            </w:r>
            <w:r>
              <w:rPr>
                <w:highlight w:val="yellow"/>
              </w:rPr>
              <w:t xml:space="preserve"> </w:t>
            </w:r>
          </w:p>
        </w:tc>
      </w:tr>
      <w:tr w:rsidR="00B51105" w:rsidRPr="00DD2508" w14:paraId="407036A9" w14:textId="77777777" w:rsidTr="7D51821A">
        <w:trPr>
          <w:jc w:val="center"/>
        </w:trPr>
        <w:tc>
          <w:tcPr>
            <w:tcW w:w="1416" w:type="dxa"/>
            <w:shd w:val="clear" w:color="auto" w:fill="auto"/>
            <w:vAlign w:val="center"/>
          </w:tcPr>
          <w:p w14:paraId="2FDEAA63" w14:textId="77777777" w:rsidR="00B51105" w:rsidRPr="00DE3E14" w:rsidRDefault="00B51105" w:rsidP="00B51105">
            <w:pPr>
              <w:pStyle w:val="TableText"/>
            </w:pPr>
            <w:r>
              <w:t>Leading Indicator</w:t>
            </w:r>
          </w:p>
        </w:tc>
        <w:tc>
          <w:tcPr>
            <w:tcW w:w="5788" w:type="dxa"/>
            <w:shd w:val="clear" w:color="auto" w:fill="auto"/>
            <w:vAlign w:val="center"/>
          </w:tcPr>
          <w:p w14:paraId="0C3B6A3D" w14:textId="77777777" w:rsidR="00B51105" w:rsidRPr="00DE3E14" w:rsidRDefault="00B51105" w:rsidP="00B51105">
            <w:pPr>
              <w:pStyle w:val="TableText"/>
              <w:jc w:val="left"/>
            </w:pPr>
            <w:r>
              <w:t xml:space="preserve">Each year, 75 percent of students in the high school Total Graduation Cohort will score at least 65 on at least three different New York State Regents exams required for graduation by the completion of their second year in the cohort.  </w:t>
            </w:r>
          </w:p>
        </w:tc>
        <w:tc>
          <w:tcPr>
            <w:tcW w:w="1700" w:type="dxa"/>
            <w:vAlign w:val="center"/>
          </w:tcPr>
          <w:p w14:paraId="5E676A91" w14:textId="417E23BA" w:rsidR="00B51105" w:rsidRPr="00DE3E14" w:rsidRDefault="00B51105" w:rsidP="00B51105">
            <w:pPr>
              <w:pStyle w:val="TableText"/>
              <w:rPr>
                <w:highlight w:val="green"/>
              </w:rPr>
            </w:pPr>
            <w:r w:rsidRPr="00710DBC">
              <w:rPr>
                <w:highlight w:val="green"/>
              </w:rPr>
              <w:t>Achieved</w:t>
            </w:r>
            <w:r>
              <w:rPr>
                <w:highlight w:val="yellow"/>
              </w:rPr>
              <w:t xml:space="preserve"> </w:t>
            </w:r>
          </w:p>
        </w:tc>
      </w:tr>
      <w:tr w:rsidR="00BC64E6" w:rsidRPr="00DD2508" w14:paraId="7ABFDC11" w14:textId="77777777" w:rsidTr="7D51821A">
        <w:trPr>
          <w:trHeight w:val="872"/>
          <w:jc w:val="center"/>
        </w:trPr>
        <w:tc>
          <w:tcPr>
            <w:tcW w:w="1416" w:type="dxa"/>
            <w:shd w:val="clear" w:color="auto" w:fill="auto"/>
            <w:vAlign w:val="center"/>
          </w:tcPr>
          <w:p w14:paraId="2BEDC025" w14:textId="77777777" w:rsidR="00BC64E6" w:rsidRPr="00DE3E14" w:rsidRDefault="00BC64E6" w:rsidP="00317BC5">
            <w:pPr>
              <w:pStyle w:val="TableText"/>
            </w:pPr>
            <w:r w:rsidRPr="00DE3E14">
              <w:t>Absolute</w:t>
            </w:r>
          </w:p>
          <w:p w14:paraId="5AF1219C" w14:textId="77777777" w:rsidR="00BC64E6" w:rsidRPr="00DE3E14" w:rsidRDefault="00BC64E6" w:rsidP="00317BC5">
            <w:pPr>
              <w:pStyle w:val="TableText"/>
            </w:pPr>
          </w:p>
        </w:tc>
        <w:tc>
          <w:tcPr>
            <w:tcW w:w="5788" w:type="dxa"/>
            <w:shd w:val="clear" w:color="auto" w:fill="auto"/>
            <w:vAlign w:val="center"/>
          </w:tcPr>
          <w:p w14:paraId="6FA3332A" w14:textId="77777777" w:rsidR="00BC64E6" w:rsidRPr="00DE3E14" w:rsidRDefault="00BC64E6" w:rsidP="00317BC5">
            <w:pPr>
              <w:pStyle w:val="TableText"/>
              <w:jc w:val="left"/>
            </w:pPr>
            <w:r w:rsidRPr="00DE3E14">
              <w:t xml:space="preserve">Each year, 75 percent of students in the </w:t>
            </w:r>
            <w:proofErr w:type="gramStart"/>
            <w:r>
              <w:t>fourth year</w:t>
            </w:r>
            <w:proofErr w:type="gramEnd"/>
            <w:r>
              <w:t xml:space="preserve"> </w:t>
            </w:r>
            <w:r w:rsidRPr="00DE3E14">
              <w:t xml:space="preserve">high school </w:t>
            </w:r>
            <w:r>
              <w:t xml:space="preserve">Total </w:t>
            </w:r>
            <w:r w:rsidRPr="00DE3E14">
              <w:t>Graduation Cohort</w:t>
            </w:r>
            <w:r>
              <w:rPr>
                <w:bCs/>
              </w:rPr>
              <w:t xml:space="preserve"> </w:t>
            </w:r>
            <w:r w:rsidRPr="00DE3E14">
              <w:t>will graduate</w:t>
            </w:r>
            <w:r>
              <w:t xml:space="preserve">.  </w:t>
            </w:r>
          </w:p>
        </w:tc>
        <w:tc>
          <w:tcPr>
            <w:tcW w:w="1700" w:type="dxa"/>
            <w:vAlign w:val="center"/>
          </w:tcPr>
          <w:p w14:paraId="62EEB5C3" w14:textId="2588A5C1" w:rsidR="00BC64E6" w:rsidRPr="00DE3E14" w:rsidRDefault="00B51105" w:rsidP="00317BC5">
            <w:pPr>
              <w:pStyle w:val="TableText"/>
              <w:rPr>
                <w:highlight w:val="green"/>
              </w:rPr>
            </w:pPr>
            <w:r>
              <w:rPr>
                <w:highlight w:val="green"/>
              </w:rPr>
              <w:t>Achieved</w:t>
            </w:r>
          </w:p>
        </w:tc>
      </w:tr>
      <w:tr w:rsidR="00BC64E6" w:rsidRPr="00DD2508" w14:paraId="64C62EDC" w14:textId="77777777" w:rsidTr="7D51821A">
        <w:trPr>
          <w:trHeight w:val="872"/>
          <w:jc w:val="center"/>
        </w:trPr>
        <w:tc>
          <w:tcPr>
            <w:tcW w:w="1416" w:type="dxa"/>
            <w:shd w:val="clear" w:color="auto" w:fill="auto"/>
            <w:vAlign w:val="center"/>
          </w:tcPr>
          <w:p w14:paraId="2D6A7D66" w14:textId="77777777" w:rsidR="00BC64E6" w:rsidRPr="00DE3E14" w:rsidRDefault="00BC64E6" w:rsidP="00317BC5">
            <w:pPr>
              <w:pStyle w:val="TableText"/>
            </w:pPr>
            <w:r>
              <w:t>Absolute</w:t>
            </w:r>
          </w:p>
        </w:tc>
        <w:tc>
          <w:tcPr>
            <w:tcW w:w="5788" w:type="dxa"/>
            <w:shd w:val="clear" w:color="auto" w:fill="auto"/>
            <w:vAlign w:val="center"/>
          </w:tcPr>
          <w:p w14:paraId="69598A65" w14:textId="77777777" w:rsidR="00BC64E6" w:rsidRPr="00DE3E14" w:rsidRDefault="00BC64E6" w:rsidP="00317BC5">
            <w:pPr>
              <w:pStyle w:val="TableText"/>
              <w:jc w:val="left"/>
            </w:pPr>
            <w:r>
              <w:t xml:space="preserve">Each year, </w:t>
            </w:r>
            <w:r w:rsidRPr="00DE3E14">
              <w:t xml:space="preserve">95 percent of students in the </w:t>
            </w:r>
            <w:proofErr w:type="gramStart"/>
            <w:r>
              <w:t>fifth year</w:t>
            </w:r>
            <w:proofErr w:type="gramEnd"/>
            <w:r>
              <w:t xml:space="preserve"> </w:t>
            </w:r>
            <w:r w:rsidRPr="00DE3E14">
              <w:t xml:space="preserve">high school </w:t>
            </w:r>
            <w:r>
              <w:t xml:space="preserve">Total </w:t>
            </w:r>
            <w:r w:rsidRPr="00DE3E14">
              <w:t>Graduation Cohort</w:t>
            </w:r>
            <w:r>
              <w:t xml:space="preserve"> will graduate.</w:t>
            </w:r>
          </w:p>
        </w:tc>
        <w:tc>
          <w:tcPr>
            <w:tcW w:w="1700" w:type="dxa"/>
            <w:vAlign w:val="center"/>
          </w:tcPr>
          <w:p w14:paraId="2B1F2474" w14:textId="2E4A294B" w:rsidR="00BC64E6" w:rsidRPr="00DE3E14" w:rsidRDefault="00BA2F42" w:rsidP="00317BC5">
            <w:pPr>
              <w:pStyle w:val="TableText"/>
              <w:rPr>
                <w:highlight w:val="green"/>
              </w:rPr>
            </w:pPr>
            <w:r>
              <w:rPr>
                <w:highlight w:val="green"/>
              </w:rPr>
              <w:t>Achieved</w:t>
            </w:r>
          </w:p>
        </w:tc>
      </w:tr>
      <w:tr w:rsidR="00BC64E6" w:rsidRPr="00DD2508" w14:paraId="4395BE85" w14:textId="77777777" w:rsidTr="7D51821A">
        <w:trPr>
          <w:jc w:val="center"/>
        </w:trPr>
        <w:tc>
          <w:tcPr>
            <w:tcW w:w="1416" w:type="dxa"/>
            <w:shd w:val="clear" w:color="auto" w:fill="auto"/>
            <w:vAlign w:val="center"/>
          </w:tcPr>
          <w:p w14:paraId="22009B05" w14:textId="77777777" w:rsidR="00BC64E6" w:rsidRPr="00DE3E14" w:rsidRDefault="00BC64E6" w:rsidP="00317BC5">
            <w:pPr>
              <w:pStyle w:val="TableText"/>
            </w:pPr>
            <w:r w:rsidRPr="00DE3E14">
              <w:t>Comparative</w:t>
            </w:r>
          </w:p>
        </w:tc>
        <w:tc>
          <w:tcPr>
            <w:tcW w:w="5788" w:type="dxa"/>
            <w:shd w:val="clear" w:color="auto" w:fill="auto"/>
            <w:vAlign w:val="center"/>
          </w:tcPr>
          <w:p w14:paraId="0C47D447" w14:textId="77777777" w:rsidR="00BC64E6" w:rsidRPr="00DE3E14" w:rsidRDefault="00BC64E6" w:rsidP="00317BC5">
            <w:pPr>
              <w:pStyle w:val="TableText"/>
              <w:jc w:val="left"/>
            </w:pPr>
            <w:r>
              <w:t>Each year, the percent of students in the high school Total Graduation Cohort graduating after the completion of their fourth year will exceed that of the Total Graduation Cohort from the school district of comparison.</w:t>
            </w:r>
          </w:p>
        </w:tc>
        <w:tc>
          <w:tcPr>
            <w:tcW w:w="1700" w:type="dxa"/>
            <w:vAlign w:val="center"/>
          </w:tcPr>
          <w:p w14:paraId="3AA769E1" w14:textId="1B0B4BF2" w:rsidR="00BC64E6" w:rsidRPr="00824466" w:rsidRDefault="00BA2F42" w:rsidP="00317BC5">
            <w:pPr>
              <w:pStyle w:val="TableText"/>
            </w:pPr>
            <w:r w:rsidRPr="00BA2F42">
              <w:rPr>
                <w:highlight w:val="green"/>
              </w:rPr>
              <w:t>Not Applicable</w:t>
            </w:r>
          </w:p>
        </w:tc>
      </w:tr>
      <w:tr w:rsidR="00134BB6" w:rsidRPr="00DD2508" w14:paraId="33DAC6EB" w14:textId="77777777" w:rsidTr="7D51821A">
        <w:trPr>
          <w:jc w:val="center"/>
        </w:trPr>
        <w:tc>
          <w:tcPr>
            <w:tcW w:w="1416" w:type="dxa"/>
            <w:shd w:val="clear" w:color="auto" w:fill="auto"/>
            <w:vAlign w:val="center"/>
          </w:tcPr>
          <w:p w14:paraId="1B35F5B9" w14:textId="75B2CAD1" w:rsidR="00134BB6" w:rsidRPr="00DE3E14" w:rsidRDefault="00134BB6" w:rsidP="00317BC5">
            <w:pPr>
              <w:pStyle w:val="TableText"/>
            </w:pPr>
            <w:r>
              <w:t>Absolute</w:t>
            </w:r>
          </w:p>
        </w:tc>
        <w:tc>
          <w:tcPr>
            <w:tcW w:w="5788" w:type="dxa"/>
            <w:shd w:val="clear" w:color="auto" w:fill="auto"/>
            <w:vAlign w:val="center"/>
          </w:tcPr>
          <w:p w14:paraId="002088A9" w14:textId="6EFB2402" w:rsidR="00134BB6" w:rsidRPr="00DE3E14" w:rsidRDefault="00134BB6" w:rsidP="00317BC5">
            <w:pPr>
              <w:pStyle w:val="TableText"/>
              <w:jc w:val="left"/>
              <w:rPr>
                <w:bCs/>
              </w:rPr>
            </w:pPr>
            <w:r>
              <w:rPr>
                <w:bCs/>
              </w:rPr>
              <w:t>Each year, 75 percent of students in</w:t>
            </w:r>
            <w:r w:rsidR="00AB6152">
              <w:rPr>
                <w:bCs/>
              </w:rPr>
              <w:t xml:space="preserve"> the high school Total Cohort pursuing an alternative graduation pathway will achieve a Regents equivalency score and pass an approved pathway assessment required for graduation by the end of their fourth year.</w:t>
            </w:r>
          </w:p>
        </w:tc>
        <w:tc>
          <w:tcPr>
            <w:tcW w:w="1700" w:type="dxa"/>
            <w:vAlign w:val="center"/>
          </w:tcPr>
          <w:p w14:paraId="7B2775AF" w14:textId="252D0642" w:rsidR="00134BB6" w:rsidRPr="00DE3E14" w:rsidRDefault="00BA2F42" w:rsidP="00317BC5">
            <w:pPr>
              <w:pStyle w:val="TableText"/>
              <w:rPr>
                <w:highlight w:val="green"/>
              </w:rPr>
            </w:pPr>
            <w:r>
              <w:rPr>
                <w:highlight w:val="green"/>
              </w:rPr>
              <w:t>Not Applicable</w:t>
            </w:r>
          </w:p>
        </w:tc>
      </w:tr>
    </w:tbl>
    <w:p w14:paraId="62BACFBA" w14:textId="77777777" w:rsidR="00BC64E6" w:rsidRDefault="00BC64E6" w:rsidP="00BC64E6">
      <w:pPr>
        <w:rPr>
          <w:rFonts w:ascii="Calibri" w:hAnsi="Calibri"/>
          <w:b/>
          <w:color w:val="000000"/>
          <w:szCs w:val="23"/>
          <w:u w:val="single"/>
        </w:rPr>
      </w:pPr>
    </w:p>
    <w:p w14:paraId="33C0037D" w14:textId="77777777" w:rsidR="00BC64E6" w:rsidRPr="00DD2508" w:rsidRDefault="00BC64E6" w:rsidP="00BC64E6">
      <w:pPr>
        <w:pStyle w:val="Heading2"/>
      </w:pPr>
      <w:r w:rsidRPr="00DD2508">
        <w:t>Action Plan</w:t>
      </w:r>
    </w:p>
    <w:p w14:paraId="2B175F33" w14:textId="356E082B" w:rsidR="00B51105" w:rsidRPr="00B51105" w:rsidRDefault="00B51105" w:rsidP="00B51105">
      <w:pPr>
        <w:spacing w:after="0"/>
        <w:rPr>
          <w:rFonts w:ascii="Times New Roman" w:hAnsi="Times New Roman"/>
          <w:color w:val="auto"/>
          <w:sz w:val="24"/>
          <w:szCs w:val="24"/>
        </w:rPr>
      </w:pPr>
      <w:r>
        <w:rPr>
          <w:rFonts w:ascii="Calibri" w:hAnsi="Calibri"/>
          <w:color w:val="404040"/>
          <w:szCs w:val="23"/>
        </w:rPr>
        <w:t>Troy Prep</w:t>
      </w:r>
      <w:r w:rsidRPr="00B51105">
        <w:rPr>
          <w:rFonts w:ascii="Calibri" w:hAnsi="Calibri"/>
          <w:color w:val="404040"/>
          <w:szCs w:val="23"/>
        </w:rPr>
        <w:t xml:space="preserve"> Charter School will continue to use an academic model that is largely similar to that of grades K-8, utilizing practices and approaches that have proven effective in producing significant academic gains at the highest-performing urban public schools in the country.  Specifically, the high school will continue to focus around:</w:t>
      </w:r>
    </w:p>
    <w:p w14:paraId="3AABF9CD" w14:textId="77777777" w:rsidR="00B51105" w:rsidRPr="00B51105" w:rsidRDefault="00B51105" w:rsidP="00A70F9C">
      <w:pPr>
        <w:numPr>
          <w:ilvl w:val="0"/>
          <w:numId w:val="13"/>
        </w:numPr>
        <w:spacing w:after="0"/>
        <w:ind w:left="1440"/>
        <w:textAlignment w:val="baseline"/>
        <w:rPr>
          <w:rFonts w:ascii="Arial" w:hAnsi="Arial" w:cs="Arial"/>
          <w:color w:val="404040"/>
          <w:sz w:val="24"/>
          <w:szCs w:val="24"/>
        </w:rPr>
      </w:pPr>
      <w:r w:rsidRPr="00B51105">
        <w:rPr>
          <w:rFonts w:ascii="Calibri" w:hAnsi="Calibri" w:cs="Arial"/>
          <w:color w:val="404040"/>
          <w:szCs w:val="23"/>
        </w:rPr>
        <w:t>A College Preparatory Mission</w:t>
      </w:r>
    </w:p>
    <w:p w14:paraId="729AF1E1" w14:textId="77777777" w:rsidR="00B51105" w:rsidRPr="00B51105" w:rsidRDefault="00B51105" w:rsidP="00A70F9C">
      <w:pPr>
        <w:numPr>
          <w:ilvl w:val="0"/>
          <w:numId w:val="13"/>
        </w:numPr>
        <w:spacing w:after="0"/>
        <w:ind w:left="1440"/>
        <w:textAlignment w:val="baseline"/>
        <w:rPr>
          <w:rFonts w:ascii="Arial" w:hAnsi="Arial" w:cs="Arial"/>
          <w:color w:val="404040"/>
          <w:sz w:val="24"/>
          <w:szCs w:val="24"/>
        </w:rPr>
      </w:pPr>
      <w:r w:rsidRPr="00B51105">
        <w:rPr>
          <w:rFonts w:ascii="Calibri" w:hAnsi="Calibri" w:cs="Arial"/>
          <w:color w:val="404040"/>
          <w:szCs w:val="23"/>
        </w:rPr>
        <w:t>High Standards for Academics and Character</w:t>
      </w:r>
    </w:p>
    <w:p w14:paraId="3D3E3EB9" w14:textId="77777777" w:rsidR="00B51105" w:rsidRPr="00B51105" w:rsidRDefault="00B51105" w:rsidP="00A70F9C">
      <w:pPr>
        <w:numPr>
          <w:ilvl w:val="0"/>
          <w:numId w:val="13"/>
        </w:numPr>
        <w:spacing w:after="0"/>
        <w:ind w:left="1440"/>
        <w:textAlignment w:val="baseline"/>
        <w:rPr>
          <w:rFonts w:ascii="Arial" w:hAnsi="Arial" w:cs="Arial"/>
          <w:color w:val="404040"/>
          <w:sz w:val="24"/>
          <w:szCs w:val="24"/>
        </w:rPr>
      </w:pPr>
      <w:r w:rsidRPr="00B51105">
        <w:rPr>
          <w:rFonts w:ascii="Calibri" w:hAnsi="Calibri" w:cs="Arial"/>
          <w:color w:val="404040"/>
          <w:szCs w:val="23"/>
        </w:rPr>
        <w:t>A Highly Structured Remote and Hybrid Learning Environment </w:t>
      </w:r>
    </w:p>
    <w:p w14:paraId="17F90DF6" w14:textId="77777777" w:rsidR="00B51105" w:rsidRPr="00B51105" w:rsidRDefault="00B51105" w:rsidP="00A70F9C">
      <w:pPr>
        <w:numPr>
          <w:ilvl w:val="0"/>
          <w:numId w:val="13"/>
        </w:numPr>
        <w:spacing w:after="0"/>
        <w:ind w:left="1440"/>
        <w:textAlignment w:val="baseline"/>
        <w:rPr>
          <w:rFonts w:ascii="Arial" w:hAnsi="Arial" w:cs="Arial"/>
          <w:color w:val="404040"/>
          <w:sz w:val="24"/>
          <w:szCs w:val="24"/>
        </w:rPr>
      </w:pPr>
      <w:r w:rsidRPr="00B51105">
        <w:rPr>
          <w:rFonts w:ascii="Calibri" w:hAnsi="Calibri" w:cs="Arial"/>
          <w:color w:val="404040"/>
          <w:szCs w:val="23"/>
        </w:rPr>
        <w:t>A Focus on Accountability and Data-Driven Instruction</w:t>
      </w:r>
    </w:p>
    <w:p w14:paraId="4899462C" w14:textId="77777777" w:rsidR="00B51105" w:rsidRPr="00B51105" w:rsidRDefault="00B51105" w:rsidP="00A70F9C">
      <w:pPr>
        <w:numPr>
          <w:ilvl w:val="0"/>
          <w:numId w:val="13"/>
        </w:numPr>
        <w:spacing w:after="0"/>
        <w:ind w:left="1440"/>
        <w:textAlignment w:val="baseline"/>
        <w:rPr>
          <w:rFonts w:ascii="Arial" w:hAnsi="Arial" w:cs="Arial"/>
          <w:color w:val="404040"/>
          <w:sz w:val="24"/>
          <w:szCs w:val="24"/>
        </w:rPr>
      </w:pPr>
      <w:r w:rsidRPr="00B51105">
        <w:rPr>
          <w:rFonts w:ascii="Calibri" w:hAnsi="Calibri" w:cs="Arial"/>
          <w:color w:val="404040"/>
          <w:szCs w:val="23"/>
        </w:rPr>
        <w:t>A Faculty of Committed and Talented Leaders and Teachers  </w:t>
      </w:r>
    </w:p>
    <w:p w14:paraId="3B25DB7A" w14:textId="77777777" w:rsidR="00B51105" w:rsidRPr="00B51105" w:rsidRDefault="00B51105" w:rsidP="00B51105">
      <w:pPr>
        <w:spacing w:after="0"/>
        <w:rPr>
          <w:rFonts w:ascii="Times New Roman" w:hAnsi="Times New Roman"/>
          <w:color w:val="auto"/>
          <w:sz w:val="24"/>
          <w:szCs w:val="24"/>
        </w:rPr>
      </w:pPr>
    </w:p>
    <w:p w14:paraId="3661BAD3" w14:textId="77777777" w:rsidR="00B51105" w:rsidRPr="00B51105" w:rsidRDefault="00B51105" w:rsidP="00B51105">
      <w:pPr>
        <w:spacing w:after="0"/>
        <w:rPr>
          <w:rFonts w:ascii="Times New Roman" w:hAnsi="Times New Roman"/>
          <w:color w:val="auto"/>
          <w:sz w:val="24"/>
          <w:szCs w:val="24"/>
        </w:rPr>
      </w:pPr>
      <w:r w:rsidRPr="00B51105">
        <w:rPr>
          <w:rFonts w:ascii="Calibri" w:hAnsi="Calibri"/>
          <w:color w:val="404040"/>
          <w:szCs w:val="23"/>
        </w:rPr>
        <w:t>The school has developed a rigorous high school curriculum based on the New York State Learning</w:t>
      </w:r>
    </w:p>
    <w:p w14:paraId="5E4912E2" w14:textId="77777777" w:rsidR="00B51105" w:rsidRPr="00B51105" w:rsidRDefault="00B51105" w:rsidP="00B51105">
      <w:pPr>
        <w:spacing w:after="0"/>
        <w:rPr>
          <w:rFonts w:ascii="Times New Roman" w:hAnsi="Times New Roman"/>
          <w:color w:val="auto"/>
          <w:sz w:val="24"/>
          <w:szCs w:val="24"/>
        </w:rPr>
      </w:pPr>
      <w:r w:rsidRPr="00B51105">
        <w:rPr>
          <w:rFonts w:ascii="Calibri" w:hAnsi="Calibri"/>
          <w:color w:val="404040"/>
          <w:szCs w:val="23"/>
        </w:rPr>
        <w:t>Standards with a special emphasis on preparing students for admission into and success in college. </w:t>
      </w:r>
    </w:p>
    <w:p w14:paraId="346646F6" w14:textId="77777777" w:rsidR="00B51105" w:rsidRPr="00B51105" w:rsidRDefault="00B51105" w:rsidP="00B51105">
      <w:pPr>
        <w:spacing w:after="0"/>
        <w:rPr>
          <w:rFonts w:ascii="Times New Roman" w:hAnsi="Times New Roman"/>
          <w:color w:val="auto"/>
          <w:sz w:val="24"/>
          <w:szCs w:val="24"/>
        </w:rPr>
      </w:pPr>
      <w:r w:rsidRPr="00B51105">
        <w:rPr>
          <w:rFonts w:ascii="Calibri" w:hAnsi="Calibri"/>
          <w:color w:val="404040"/>
          <w:szCs w:val="23"/>
        </w:rPr>
        <w:t>This curriculum has been updated and modified to work with remote and hybrid instruction during </w:t>
      </w:r>
    </w:p>
    <w:p w14:paraId="52BD238F" w14:textId="77777777" w:rsidR="00B51105" w:rsidRPr="00B51105" w:rsidRDefault="00B51105" w:rsidP="00B51105">
      <w:pPr>
        <w:spacing w:after="0"/>
        <w:rPr>
          <w:rFonts w:ascii="Times New Roman" w:hAnsi="Times New Roman"/>
          <w:color w:val="auto"/>
          <w:sz w:val="24"/>
          <w:szCs w:val="24"/>
        </w:rPr>
      </w:pPr>
      <w:r w:rsidRPr="00B51105">
        <w:rPr>
          <w:rFonts w:ascii="Calibri" w:hAnsi="Calibri"/>
          <w:color w:val="404040"/>
          <w:szCs w:val="23"/>
        </w:rPr>
        <w:t>school year 20-21. The school is structured so that students will meet the criteria for a Regents or </w:t>
      </w:r>
    </w:p>
    <w:p w14:paraId="3D09F6C5" w14:textId="77777777" w:rsidR="00B51105" w:rsidRPr="00B51105" w:rsidRDefault="00B51105" w:rsidP="00B51105">
      <w:pPr>
        <w:spacing w:after="0"/>
        <w:rPr>
          <w:rFonts w:ascii="Times New Roman" w:hAnsi="Times New Roman"/>
          <w:color w:val="auto"/>
          <w:sz w:val="24"/>
          <w:szCs w:val="24"/>
        </w:rPr>
      </w:pPr>
      <w:r w:rsidRPr="00B51105">
        <w:rPr>
          <w:rFonts w:ascii="Calibri" w:hAnsi="Calibri"/>
          <w:color w:val="404040"/>
          <w:szCs w:val="23"/>
        </w:rPr>
        <w:t>Advanced Regents degree and will be accepted to at least one 4-year college.</w:t>
      </w:r>
    </w:p>
    <w:p w14:paraId="424CCAE5" w14:textId="77777777" w:rsidR="00B51105" w:rsidRPr="00B51105" w:rsidRDefault="00B51105" w:rsidP="00B51105">
      <w:pPr>
        <w:spacing w:after="0"/>
        <w:rPr>
          <w:rFonts w:ascii="Times New Roman" w:hAnsi="Times New Roman"/>
          <w:color w:val="auto"/>
          <w:sz w:val="24"/>
          <w:szCs w:val="24"/>
        </w:rPr>
      </w:pPr>
      <w:r w:rsidRPr="00B51105">
        <w:rPr>
          <w:rFonts w:ascii="Times New Roman" w:hAnsi="Times New Roman"/>
          <w:color w:val="auto"/>
          <w:sz w:val="24"/>
          <w:szCs w:val="24"/>
        </w:rPr>
        <w:br/>
      </w:r>
    </w:p>
    <w:p w14:paraId="1710792D" w14:textId="333348AF" w:rsidR="00B51105" w:rsidRPr="00B51105" w:rsidRDefault="00B51105" w:rsidP="00A70F9C">
      <w:pPr>
        <w:numPr>
          <w:ilvl w:val="0"/>
          <w:numId w:val="14"/>
        </w:numPr>
        <w:spacing w:after="0"/>
        <w:ind w:left="540"/>
        <w:textAlignment w:val="baseline"/>
        <w:rPr>
          <w:rFonts w:ascii="Arial" w:hAnsi="Arial" w:cs="Arial"/>
          <w:color w:val="404040"/>
          <w:sz w:val="24"/>
          <w:szCs w:val="24"/>
        </w:rPr>
      </w:pPr>
      <w:r w:rsidRPr="00B51105">
        <w:rPr>
          <w:rFonts w:ascii="Calibri" w:hAnsi="Calibri" w:cs="Arial"/>
          <w:color w:val="404040"/>
          <w:szCs w:val="23"/>
        </w:rPr>
        <w:t xml:space="preserve">Quarterly Exams will continue to serve as a critical driver of classroom instruction and lesson planning for grades 9-12. The results will provide teachers with ongoing feedback on students’ progress in meeting state standards, so they know, at any moment, which students have mastered which skills and which students have not.  Armed with this information, teachers </w:t>
      </w:r>
      <w:r w:rsidRPr="00B51105">
        <w:rPr>
          <w:rFonts w:ascii="Calibri" w:hAnsi="Calibri" w:cs="Arial"/>
          <w:color w:val="404040"/>
          <w:szCs w:val="23"/>
        </w:rPr>
        <w:lastRenderedPageBreak/>
        <w:t>will be better prepared to target instruction and make significant content adjustments throughout the year, without waiting for an end-of-year assessment that shows a student in need. </w:t>
      </w:r>
    </w:p>
    <w:p w14:paraId="6E057FD9" w14:textId="375AD893" w:rsidR="00B51105" w:rsidRPr="00B51105" w:rsidRDefault="00B51105" w:rsidP="00A70F9C">
      <w:pPr>
        <w:numPr>
          <w:ilvl w:val="0"/>
          <w:numId w:val="15"/>
        </w:numPr>
        <w:spacing w:after="0"/>
        <w:ind w:left="540"/>
        <w:textAlignment w:val="baseline"/>
        <w:rPr>
          <w:rFonts w:ascii="Arial" w:hAnsi="Arial" w:cs="Arial"/>
          <w:color w:val="404040"/>
          <w:sz w:val="24"/>
          <w:szCs w:val="24"/>
        </w:rPr>
      </w:pPr>
      <w:r w:rsidRPr="00B51105">
        <w:rPr>
          <w:rFonts w:ascii="Calibri" w:hAnsi="Calibri" w:cs="Arial"/>
          <w:color w:val="404040"/>
          <w:szCs w:val="23"/>
        </w:rPr>
        <w:t xml:space="preserve">The school will continue to administer Interim Assessments/Quarterly Exams on a quarterly basis in all five major subjects. </w:t>
      </w:r>
    </w:p>
    <w:p w14:paraId="64069321" w14:textId="262B395C" w:rsidR="00B51105" w:rsidRPr="00B51105" w:rsidRDefault="00B51105" w:rsidP="00A70F9C">
      <w:pPr>
        <w:numPr>
          <w:ilvl w:val="0"/>
          <w:numId w:val="16"/>
        </w:numPr>
        <w:spacing w:after="0"/>
        <w:ind w:left="540"/>
        <w:textAlignment w:val="baseline"/>
        <w:rPr>
          <w:rFonts w:ascii="Arial" w:hAnsi="Arial" w:cs="Arial"/>
          <w:color w:val="404040"/>
          <w:sz w:val="24"/>
          <w:szCs w:val="24"/>
        </w:rPr>
      </w:pPr>
      <w:r w:rsidRPr="00B51105">
        <w:rPr>
          <w:rFonts w:ascii="Calibri" w:hAnsi="Calibri" w:cs="Arial"/>
          <w:color w:val="404040"/>
          <w:szCs w:val="23"/>
        </w:rPr>
        <w:t>The high school instructional leadership team will continue to review teacher lesson plans, observe classroom</w:t>
      </w:r>
      <w:r>
        <w:rPr>
          <w:rFonts w:ascii="Calibri" w:hAnsi="Calibri" w:cs="Arial"/>
          <w:color w:val="404040"/>
          <w:szCs w:val="23"/>
        </w:rPr>
        <w:t xml:space="preserve"> </w:t>
      </w:r>
      <w:r w:rsidRPr="00B51105">
        <w:rPr>
          <w:rFonts w:ascii="Calibri" w:hAnsi="Calibri" w:cs="Arial"/>
          <w:color w:val="404040"/>
          <w:szCs w:val="23"/>
        </w:rPr>
        <w:t>instruction, and provide feedback on instruction.  The school’s leadership team will be responsible for identifying areas for growth and providing an extensive professional development program that meets the needs of both the school and individual teachers.  </w:t>
      </w:r>
    </w:p>
    <w:p w14:paraId="6B473705" w14:textId="77777777" w:rsidR="00B51105" w:rsidRPr="00B51105" w:rsidRDefault="00B51105" w:rsidP="00A70F9C">
      <w:pPr>
        <w:numPr>
          <w:ilvl w:val="0"/>
          <w:numId w:val="16"/>
        </w:numPr>
        <w:spacing w:after="0"/>
        <w:ind w:left="540"/>
        <w:textAlignment w:val="baseline"/>
        <w:rPr>
          <w:rFonts w:ascii="Arial" w:hAnsi="Arial" w:cs="Arial"/>
          <w:color w:val="404040"/>
          <w:sz w:val="24"/>
          <w:szCs w:val="24"/>
        </w:rPr>
      </w:pPr>
      <w:r w:rsidRPr="00B51105">
        <w:rPr>
          <w:rFonts w:ascii="Calibri" w:hAnsi="Calibri" w:cs="Arial"/>
          <w:color w:val="404040"/>
          <w:szCs w:val="23"/>
        </w:rPr>
        <w:t>The school’s leadership team will continue to review the effectiveness of the school’s curriculum and making necessary revisions to increase student achievement.  </w:t>
      </w:r>
    </w:p>
    <w:p w14:paraId="2616B972" w14:textId="77777777" w:rsidR="00B51105" w:rsidRPr="00B51105" w:rsidRDefault="00B51105" w:rsidP="00A70F9C">
      <w:pPr>
        <w:numPr>
          <w:ilvl w:val="0"/>
          <w:numId w:val="17"/>
        </w:numPr>
        <w:spacing w:after="0"/>
        <w:ind w:left="540"/>
        <w:textAlignment w:val="baseline"/>
        <w:rPr>
          <w:rFonts w:ascii="Arial" w:hAnsi="Arial" w:cs="Arial"/>
          <w:color w:val="404040"/>
          <w:sz w:val="24"/>
          <w:szCs w:val="24"/>
        </w:rPr>
      </w:pPr>
      <w:r w:rsidRPr="00B51105">
        <w:rPr>
          <w:rFonts w:ascii="Calibri" w:hAnsi="Calibri" w:cs="Arial"/>
          <w:color w:val="404040"/>
          <w:szCs w:val="23"/>
        </w:rPr>
        <w:t>School leaders will continue to work with master teachers at the school to research and develop curriculum modifications that will ensure increased levels of student achievement and will continuously monitor the effectiveness of those modifications.  </w:t>
      </w:r>
    </w:p>
    <w:p w14:paraId="4F240A38" w14:textId="63443CFC" w:rsidR="00B51105" w:rsidRPr="00B51105" w:rsidRDefault="00B51105" w:rsidP="00A70F9C">
      <w:pPr>
        <w:numPr>
          <w:ilvl w:val="0"/>
          <w:numId w:val="17"/>
        </w:numPr>
        <w:spacing w:after="0"/>
        <w:ind w:left="540"/>
        <w:textAlignment w:val="baseline"/>
        <w:rPr>
          <w:rFonts w:ascii="Calibri" w:hAnsi="Calibri"/>
          <w:color w:val="404040"/>
          <w:szCs w:val="23"/>
        </w:rPr>
      </w:pPr>
      <w:r w:rsidRPr="00B51105">
        <w:rPr>
          <w:rFonts w:ascii="Calibri" w:hAnsi="Calibri"/>
          <w:color w:val="000000"/>
          <w:szCs w:val="23"/>
        </w:rPr>
        <w:t xml:space="preserve">At the end of the school day, teachers will host Office Hours or small group tutoring for students who need additional support. Students will be able to continue engaging in extracurricular activities, including Projects and Clubs like Speech, Debate, and Robotics. </w:t>
      </w:r>
    </w:p>
    <w:p w14:paraId="1E8BF47F" w14:textId="2F7B5476" w:rsidR="005D54B3" w:rsidRPr="005D54B3" w:rsidRDefault="00887F40" w:rsidP="00053538">
      <w:pPr>
        <w:pStyle w:val="Heading1"/>
      </w:pPr>
      <w:r>
        <w:t>GOAL 2</w:t>
      </w:r>
      <w:r w:rsidR="00BC64E6">
        <w:t>: COLLEGE PREPARATION</w:t>
      </w:r>
    </w:p>
    <w:p w14:paraId="451D16A4" w14:textId="06A60C08" w:rsidR="00BC64E6" w:rsidRPr="00DD2508" w:rsidRDefault="00BC64E6" w:rsidP="00BC64E6">
      <w:pPr>
        <w:pStyle w:val="MeasureTitle"/>
      </w:pPr>
      <w:r w:rsidRPr="00DD2508">
        <w:t xml:space="preserve">GOAL </w:t>
      </w:r>
      <w:r w:rsidR="00887F40">
        <w:t>2</w:t>
      </w:r>
      <w:r w:rsidRPr="00DD2508">
        <w:t>: COLLEGE PREPARATION</w:t>
      </w:r>
    </w:p>
    <w:p w14:paraId="086D149D" w14:textId="77777777" w:rsidR="00BA2F42" w:rsidRDefault="00BA2F42" w:rsidP="00BA2F42">
      <w:pPr>
        <w:pStyle w:val="MeasureText"/>
        <w:rPr>
          <w:color w:val="404040" w:themeColor="text1" w:themeTint="BF"/>
        </w:rPr>
      </w:pPr>
      <w:r>
        <w:rPr>
          <w:color w:val="404040" w:themeColor="text1" w:themeTint="BF"/>
        </w:rPr>
        <w:t xml:space="preserve">Students will be prepared for the rigorous nature of college by the end of high school. </w:t>
      </w:r>
    </w:p>
    <w:p w14:paraId="0117ECC7" w14:textId="4BF02C39" w:rsidR="57F71D55" w:rsidRDefault="57F71D55" w:rsidP="57F71D55">
      <w:pPr>
        <w:rPr>
          <w:highlight w:val="lightGray"/>
        </w:rPr>
      </w:pPr>
    </w:p>
    <w:p w14:paraId="2B0D6D66" w14:textId="49C5F2F3" w:rsidR="00BC64E6" w:rsidRPr="00DD2508" w:rsidRDefault="00BC64E6" w:rsidP="00BC64E6">
      <w:pPr>
        <w:pStyle w:val="MeasureTitle"/>
      </w:pPr>
      <w:r w:rsidRPr="00DD2508">
        <w:t xml:space="preserve">Goal </w:t>
      </w:r>
      <w:r w:rsidR="00887F40">
        <w:t>2</w:t>
      </w:r>
      <w:r w:rsidRPr="00DD2508">
        <w:t xml:space="preserve">: </w:t>
      </w:r>
      <w:r>
        <w:t>Absolute</w:t>
      </w:r>
      <w:r w:rsidRPr="00DD2508">
        <w:t xml:space="preserve"> Measure</w:t>
      </w:r>
    </w:p>
    <w:p w14:paraId="3D2A9E13" w14:textId="77777777" w:rsidR="00BC64E6" w:rsidRDefault="00BC64E6" w:rsidP="00BC64E6">
      <w:pPr>
        <w:pStyle w:val="MeasureText"/>
      </w:pPr>
      <w:r w:rsidRPr="00977126">
        <w:t xml:space="preserve">Each year, </w:t>
      </w:r>
      <w:r>
        <w:t>75 percent of graduating students will demonstrate their preparation for college by at least one or some combination of the following indicators:</w:t>
      </w:r>
    </w:p>
    <w:p w14:paraId="26FF0556" w14:textId="77777777" w:rsidR="00BC64E6" w:rsidRDefault="00BC64E6" w:rsidP="00A70F9C">
      <w:pPr>
        <w:pStyle w:val="MeasureText"/>
        <w:numPr>
          <w:ilvl w:val="0"/>
          <w:numId w:val="2"/>
        </w:numPr>
      </w:pPr>
      <w:r>
        <w:t xml:space="preserve">Passing an Advanced Placement (“AP”) exam with a score of 3 or </w:t>
      </w:r>
      <w:proofErr w:type="gramStart"/>
      <w:r>
        <w:t>higher;</w:t>
      </w:r>
      <w:proofErr w:type="gramEnd"/>
    </w:p>
    <w:p w14:paraId="207C8431" w14:textId="77777777" w:rsidR="00BC64E6" w:rsidRDefault="00BC64E6" w:rsidP="00A70F9C">
      <w:pPr>
        <w:pStyle w:val="MeasureText"/>
        <w:numPr>
          <w:ilvl w:val="0"/>
          <w:numId w:val="2"/>
        </w:numPr>
      </w:pPr>
      <w:r>
        <w:t xml:space="preserve">Earning a score of 4 or higher on an International Baccalaureate (“IB”) </w:t>
      </w:r>
      <w:proofErr w:type="gramStart"/>
      <w:r>
        <w:t>exam;</w:t>
      </w:r>
      <w:proofErr w:type="gramEnd"/>
    </w:p>
    <w:p w14:paraId="63E81E5F" w14:textId="77777777" w:rsidR="00BC64E6" w:rsidRDefault="00BC64E6" w:rsidP="00A70F9C">
      <w:pPr>
        <w:pStyle w:val="MeasureText"/>
        <w:numPr>
          <w:ilvl w:val="0"/>
          <w:numId w:val="2"/>
        </w:numPr>
      </w:pPr>
      <w:r>
        <w:t xml:space="preserve">Passing a College Level Examination Program (“CLEP”) </w:t>
      </w:r>
      <w:proofErr w:type="gramStart"/>
      <w:r>
        <w:t>exam;</w:t>
      </w:r>
      <w:proofErr w:type="gramEnd"/>
    </w:p>
    <w:p w14:paraId="5AE202CB" w14:textId="77777777" w:rsidR="00BC64E6" w:rsidRDefault="00BC64E6" w:rsidP="00A70F9C">
      <w:pPr>
        <w:pStyle w:val="MeasureText"/>
        <w:numPr>
          <w:ilvl w:val="0"/>
          <w:numId w:val="2"/>
        </w:numPr>
      </w:pPr>
      <w:r>
        <w:t xml:space="preserve">Passing a college level course offered at a college or university or through a school partnership with a college or </w:t>
      </w:r>
      <w:proofErr w:type="gramStart"/>
      <w:r>
        <w:t>university;</w:t>
      </w:r>
      <w:proofErr w:type="gramEnd"/>
    </w:p>
    <w:p w14:paraId="2B920F3F" w14:textId="1E79EEED" w:rsidR="00BC64E6" w:rsidRDefault="00BC64E6" w:rsidP="00A70F9C">
      <w:pPr>
        <w:pStyle w:val="MeasureText"/>
        <w:numPr>
          <w:ilvl w:val="0"/>
          <w:numId w:val="2"/>
        </w:numPr>
      </w:pPr>
      <w:r>
        <w:t>Achieving the college and career rea</w:t>
      </w:r>
      <w:r w:rsidR="00DA64ED">
        <w:t xml:space="preserve">diness benchmark on the </w:t>
      </w:r>
      <w:proofErr w:type="gramStart"/>
      <w:r w:rsidR="00DA64ED">
        <w:t>SAT;</w:t>
      </w:r>
      <w:proofErr w:type="gramEnd"/>
      <w:r w:rsidR="00DA64ED">
        <w:t xml:space="preserve"> </w:t>
      </w:r>
    </w:p>
    <w:p w14:paraId="1D5FB423" w14:textId="359C86DD" w:rsidR="00BC64E6" w:rsidRDefault="00BC64E6" w:rsidP="00A70F9C">
      <w:pPr>
        <w:pStyle w:val="MeasureText"/>
        <w:numPr>
          <w:ilvl w:val="0"/>
          <w:numId w:val="2"/>
        </w:numPr>
      </w:pPr>
      <w:r>
        <w:t>Earning a Regents diploma with advanced designation; or,</w:t>
      </w:r>
    </w:p>
    <w:p w14:paraId="50EE9D48" w14:textId="7A8B2267" w:rsidR="00053538" w:rsidRDefault="00053538" w:rsidP="00A70F9C">
      <w:pPr>
        <w:pStyle w:val="MeasureText"/>
        <w:numPr>
          <w:ilvl w:val="0"/>
          <w:numId w:val="2"/>
        </w:numPr>
      </w:pPr>
      <w:r>
        <w:t>A different school-created indicator approved by the Institute.</w:t>
      </w:r>
    </w:p>
    <w:p w14:paraId="21A3E3E9" w14:textId="77777777" w:rsidR="00BC64E6" w:rsidRDefault="00BC64E6" w:rsidP="00BC64E6">
      <w:pPr>
        <w:pStyle w:val="Heading2"/>
      </w:pPr>
      <w:r w:rsidRPr="00DD2508">
        <w:t>Method</w:t>
      </w:r>
    </w:p>
    <w:p w14:paraId="3DFABC56" w14:textId="46DDBE52" w:rsidR="00BC64E6" w:rsidRDefault="00BC64E6">
      <w:r w:rsidRPr="7D51821A">
        <w:rPr>
          <w:rFonts w:ascii="Calibri" w:hAnsi="Calibri"/>
          <w:color w:val="000000" w:themeColor="text1"/>
        </w:rPr>
        <w:t xml:space="preserve">Schools use any method listed here, or any combination thereof, to demonstrate that at least 75 percent of graduates are prepared to engage in rigorous college level coursework.  The school </w:t>
      </w:r>
      <w:r w:rsidRPr="7D51821A">
        <w:rPr>
          <w:rFonts w:ascii="Calibri" w:hAnsi="Calibri"/>
          <w:color w:val="000000" w:themeColor="text1"/>
        </w:rPr>
        <w:lastRenderedPageBreak/>
        <w:t xml:space="preserve">should select only those methods listed here that it uses to demonstrate the college readiness of its students and eliminate those that it will not.  For instance, high schools that do not deliver an IB Program as part of their high school design do not report on the IB option.  The school reports on the number of students who attempted to achieve each indicator, the number who succeeded, and the corresponding percentage.  Additionally, the school should report on the overall number of students who graduated after four years, the number of those graduates who achieved any of the relevant </w:t>
      </w:r>
      <w:r w:rsidR="004048F0">
        <w:rPr>
          <w:rFonts w:ascii="Calibri" w:hAnsi="Calibri"/>
          <w:color w:val="000000" w:themeColor="text1"/>
        </w:rPr>
        <w:t>indicators</w:t>
      </w:r>
      <w:r w:rsidRPr="7D51821A">
        <w:rPr>
          <w:rFonts w:ascii="Calibri" w:hAnsi="Calibri"/>
          <w:color w:val="000000" w:themeColor="text1"/>
        </w:rPr>
        <w:t>, and the overall percentage</w:t>
      </w:r>
      <w:r w:rsidR="00C6486B" w:rsidRPr="7D51821A">
        <w:rPr>
          <w:rFonts w:ascii="Calibri" w:hAnsi="Calibri"/>
          <w:color w:val="000000" w:themeColor="text1"/>
        </w:rPr>
        <w:t xml:space="preserve"> achieving </w:t>
      </w:r>
      <w:r w:rsidR="00DA64ED">
        <w:rPr>
          <w:rFonts w:ascii="Calibri" w:hAnsi="Calibri"/>
          <w:color w:val="000000" w:themeColor="text1"/>
        </w:rPr>
        <w:t>any</w:t>
      </w:r>
      <w:r w:rsidR="00C6486B" w:rsidRPr="7D51821A">
        <w:rPr>
          <w:rFonts w:ascii="Calibri" w:hAnsi="Calibri"/>
          <w:color w:val="000000" w:themeColor="text1"/>
        </w:rPr>
        <w:t xml:space="preserve"> </w:t>
      </w:r>
      <w:r w:rsidR="004048F0">
        <w:rPr>
          <w:rFonts w:ascii="Calibri" w:hAnsi="Calibri"/>
          <w:color w:val="000000" w:themeColor="text1"/>
        </w:rPr>
        <w:t>indicator</w:t>
      </w:r>
      <w:r w:rsidRPr="7D51821A">
        <w:rPr>
          <w:rFonts w:ascii="Calibri" w:hAnsi="Calibri"/>
          <w:color w:val="000000" w:themeColor="text1"/>
        </w:rPr>
        <w:t xml:space="preserve">. </w:t>
      </w:r>
    </w:p>
    <w:p w14:paraId="54AB3A30" w14:textId="77777777" w:rsidR="00BC64E6" w:rsidRPr="00DD2508" w:rsidRDefault="00BC64E6" w:rsidP="00BC64E6">
      <w:pPr>
        <w:pStyle w:val="Heading2"/>
      </w:pPr>
      <w:r w:rsidRPr="00DD2508">
        <w:t>Results</w:t>
      </w:r>
      <w:r>
        <w:t xml:space="preserve"> and evaluation</w:t>
      </w:r>
    </w:p>
    <w:p w14:paraId="65E53C2D" w14:textId="7DE31E80" w:rsidR="00BA2F42" w:rsidRDefault="003B0F17" w:rsidP="00BA2F42">
      <w:r w:rsidRPr="003B0F17">
        <w:t>46</w:t>
      </w:r>
      <w:r w:rsidR="00BA2F42" w:rsidRPr="003B0F17">
        <w:t>% of students in the 2017 Cohort passed an Advanced Placement exam with a score of 3 or higher. This percentage does not exceed the absolute measure of 75% of graduating students.</w:t>
      </w:r>
      <w:r w:rsidR="00BA2F42">
        <w:t xml:space="preserve"> </w:t>
      </w:r>
    </w:p>
    <w:p w14:paraId="742184DF" w14:textId="3C6BDAFB" w:rsidR="00BC64E6" w:rsidRPr="00DD2508" w:rsidRDefault="00BA2F42" w:rsidP="00BA2F42">
      <w:r>
        <w:t>Troy Prep Charter School does not offer courses in partnership with a college or university, nor does the school offer the required foreign language instruction required to pass a foreign language Regents exam. Rather than adhere to the Advanced Regents program, students take AP-aligned classes outside the scope of the Regents curriculum.</w:t>
      </w:r>
    </w:p>
    <w:p w14:paraId="44F3632F" w14:textId="77777777" w:rsidR="00BC64E6" w:rsidRPr="00DD2508" w:rsidRDefault="00BC64E6" w:rsidP="00BC64E6"/>
    <w:p w14:paraId="4830EBCC" w14:textId="026A7928" w:rsidR="00BC64E6" w:rsidRDefault="00C567D8" w:rsidP="00BC64E6">
      <w:pPr>
        <w:pStyle w:val="TableHeader"/>
      </w:pPr>
      <w:r>
        <w:t>Percentage of the 201</w:t>
      </w:r>
      <w:r w:rsidR="00053538">
        <w:t>7</w:t>
      </w:r>
      <w:r w:rsidR="00BC64E6">
        <w:t xml:space="preserve"> Total Cohort Graduates Demonstrating College Preparation by Indicator </w:t>
      </w:r>
    </w:p>
    <w:tbl>
      <w:tblPr>
        <w:tblStyle w:val="TableGrid"/>
        <w:tblW w:w="0" w:type="auto"/>
        <w:jc w:val="center"/>
        <w:tblLook w:val="04A0" w:firstRow="1" w:lastRow="0" w:firstColumn="1" w:lastColumn="0" w:noHBand="0" w:noVBand="1"/>
      </w:tblPr>
      <w:tblGrid>
        <w:gridCol w:w="2337"/>
        <w:gridCol w:w="1978"/>
        <w:gridCol w:w="2250"/>
        <w:gridCol w:w="2340"/>
      </w:tblGrid>
      <w:tr w:rsidR="00BC64E6" w14:paraId="059DAF9A" w14:textId="77777777" w:rsidTr="57F71D55">
        <w:trPr>
          <w:jc w:val="center"/>
        </w:trPr>
        <w:tc>
          <w:tcPr>
            <w:tcW w:w="2337" w:type="dxa"/>
          </w:tcPr>
          <w:p w14:paraId="17D2D644" w14:textId="77777777" w:rsidR="00BC64E6" w:rsidRDefault="00BC64E6" w:rsidP="00317BC5">
            <w:pPr>
              <w:jc w:val="center"/>
              <w:rPr>
                <w:rFonts w:asciiTheme="minorHAnsi" w:hAnsiTheme="minorHAnsi" w:cstheme="minorHAnsi"/>
                <w:sz w:val="20"/>
              </w:rPr>
            </w:pPr>
          </w:p>
          <w:p w14:paraId="0E72AA6D" w14:textId="77777777" w:rsidR="00BC64E6" w:rsidRPr="00FF7D0A" w:rsidRDefault="00BC64E6" w:rsidP="00317BC5">
            <w:pPr>
              <w:jc w:val="center"/>
              <w:rPr>
                <w:rFonts w:asciiTheme="minorHAnsi" w:hAnsiTheme="minorHAnsi" w:cstheme="minorHAnsi"/>
                <w:sz w:val="20"/>
              </w:rPr>
            </w:pPr>
            <w:r w:rsidRPr="00FF7D0A">
              <w:rPr>
                <w:rFonts w:asciiTheme="minorHAnsi" w:hAnsiTheme="minorHAnsi" w:cstheme="minorHAnsi"/>
                <w:sz w:val="20"/>
              </w:rPr>
              <w:t>Indicator</w:t>
            </w:r>
          </w:p>
        </w:tc>
        <w:tc>
          <w:tcPr>
            <w:tcW w:w="1978" w:type="dxa"/>
          </w:tcPr>
          <w:p w14:paraId="6000C228" w14:textId="77777777" w:rsidR="00BC64E6" w:rsidRPr="00FF7D0A" w:rsidRDefault="00BC64E6" w:rsidP="00317BC5">
            <w:pPr>
              <w:jc w:val="center"/>
              <w:rPr>
                <w:rFonts w:asciiTheme="minorHAnsi" w:hAnsiTheme="minorHAnsi" w:cstheme="minorHAnsi"/>
                <w:sz w:val="20"/>
              </w:rPr>
            </w:pPr>
            <w:r w:rsidRPr="00FF7D0A">
              <w:rPr>
                <w:rFonts w:asciiTheme="minorHAnsi" w:hAnsiTheme="minorHAnsi" w:cstheme="minorHAnsi"/>
                <w:sz w:val="20"/>
              </w:rPr>
              <w:t>Number of Graduates who Attempted the Indicator</w:t>
            </w:r>
          </w:p>
        </w:tc>
        <w:tc>
          <w:tcPr>
            <w:tcW w:w="2250" w:type="dxa"/>
          </w:tcPr>
          <w:p w14:paraId="182558F7" w14:textId="77777777" w:rsidR="00BC64E6" w:rsidRDefault="00BC64E6" w:rsidP="00317BC5">
            <w:pPr>
              <w:jc w:val="center"/>
              <w:rPr>
                <w:rFonts w:asciiTheme="minorHAnsi" w:hAnsiTheme="minorHAnsi" w:cstheme="minorHAnsi"/>
                <w:sz w:val="20"/>
              </w:rPr>
            </w:pPr>
          </w:p>
          <w:p w14:paraId="6BD2CCCD" w14:textId="77777777" w:rsidR="00BC64E6" w:rsidRPr="00FF7D0A" w:rsidRDefault="00BC64E6" w:rsidP="00317BC5">
            <w:pPr>
              <w:jc w:val="center"/>
              <w:rPr>
                <w:rFonts w:asciiTheme="minorHAnsi" w:hAnsiTheme="minorHAnsi" w:cstheme="minorHAnsi"/>
                <w:sz w:val="20"/>
              </w:rPr>
            </w:pPr>
            <w:r w:rsidRPr="00FF7D0A">
              <w:rPr>
                <w:rFonts w:asciiTheme="minorHAnsi" w:hAnsiTheme="minorHAnsi" w:cstheme="minorHAnsi"/>
                <w:sz w:val="20"/>
              </w:rPr>
              <w:t>Number who Achieved Indicator</w:t>
            </w:r>
          </w:p>
        </w:tc>
        <w:tc>
          <w:tcPr>
            <w:tcW w:w="2340" w:type="dxa"/>
          </w:tcPr>
          <w:p w14:paraId="1107C2D8" w14:textId="77777777" w:rsidR="00BC64E6" w:rsidRDefault="00BC64E6" w:rsidP="00317BC5">
            <w:pPr>
              <w:jc w:val="center"/>
              <w:rPr>
                <w:rFonts w:asciiTheme="minorHAnsi" w:hAnsiTheme="minorHAnsi" w:cstheme="minorHAnsi"/>
                <w:sz w:val="20"/>
              </w:rPr>
            </w:pPr>
          </w:p>
          <w:p w14:paraId="71CAA15F" w14:textId="77777777" w:rsidR="00BC64E6" w:rsidRPr="00FF7D0A" w:rsidRDefault="00BC64E6" w:rsidP="00317BC5">
            <w:pPr>
              <w:jc w:val="center"/>
              <w:rPr>
                <w:rFonts w:asciiTheme="minorHAnsi" w:hAnsiTheme="minorHAnsi" w:cstheme="minorHAnsi"/>
                <w:sz w:val="20"/>
              </w:rPr>
            </w:pPr>
            <w:r w:rsidRPr="00FF7D0A">
              <w:rPr>
                <w:rFonts w:asciiTheme="minorHAnsi" w:hAnsiTheme="minorHAnsi" w:cstheme="minorHAnsi"/>
                <w:sz w:val="20"/>
              </w:rPr>
              <w:t>Percentage of Graduates who Achieved Indicator</w:t>
            </w:r>
          </w:p>
        </w:tc>
      </w:tr>
      <w:tr w:rsidR="00BC64E6" w14:paraId="6837FF0D" w14:textId="77777777" w:rsidTr="57F71D55">
        <w:trPr>
          <w:jc w:val="center"/>
        </w:trPr>
        <w:tc>
          <w:tcPr>
            <w:tcW w:w="2337" w:type="dxa"/>
          </w:tcPr>
          <w:p w14:paraId="0D66649D" w14:textId="6B27780A" w:rsidR="00BC64E6" w:rsidRPr="00FF7D0A" w:rsidRDefault="00BA2F42" w:rsidP="00317BC5">
            <w:pPr>
              <w:jc w:val="center"/>
              <w:rPr>
                <w:rFonts w:asciiTheme="minorHAnsi" w:hAnsiTheme="minorHAnsi" w:cstheme="minorHAnsi"/>
                <w:sz w:val="20"/>
                <w:highlight w:val="lightGray"/>
              </w:rPr>
            </w:pPr>
            <w:r>
              <w:rPr>
                <w:rFonts w:ascii="Calibri" w:hAnsi="Calibri"/>
                <w:color w:val="404040"/>
                <w:sz w:val="20"/>
                <w:shd w:val="clear" w:color="auto" w:fill="FFFFFF"/>
              </w:rPr>
              <w:t>Passing an Advanced Placement exam with a score of 3 or higher</w:t>
            </w:r>
          </w:p>
        </w:tc>
        <w:tc>
          <w:tcPr>
            <w:tcW w:w="1978" w:type="dxa"/>
          </w:tcPr>
          <w:p w14:paraId="2C2EA152" w14:textId="20A31D47" w:rsidR="00BC64E6" w:rsidRPr="00FF7D0A" w:rsidRDefault="00710DBC" w:rsidP="00317BC5">
            <w:pPr>
              <w:jc w:val="center"/>
              <w:rPr>
                <w:rFonts w:asciiTheme="minorHAnsi" w:hAnsiTheme="minorHAnsi" w:cstheme="minorHAnsi"/>
                <w:sz w:val="20"/>
              </w:rPr>
            </w:pPr>
            <w:r>
              <w:rPr>
                <w:rFonts w:asciiTheme="minorHAnsi" w:hAnsiTheme="minorHAnsi" w:cstheme="minorHAnsi"/>
                <w:sz w:val="20"/>
              </w:rPr>
              <w:t>2</w:t>
            </w:r>
            <w:r w:rsidR="003B0F17">
              <w:rPr>
                <w:rFonts w:asciiTheme="minorHAnsi" w:hAnsiTheme="minorHAnsi" w:cstheme="minorHAnsi"/>
                <w:sz w:val="20"/>
              </w:rPr>
              <w:t>3</w:t>
            </w:r>
          </w:p>
        </w:tc>
        <w:tc>
          <w:tcPr>
            <w:tcW w:w="2250" w:type="dxa"/>
          </w:tcPr>
          <w:p w14:paraId="13EF88CE" w14:textId="72F73218" w:rsidR="00BC64E6" w:rsidRPr="00FF7D0A" w:rsidRDefault="003B0F17" w:rsidP="00317BC5">
            <w:pPr>
              <w:jc w:val="center"/>
              <w:rPr>
                <w:rFonts w:asciiTheme="minorHAnsi" w:hAnsiTheme="minorHAnsi" w:cstheme="minorHAnsi"/>
                <w:sz w:val="20"/>
              </w:rPr>
            </w:pPr>
            <w:r>
              <w:rPr>
                <w:rFonts w:asciiTheme="minorHAnsi" w:hAnsiTheme="minorHAnsi" w:cstheme="minorHAnsi"/>
                <w:sz w:val="20"/>
              </w:rPr>
              <w:t>11</w:t>
            </w:r>
          </w:p>
        </w:tc>
        <w:tc>
          <w:tcPr>
            <w:tcW w:w="2340" w:type="dxa"/>
          </w:tcPr>
          <w:p w14:paraId="675FFB49" w14:textId="28FAD701" w:rsidR="00BC64E6" w:rsidRPr="00FF7D0A" w:rsidRDefault="003B0F17" w:rsidP="00317BC5">
            <w:pPr>
              <w:jc w:val="center"/>
              <w:rPr>
                <w:rFonts w:asciiTheme="minorHAnsi" w:hAnsiTheme="minorHAnsi" w:cstheme="minorHAnsi"/>
                <w:sz w:val="20"/>
              </w:rPr>
            </w:pPr>
            <w:r>
              <w:rPr>
                <w:rFonts w:asciiTheme="minorHAnsi" w:hAnsiTheme="minorHAnsi" w:cstheme="minorHAnsi"/>
                <w:sz w:val="20"/>
              </w:rPr>
              <w:t>46%</w:t>
            </w:r>
          </w:p>
        </w:tc>
      </w:tr>
      <w:tr w:rsidR="00BC64E6" w14:paraId="7B8F94F1" w14:textId="77777777" w:rsidTr="57F71D55">
        <w:trPr>
          <w:jc w:val="center"/>
        </w:trPr>
        <w:tc>
          <w:tcPr>
            <w:tcW w:w="2337" w:type="dxa"/>
          </w:tcPr>
          <w:p w14:paraId="3ADD0DD7" w14:textId="1D8EA7BF" w:rsidR="00BC64E6" w:rsidRPr="00BA2F42" w:rsidRDefault="00BA2F42" w:rsidP="00BA2F42">
            <w:pPr>
              <w:pStyle w:val="NormalWeb"/>
              <w:spacing w:after="0"/>
              <w:jc w:val="center"/>
            </w:pPr>
            <w:r>
              <w:rPr>
                <w:rFonts w:ascii="Calibri" w:hAnsi="Calibri"/>
                <w:color w:val="404040"/>
                <w:sz w:val="20"/>
                <w:szCs w:val="20"/>
                <w:shd w:val="clear" w:color="auto" w:fill="FFFFFF"/>
              </w:rPr>
              <w:t>Achieving the college and career readiness benchmark on the SAT</w:t>
            </w:r>
          </w:p>
        </w:tc>
        <w:tc>
          <w:tcPr>
            <w:tcW w:w="1978" w:type="dxa"/>
          </w:tcPr>
          <w:p w14:paraId="4D68C600" w14:textId="390E3388" w:rsidR="00BC64E6" w:rsidRPr="00FF7D0A" w:rsidRDefault="003B0F17" w:rsidP="00317BC5">
            <w:pPr>
              <w:jc w:val="center"/>
              <w:rPr>
                <w:rFonts w:asciiTheme="minorHAnsi" w:hAnsiTheme="minorHAnsi" w:cstheme="minorHAnsi"/>
                <w:sz w:val="20"/>
              </w:rPr>
            </w:pPr>
            <w:r>
              <w:rPr>
                <w:rFonts w:asciiTheme="minorHAnsi" w:hAnsiTheme="minorHAnsi" w:cstheme="minorHAnsi"/>
                <w:sz w:val="20"/>
              </w:rPr>
              <w:t>21</w:t>
            </w:r>
          </w:p>
        </w:tc>
        <w:tc>
          <w:tcPr>
            <w:tcW w:w="2250" w:type="dxa"/>
          </w:tcPr>
          <w:p w14:paraId="4780C01F" w14:textId="25473691" w:rsidR="00BC64E6" w:rsidRPr="00FF7D0A" w:rsidRDefault="003B0F17" w:rsidP="00317BC5">
            <w:pPr>
              <w:jc w:val="center"/>
              <w:rPr>
                <w:rFonts w:asciiTheme="minorHAnsi" w:hAnsiTheme="minorHAnsi" w:cstheme="minorHAnsi"/>
                <w:sz w:val="20"/>
              </w:rPr>
            </w:pPr>
            <w:r>
              <w:rPr>
                <w:rFonts w:asciiTheme="minorHAnsi" w:hAnsiTheme="minorHAnsi" w:cstheme="minorHAnsi"/>
                <w:sz w:val="20"/>
              </w:rPr>
              <w:t>12</w:t>
            </w:r>
          </w:p>
        </w:tc>
        <w:tc>
          <w:tcPr>
            <w:tcW w:w="2340" w:type="dxa"/>
          </w:tcPr>
          <w:p w14:paraId="31574219" w14:textId="371E2E27" w:rsidR="00BC64E6" w:rsidRPr="00FF7D0A" w:rsidRDefault="003B0F17" w:rsidP="00317BC5">
            <w:pPr>
              <w:jc w:val="center"/>
              <w:rPr>
                <w:rFonts w:asciiTheme="minorHAnsi" w:hAnsiTheme="minorHAnsi" w:cstheme="minorHAnsi"/>
                <w:sz w:val="20"/>
              </w:rPr>
            </w:pPr>
            <w:r>
              <w:rPr>
                <w:rFonts w:asciiTheme="minorHAnsi" w:hAnsiTheme="minorHAnsi" w:cstheme="minorHAnsi"/>
                <w:sz w:val="20"/>
              </w:rPr>
              <w:t>57%</w:t>
            </w:r>
          </w:p>
        </w:tc>
      </w:tr>
      <w:tr w:rsidR="00BA2F42" w14:paraId="1FA9A83E" w14:textId="77777777" w:rsidTr="57F71D55">
        <w:trPr>
          <w:jc w:val="center"/>
        </w:trPr>
        <w:tc>
          <w:tcPr>
            <w:tcW w:w="2337" w:type="dxa"/>
          </w:tcPr>
          <w:p w14:paraId="697907DC" w14:textId="77777777" w:rsidR="00BA2F42" w:rsidRDefault="00BA2F42" w:rsidP="00317BC5">
            <w:pPr>
              <w:jc w:val="center"/>
              <w:rPr>
                <w:rFonts w:asciiTheme="minorHAnsi" w:hAnsiTheme="minorHAnsi" w:cstheme="minorHAnsi"/>
                <w:sz w:val="20"/>
              </w:rPr>
            </w:pPr>
          </w:p>
          <w:p w14:paraId="4E51D5EA" w14:textId="632F6CA5" w:rsidR="00BA2F42" w:rsidRPr="00FF7D0A" w:rsidRDefault="00BA2F42" w:rsidP="00317BC5">
            <w:pPr>
              <w:jc w:val="center"/>
              <w:rPr>
                <w:rFonts w:asciiTheme="minorHAnsi" w:hAnsiTheme="minorHAnsi" w:cstheme="minorHAnsi"/>
                <w:sz w:val="20"/>
                <w:highlight w:val="lightGray"/>
              </w:rPr>
            </w:pPr>
            <w:r w:rsidRPr="00FF7D0A">
              <w:rPr>
                <w:rFonts w:asciiTheme="minorHAnsi" w:hAnsiTheme="minorHAnsi" w:cstheme="minorHAnsi"/>
                <w:sz w:val="20"/>
              </w:rPr>
              <w:t>Overall</w:t>
            </w:r>
          </w:p>
        </w:tc>
        <w:tc>
          <w:tcPr>
            <w:tcW w:w="1978" w:type="dxa"/>
          </w:tcPr>
          <w:p w14:paraId="34884F4B" w14:textId="710E1EBB" w:rsidR="00BA2F42" w:rsidRPr="00FF7D0A" w:rsidRDefault="003B0F17" w:rsidP="00317BC5">
            <w:pPr>
              <w:jc w:val="center"/>
              <w:rPr>
                <w:rFonts w:asciiTheme="minorHAnsi" w:hAnsiTheme="minorHAnsi" w:cstheme="minorHAnsi"/>
                <w:sz w:val="20"/>
              </w:rPr>
            </w:pPr>
            <w:r>
              <w:rPr>
                <w:rFonts w:asciiTheme="minorHAnsi" w:hAnsiTheme="minorHAnsi" w:cstheme="minorBidi"/>
                <w:sz w:val="20"/>
              </w:rPr>
              <w:t>23</w:t>
            </w:r>
          </w:p>
        </w:tc>
        <w:tc>
          <w:tcPr>
            <w:tcW w:w="2250" w:type="dxa"/>
          </w:tcPr>
          <w:p w14:paraId="6C56CF8D" w14:textId="65B848E5" w:rsidR="00BA2F42" w:rsidRPr="00FF7D0A" w:rsidRDefault="003B0F17" w:rsidP="00317BC5">
            <w:pPr>
              <w:jc w:val="center"/>
              <w:rPr>
                <w:rFonts w:asciiTheme="minorHAnsi" w:hAnsiTheme="minorHAnsi" w:cstheme="minorHAnsi"/>
                <w:sz w:val="20"/>
              </w:rPr>
            </w:pPr>
            <w:r>
              <w:rPr>
                <w:rFonts w:asciiTheme="minorHAnsi" w:hAnsiTheme="minorHAnsi" w:cstheme="minorBidi"/>
                <w:sz w:val="20"/>
              </w:rPr>
              <w:t>16</w:t>
            </w:r>
          </w:p>
        </w:tc>
        <w:tc>
          <w:tcPr>
            <w:tcW w:w="2340" w:type="dxa"/>
          </w:tcPr>
          <w:p w14:paraId="59655639" w14:textId="0C358755" w:rsidR="00BA2F42" w:rsidRPr="00FF7D0A" w:rsidRDefault="003B0F17" w:rsidP="00317BC5">
            <w:pPr>
              <w:jc w:val="center"/>
              <w:rPr>
                <w:rFonts w:asciiTheme="minorHAnsi" w:hAnsiTheme="minorHAnsi" w:cstheme="minorHAnsi"/>
                <w:sz w:val="20"/>
              </w:rPr>
            </w:pPr>
            <w:r>
              <w:rPr>
                <w:rFonts w:asciiTheme="minorHAnsi" w:hAnsiTheme="minorHAnsi" w:cstheme="minorBidi"/>
                <w:sz w:val="20"/>
              </w:rPr>
              <w:t>70%</w:t>
            </w:r>
          </w:p>
        </w:tc>
      </w:tr>
    </w:tbl>
    <w:p w14:paraId="63DBEA4A" w14:textId="77777777" w:rsidR="00BA2F42" w:rsidRPr="00DD2508" w:rsidRDefault="00BA2F42" w:rsidP="00BC64E6">
      <w:pPr>
        <w:rPr>
          <w:b/>
        </w:rPr>
      </w:pPr>
    </w:p>
    <w:p w14:paraId="220F1EE7" w14:textId="1553CE5C" w:rsidR="00BC64E6" w:rsidRPr="00DD2508" w:rsidRDefault="00BC64E6" w:rsidP="00BC64E6">
      <w:pPr>
        <w:pStyle w:val="MeasureTitle"/>
      </w:pPr>
      <w:r>
        <w:t xml:space="preserve">Goal </w:t>
      </w:r>
      <w:r w:rsidR="00887F40">
        <w:t>2</w:t>
      </w:r>
      <w:r>
        <w:t>: Absolute Measure</w:t>
      </w:r>
    </w:p>
    <w:p w14:paraId="39214ABA" w14:textId="2FA70555" w:rsidR="00BC64E6" w:rsidRPr="00DD2508" w:rsidRDefault="00BC64E6" w:rsidP="00BC64E6">
      <w:pPr>
        <w:pStyle w:val="MeasureText"/>
        <w:rPr>
          <w:i/>
        </w:rPr>
      </w:pPr>
      <w:r>
        <w:t xml:space="preserve">Each year, the College, Career, and Civic Readiness Index (“CCCRI”) for the school’s </w:t>
      </w:r>
      <w:r w:rsidR="001B3F58">
        <w:t>Total</w:t>
      </w:r>
      <w:r>
        <w:t xml:space="preserve"> Cohort will exceed the Measure of Interim Progress (“MIP”) set forth in the state’s ESSA accountability system.</w:t>
      </w:r>
    </w:p>
    <w:p w14:paraId="4AFE3DA9" w14:textId="77777777" w:rsidR="00053538" w:rsidRDefault="00053538" w:rsidP="00053538">
      <w:r>
        <w:t>The calculation of this measure is not required for 2020-21.</w:t>
      </w:r>
    </w:p>
    <w:p w14:paraId="0C16F89C" w14:textId="26F10B57" w:rsidR="00BC64E6" w:rsidRPr="00C01285" w:rsidRDefault="00887F40" w:rsidP="57F71D55">
      <w:pPr>
        <w:pStyle w:val="MeasureTitle"/>
        <w:rPr>
          <w:strike/>
        </w:rPr>
      </w:pPr>
      <w:r>
        <w:t>Goal 2</w:t>
      </w:r>
      <w:r w:rsidR="00BC64E6">
        <w:t>: Comparative Measure</w:t>
      </w:r>
    </w:p>
    <w:p w14:paraId="684C3908" w14:textId="77777777" w:rsidR="00BC64E6" w:rsidRDefault="00BC64E6" w:rsidP="00BC64E6">
      <w:pPr>
        <w:pStyle w:val="MeasureText"/>
      </w:pPr>
      <w:r>
        <w:t>Each year, the school’s CCCRI for the Total Cohort will exceed that of the district of comparison’s Total Cohort.</w:t>
      </w:r>
    </w:p>
    <w:p w14:paraId="3870C744" w14:textId="5B5D2259" w:rsidR="00BC64E6" w:rsidRPr="00053538" w:rsidRDefault="00053538" w:rsidP="57F71D55">
      <w:r>
        <w:t>The calculation of this measure is not required for 2020-21.</w:t>
      </w:r>
    </w:p>
    <w:p w14:paraId="59993E9D" w14:textId="20DC5B35" w:rsidR="00BC64E6" w:rsidRDefault="00887F40" w:rsidP="00403CFF">
      <w:pPr>
        <w:pStyle w:val="MeasureTitle"/>
      </w:pPr>
      <w:r>
        <w:t>Goal 2</w:t>
      </w:r>
      <w:r w:rsidR="00BC64E6">
        <w:t>: Absolute Measure</w:t>
      </w:r>
    </w:p>
    <w:p w14:paraId="6703EEBD" w14:textId="58258554" w:rsidR="00BC64E6" w:rsidRDefault="00BC64E6" w:rsidP="00BC64E6">
      <w:pPr>
        <w:pStyle w:val="MeasureText"/>
      </w:pPr>
      <w:r w:rsidRPr="003B5EE1">
        <w:lastRenderedPageBreak/>
        <w:t>Each year, 75 percent of graduating students will matriculate in</w:t>
      </w:r>
      <w:r w:rsidR="000A4719">
        <w:t>to</w:t>
      </w:r>
      <w:r w:rsidRPr="003B5EE1">
        <w:t xml:space="preserve"> a college or university in the year after graduation.</w:t>
      </w:r>
    </w:p>
    <w:p w14:paraId="1CEAC378" w14:textId="77777777" w:rsidR="00BC64E6" w:rsidRPr="00DD2508" w:rsidRDefault="00BC64E6" w:rsidP="00BC64E6">
      <w:pPr>
        <w:pStyle w:val="Heading2"/>
      </w:pPr>
      <w:r w:rsidRPr="00DD2508">
        <w:t>Method</w:t>
      </w:r>
    </w:p>
    <w:p w14:paraId="7559A144" w14:textId="015CFF81" w:rsidR="00BC64E6" w:rsidRPr="00FF7D0A" w:rsidRDefault="00BC64E6" w:rsidP="7D51821A">
      <w:pPr>
        <w:spacing w:after="0"/>
        <w:rPr>
          <w:rFonts w:ascii="Calibri" w:hAnsi="Calibri"/>
        </w:rPr>
      </w:pPr>
      <w:r w:rsidRPr="7D51821A">
        <w:rPr>
          <w:rFonts w:ascii="Calibri" w:hAnsi="Calibri"/>
        </w:rPr>
        <w:t xml:space="preserve">The ultimate measure of whether a college prep high school has lived up to its mission is whether students </w:t>
      </w:r>
      <w:proofErr w:type="gramStart"/>
      <w:r w:rsidRPr="7D51821A">
        <w:rPr>
          <w:rFonts w:ascii="Calibri" w:hAnsi="Calibri"/>
        </w:rPr>
        <w:t>actually enroll</w:t>
      </w:r>
      <w:proofErr w:type="gramEnd"/>
      <w:r w:rsidRPr="7D51821A">
        <w:rPr>
          <w:rFonts w:ascii="Calibri" w:hAnsi="Calibri"/>
        </w:rPr>
        <w:t xml:space="preserve"> and succeed in college.  Schools track and report the percentage of fourth-year Total Cohort graduates who matriculate into a two or four-year college program in the </w:t>
      </w:r>
      <w:r w:rsidR="004D1943" w:rsidRPr="7D51821A">
        <w:rPr>
          <w:rFonts w:ascii="Calibri" w:hAnsi="Calibri"/>
        </w:rPr>
        <w:t>school year</w:t>
      </w:r>
      <w:r w:rsidRPr="7D51821A">
        <w:rPr>
          <w:rFonts w:ascii="Calibri" w:hAnsi="Calibri"/>
        </w:rPr>
        <w:t xml:space="preserve"> following graduation.</w:t>
      </w:r>
      <w:r w:rsidR="002318FC">
        <w:rPr>
          <w:rFonts w:ascii="Calibri" w:hAnsi="Calibri"/>
        </w:rPr>
        <w:t xml:space="preserve">  Schools should</w:t>
      </w:r>
      <w:r w:rsidR="50B90724" w:rsidRPr="7D51821A">
        <w:rPr>
          <w:rFonts w:ascii="Calibri" w:hAnsi="Calibri"/>
        </w:rPr>
        <w:t xml:space="preserve"> update and confir</w:t>
      </w:r>
      <w:r w:rsidR="00053538">
        <w:rPr>
          <w:rFonts w:ascii="Calibri" w:hAnsi="Calibri"/>
        </w:rPr>
        <w:t>m data for Cohorts prior to 2020-21</w:t>
      </w:r>
      <w:r w:rsidR="50B90724" w:rsidRPr="7D51821A">
        <w:rPr>
          <w:rFonts w:ascii="Calibri" w:hAnsi="Calibri"/>
        </w:rPr>
        <w:t xml:space="preserve"> and provide prelimi</w:t>
      </w:r>
      <w:r w:rsidR="00053538">
        <w:rPr>
          <w:rFonts w:ascii="Calibri" w:hAnsi="Calibri"/>
        </w:rPr>
        <w:t>nary matriculation data for 2017</w:t>
      </w:r>
      <w:r w:rsidR="50B90724" w:rsidRPr="7D51821A">
        <w:rPr>
          <w:rFonts w:ascii="Calibri" w:hAnsi="Calibri"/>
        </w:rPr>
        <w:t xml:space="preserve"> Cohort.  It may be necessary for schools to provide updated data to the Institute when </w:t>
      </w:r>
      <w:r w:rsidR="78AE0654" w:rsidRPr="7D51821A">
        <w:rPr>
          <w:rFonts w:ascii="Calibri" w:hAnsi="Calibri"/>
        </w:rPr>
        <w:t>National Student Clearinghouse or other data sources become available later in the school year.</w:t>
      </w:r>
    </w:p>
    <w:p w14:paraId="0A8CA345" w14:textId="77777777" w:rsidR="00BC64E6" w:rsidRPr="00DD2508" w:rsidRDefault="00BC64E6" w:rsidP="00BC64E6">
      <w:pPr>
        <w:pStyle w:val="Heading2"/>
      </w:pPr>
      <w:r w:rsidRPr="00DD2508">
        <w:t>Results</w:t>
      </w:r>
      <w:r>
        <w:t xml:space="preserve"> and Evaluation</w:t>
      </w:r>
    </w:p>
    <w:p w14:paraId="50604164" w14:textId="6A94AD49" w:rsidR="00BC64E6" w:rsidRDefault="00BA2F42" w:rsidP="00BC64E6">
      <w:r>
        <w:rPr>
          <w:rFonts w:ascii="Calibri" w:hAnsi="Calibri"/>
          <w:color w:val="404040"/>
          <w:szCs w:val="23"/>
        </w:rPr>
        <w:t xml:space="preserve">Troy Prep has a matriculation rate of </w:t>
      </w:r>
      <w:r w:rsidR="00356B0F">
        <w:rPr>
          <w:rFonts w:ascii="Calibri" w:hAnsi="Calibri"/>
          <w:color w:val="404040"/>
          <w:szCs w:val="23"/>
        </w:rPr>
        <w:t>80%</w:t>
      </w:r>
      <w:r w:rsidRPr="00356B0F">
        <w:rPr>
          <w:rFonts w:ascii="Calibri" w:hAnsi="Calibri"/>
          <w:color w:val="404040"/>
          <w:szCs w:val="23"/>
        </w:rPr>
        <w:t>, exceeding</w:t>
      </w:r>
      <w:r>
        <w:rPr>
          <w:rFonts w:ascii="Calibri" w:hAnsi="Calibri"/>
          <w:color w:val="404040"/>
          <w:szCs w:val="23"/>
        </w:rPr>
        <w:t xml:space="preserve"> the goal of 75%. This is due to our </w:t>
      </w:r>
      <w:r w:rsidR="00393509">
        <w:rPr>
          <w:rFonts w:ascii="Calibri" w:hAnsi="Calibri"/>
          <w:color w:val="404040"/>
          <w:szCs w:val="23"/>
        </w:rPr>
        <w:t>hardworking</w:t>
      </w:r>
      <w:r>
        <w:rPr>
          <w:rFonts w:ascii="Calibri" w:hAnsi="Calibri"/>
          <w:color w:val="404040"/>
          <w:szCs w:val="23"/>
        </w:rPr>
        <w:t xml:space="preserve"> college counsel</w:t>
      </w:r>
      <w:r w:rsidR="00393509">
        <w:rPr>
          <w:rFonts w:ascii="Calibri" w:hAnsi="Calibri"/>
          <w:color w:val="404040"/>
          <w:szCs w:val="23"/>
        </w:rPr>
        <w:t>or</w:t>
      </w:r>
      <w:r>
        <w:rPr>
          <w:rFonts w:ascii="Calibri" w:hAnsi="Calibri"/>
          <w:color w:val="404040"/>
          <w:szCs w:val="23"/>
        </w:rPr>
        <w:t xml:space="preserve"> and extremely low counselor to student ratio (approximately 2</w:t>
      </w:r>
      <w:r w:rsidR="00393509">
        <w:rPr>
          <w:rFonts w:ascii="Calibri" w:hAnsi="Calibri"/>
          <w:color w:val="404040"/>
          <w:szCs w:val="23"/>
        </w:rPr>
        <w:t>5</w:t>
      </w:r>
      <w:r>
        <w:rPr>
          <w:rFonts w:ascii="Calibri" w:hAnsi="Calibri"/>
          <w:color w:val="404040"/>
          <w:szCs w:val="23"/>
        </w:rPr>
        <w:t>:1</w:t>
      </w:r>
      <w:r w:rsidR="00393509">
        <w:rPr>
          <w:rFonts w:ascii="Calibri" w:hAnsi="Calibri"/>
          <w:color w:val="404040"/>
          <w:szCs w:val="23"/>
        </w:rPr>
        <w:t>) This is our first year of graduating seniors.</w:t>
      </w:r>
    </w:p>
    <w:p w14:paraId="17B9836E" w14:textId="77777777" w:rsidR="00BC64E6" w:rsidRPr="00FF7D0A" w:rsidRDefault="00BC64E6" w:rsidP="00BC64E6">
      <w:pPr>
        <w:pStyle w:val="TableHeader"/>
      </w:pPr>
      <w:r>
        <w:t>Matriculation Rate of Graduates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644"/>
        <w:gridCol w:w="1644"/>
        <w:gridCol w:w="1700"/>
        <w:gridCol w:w="1700"/>
      </w:tblGrid>
      <w:tr w:rsidR="004D1943" w:rsidRPr="00FF7D0A" w14:paraId="1587DE84" w14:textId="77777777" w:rsidTr="7D51821A">
        <w:trPr>
          <w:trHeight w:val="254"/>
          <w:jc w:val="center"/>
        </w:trPr>
        <w:tc>
          <w:tcPr>
            <w:tcW w:w="776" w:type="dxa"/>
            <w:tcBorders>
              <w:bottom w:val="single" w:sz="4" w:space="0" w:color="auto"/>
            </w:tcBorders>
            <w:vAlign w:val="center"/>
          </w:tcPr>
          <w:p w14:paraId="42F3CE3B" w14:textId="77777777" w:rsidR="004D1943" w:rsidRPr="00FF7D0A" w:rsidRDefault="004D1943" w:rsidP="00317BC5">
            <w:pPr>
              <w:pStyle w:val="TableText"/>
            </w:pPr>
            <w:r w:rsidRPr="00FF7D0A">
              <w:t>Cohort</w:t>
            </w:r>
          </w:p>
        </w:tc>
        <w:tc>
          <w:tcPr>
            <w:tcW w:w="1644" w:type="dxa"/>
          </w:tcPr>
          <w:p w14:paraId="399BB881" w14:textId="77777777" w:rsidR="004D1943" w:rsidRDefault="004D1943" w:rsidP="00317BC5">
            <w:pPr>
              <w:pStyle w:val="TableText"/>
            </w:pPr>
          </w:p>
          <w:p w14:paraId="19ED2768" w14:textId="77777777" w:rsidR="004D1943" w:rsidRDefault="004D1943" w:rsidP="00317BC5">
            <w:pPr>
              <w:pStyle w:val="TableText"/>
            </w:pPr>
          </w:p>
          <w:p w14:paraId="5CB7730E" w14:textId="1B5B79B0" w:rsidR="004D1943" w:rsidRDefault="004D1943" w:rsidP="00317BC5">
            <w:pPr>
              <w:pStyle w:val="TableText"/>
            </w:pPr>
            <w:r>
              <w:t>Graduation Year</w:t>
            </w:r>
          </w:p>
        </w:tc>
        <w:tc>
          <w:tcPr>
            <w:tcW w:w="1644" w:type="dxa"/>
          </w:tcPr>
          <w:p w14:paraId="0127BB81" w14:textId="1009A2CE" w:rsidR="004D1943" w:rsidRDefault="004D1943" w:rsidP="00317BC5">
            <w:pPr>
              <w:pStyle w:val="TableText"/>
            </w:pPr>
            <w:r>
              <w:t>Number of Graduates</w:t>
            </w:r>
          </w:p>
          <w:p w14:paraId="0CAF5F77" w14:textId="77777777" w:rsidR="004D1943" w:rsidRDefault="004D1943" w:rsidP="00317BC5">
            <w:pPr>
              <w:pStyle w:val="TableText"/>
            </w:pPr>
          </w:p>
          <w:p w14:paraId="1E3B7AE9" w14:textId="0F9CC7F3" w:rsidR="004D1943" w:rsidRPr="00FF7D0A" w:rsidRDefault="004D1943" w:rsidP="00317BC5">
            <w:pPr>
              <w:pStyle w:val="TableText"/>
            </w:pPr>
            <w:r>
              <w:t>(a)</w:t>
            </w:r>
          </w:p>
        </w:tc>
        <w:tc>
          <w:tcPr>
            <w:tcW w:w="1700" w:type="dxa"/>
          </w:tcPr>
          <w:p w14:paraId="58626FBA" w14:textId="42260528" w:rsidR="004D1943" w:rsidRDefault="004D1943" w:rsidP="00317BC5">
            <w:pPr>
              <w:pStyle w:val="TableText"/>
            </w:pPr>
            <w:r>
              <w:t>Number Enrolled in 2 or 4-year Program in Following Year</w:t>
            </w:r>
          </w:p>
          <w:p w14:paraId="6AE70F70" w14:textId="34FFB2A5" w:rsidR="004D1943" w:rsidRPr="00FF7D0A" w:rsidRDefault="004D1943" w:rsidP="00317BC5">
            <w:pPr>
              <w:pStyle w:val="TableText"/>
            </w:pPr>
            <w:r>
              <w:t>(b)</w:t>
            </w:r>
          </w:p>
        </w:tc>
        <w:tc>
          <w:tcPr>
            <w:tcW w:w="1700" w:type="dxa"/>
          </w:tcPr>
          <w:p w14:paraId="6A7ED223" w14:textId="77777777" w:rsidR="004D1943" w:rsidRDefault="004D1943" w:rsidP="00317BC5">
            <w:pPr>
              <w:pStyle w:val="TableText"/>
            </w:pPr>
            <w:r>
              <w:t>Matriculation Rate</w:t>
            </w:r>
          </w:p>
          <w:p w14:paraId="0B6374AD" w14:textId="77777777" w:rsidR="004D1943" w:rsidRDefault="004D1943" w:rsidP="00317BC5">
            <w:pPr>
              <w:pStyle w:val="TableText"/>
            </w:pPr>
          </w:p>
          <w:p w14:paraId="3D4830E0" w14:textId="3AA38F78" w:rsidR="004D1943" w:rsidRDefault="004D1943" w:rsidP="00317BC5">
            <w:pPr>
              <w:pStyle w:val="TableText"/>
            </w:pPr>
            <w:r>
              <w:t>=[(b)/(a</w:t>
            </w:r>
            <w:proofErr w:type="gramStart"/>
            <w:r>
              <w:t>)]*</w:t>
            </w:r>
            <w:proofErr w:type="gramEnd"/>
            <w:r>
              <w:t>100</w:t>
            </w:r>
          </w:p>
        </w:tc>
      </w:tr>
      <w:tr w:rsidR="004D1943" w:rsidRPr="00FF7D0A" w14:paraId="7913CACE" w14:textId="77777777" w:rsidTr="7D51821A">
        <w:trPr>
          <w:jc w:val="center"/>
        </w:trPr>
        <w:tc>
          <w:tcPr>
            <w:tcW w:w="776" w:type="dxa"/>
            <w:vAlign w:val="center"/>
          </w:tcPr>
          <w:p w14:paraId="187018F7" w14:textId="4F181257" w:rsidR="004D1943" w:rsidRPr="00FF7D0A" w:rsidRDefault="004D1943" w:rsidP="00317BC5">
            <w:pPr>
              <w:pStyle w:val="TableText"/>
            </w:pPr>
            <w:r>
              <w:t>201</w:t>
            </w:r>
            <w:r w:rsidR="00053538">
              <w:t>5</w:t>
            </w:r>
          </w:p>
        </w:tc>
        <w:tc>
          <w:tcPr>
            <w:tcW w:w="1644" w:type="dxa"/>
          </w:tcPr>
          <w:p w14:paraId="3140E1D9" w14:textId="1D2DE8D0" w:rsidR="004D1943" w:rsidRPr="00FF7D0A" w:rsidRDefault="004D1943" w:rsidP="00317BC5">
            <w:pPr>
              <w:pStyle w:val="TableText"/>
            </w:pPr>
            <w:r>
              <w:t>201</w:t>
            </w:r>
            <w:r w:rsidR="00053538">
              <w:t>8</w:t>
            </w:r>
            <w:r>
              <w:t>-1</w:t>
            </w:r>
            <w:r w:rsidR="00053538">
              <w:t>9</w:t>
            </w:r>
          </w:p>
        </w:tc>
        <w:tc>
          <w:tcPr>
            <w:tcW w:w="1644" w:type="dxa"/>
          </w:tcPr>
          <w:p w14:paraId="1F7A7940" w14:textId="5966EEBE" w:rsidR="004D1943" w:rsidRPr="00FF7D0A" w:rsidRDefault="00BA2F42" w:rsidP="00317BC5">
            <w:pPr>
              <w:pStyle w:val="TableText"/>
            </w:pPr>
            <w:r>
              <w:t>N/A</w:t>
            </w:r>
          </w:p>
        </w:tc>
        <w:tc>
          <w:tcPr>
            <w:tcW w:w="1700" w:type="dxa"/>
          </w:tcPr>
          <w:p w14:paraId="388A4499" w14:textId="4B9060E9" w:rsidR="004D1943" w:rsidRPr="00FF7D0A" w:rsidRDefault="00BA2F42" w:rsidP="00317BC5">
            <w:pPr>
              <w:pStyle w:val="TableText"/>
            </w:pPr>
            <w:r>
              <w:t>N/A</w:t>
            </w:r>
          </w:p>
        </w:tc>
        <w:tc>
          <w:tcPr>
            <w:tcW w:w="1700" w:type="dxa"/>
          </w:tcPr>
          <w:p w14:paraId="2B766BD6" w14:textId="657BECC4" w:rsidR="004D1943" w:rsidRPr="00FF7D0A" w:rsidRDefault="00BA2F42" w:rsidP="00317BC5">
            <w:pPr>
              <w:pStyle w:val="TableText"/>
            </w:pPr>
            <w:r>
              <w:t>N/A</w:t>
            </w:r>
          </w:p>
        </w:tc>
      </w:tr>
      <w:tr w:rsidR="004D1943" w:rsidRPr="00FF7D0A" w14:paraId="603905DE" w14:textId="77777777" w:rsidTr="7D51821A">
        <w:trPr>
          <w:jc w:val="center"/>
        </w:trPr>
        <w:tc>
          <w:tcPr>
            <w:tcW w:w="776" w:type="dxa"/>
            <w:vAlign w:val="center"/>
          </w:tcPr>
          <w:p w14:paraId="0758276B" w14:textId="21E98134" w:rsidR="004D1943" w:rsidRPr="00FF7D0A" w:rsidRDefault="004D1943" w:rsidP="00317BC5">
            <w:pPr>
              <w:pStyle w:val="TableText"/>
            </w:pPr>
            <w:r>
              <w:t>201</w:t>
            </w:r>
            <w:r w:rsidR="00053538">
              <w:t>6</w:t>
            </w:r>
          </w:p>
        </w:tc>
        <w:tc>
          <w:tcPr>
            <w:tcW w:w="1644" w:type="dxa"/>
          </w:tcPr>
          <w:p w14:paraId="2533A339" w14:textId="4455E151" w:rsidR="004D1943" w:rsidRPr="00FF7D0A" w:rsidRDefault="004D1943" w:rsidP="00317BC5">
            <w:pPr>
              <w:pStyle w:val="TableText"/>
            </w:pPr>
            <w:r>
              <w:t>201</w:t>
            </w:r>
            <w:r w:rsidR="00053538">
              <w:t>9-20</w:t>
            </w:r>
          </w:p>
        </w:tc>
        <w:tc>
          <w:tcPr>
            <w:tcW w:w="1644" w:type="dxa"/>
          </w:tcPr>
          <w:p w14:paraId="5BECDA9C" w14:textId="583A5D1F" w:rsidR="004D1943" w:rsidRPr="00FF7D0A" w:rsidRDefault="00BA2F42" w:rsidP="00317BC5">
            <w:pPr>
              <w:pStyle w:val="TableText"/>
            </w:pPr>
            <w:r>
              <w:t>N/A</w:t>
            </w:r>
          </w:p>
        </w:tc>
        <w:tc>
          <w:tcPr>
            <w:tcW w:w="1700" w:type="dxa"/>
          </w:tcPr>
          <w:p w14:paraId="288B68FE" w14:textId="289DB84D" w:rsidR="004D1943" w:rsidRPr="00FF7D0A" w:rsidRDefault="00BA2F42" w:rsidP="00317BC5">
            <w:pPr>
              <w:pStyle w:val="TableText"/>
            </w:pPr>
            <w:r>
              <w:t>N/A</w:t>
            </w:r>
          </w:p>
        </w:tc>
        <w:tc>
          <w:tcPr>
            <w:tcW w:w="1700" w:type="dxa"/>
          </w:tcPr>
          <w:p w14:paraId="07479558" w14:textId="1DA86F23" w:rsidR="004D1943" w:rsidRPr="00FF7D0A" w:rsidRDefault="00BA2F42" w:rsidP="00317BC5">
            <w:pPr>
              <w:pStyle w:val="TableText"/>
            </w:pPr>
            <w:r>
              <w:t>N/A</w:t>
            </w:r>
          </w:p>
        </w:tc>
      </w:tr>
      <w:tr w:rsidR="004D1943" w:rsidRPr="00DD2508" w14:paraId="287BC1C5" w14:textId="77777777" w:rsidTr="7D51821A">
        <w:trPr>
          <w:jc w:val="center"/>
        </w:trPr>
        <w:tc>
          <w:tcPr>
            <w:tcW w:w="776" w:type="dxa"/>
          </w:tcPr>
          <w:p w14:paraId="06A2F8A2" w14:textId="32116A1A" w:rsidR="004D1943" w:rsidRPr="00FF7D0A" w:rsidRDefault="004D1943" w:rsidP="00317BC5">
            <w:pPr>
              <w:pStyle w:val="TableText"/>
            </w:pPr>
            <w:r>
              <w:t>201</w:t>
            </w:r>
            <w:r w:rsidR="00053538">
              <w:t>7</w:t>
            </w:r>
          </w:p>
        </w:tc>
        <w:tc>
          <w:tcPr>
            <w:tcW w:w="1644" w:type="dxa"/>
          </w:tcPr>
          <w:p w14:paraId="0C9929F6" w14:textId="2F9D821E" w:rsidR="004D1943" w:rsidRPr="00FF7D0A" w:rsidRDefault="00053538" w:rsidP="00317BC5">
            <w:pPr>
              <w:pStyle w:val="TableText"/>
            </w:pPr>
            <w:r>
              <w:t>2020</w:t>
            </w:r>
            <w:r w:rsidR="004D1943">
              <w:t>-</w:t>
            </w:r>
            <w:r>
              <w:t>21</w:t>
            </w:r>
          </w:p>
        </w:tc>
        <w:tc>
          <w:tcPr>
            <w:tcW w:w="1644" w:type="dxa"/>
          </w:tcPr>
          <w:p w14:paraId="3529104E" w14:textId="135D44EF" w:rsidR="004D1943" w:rsidRPr="00FF7D0A" w:rsidRDefault="00BA2F42" w:rsidP="00317BC5">
            <w:pPr>
              <w:pStyle w:val="TableText"/>
            </w:pPr>
            <w:r>
              <w:t>25</w:t>
            </w:r>
          </w:p>
        </w:tc>
        <w:tc>
          <w:tcPr>
            <w:tcW w:w="1700" w:type="dxa"/>
          </w:tcPr>
          <w:p w14:paraId="036355AF" w14:textId="27674B9D" w:rsidR="004D1943" w:rsidRPr="00DE3E14" w:rsidRDefault="00356B0F" w:rsidP="00317BC5">
            <w:pPr>
              <w:pStyle w:val="TableText"/>
            </w:pPr>
            <w:r>
              <w:t>20</w:t>
            </w:r>
          </w:p>
        </w:tc>
        <w:tc>
          <w:tcPr>
            <w:tcW w:w="1700" w:type="dxa"/>
          </w:tcPr>
          <w:p w14:paraId="14DAC9C8" w14:textId="74B27616" w:rsidR="004D1943" w:rsidRPr="00DE3E14" w:rsidRDefault="00356B0F" w:rsidP="00317BC5">
            <w:pPr>
              <w:pStyle w:val="TableText"/>
            </w:pPr>
            <w:r>
              <w:t>80%</w:t>
            </w:r>
          </w:p>
        </w:tc>
      </w:tr>
    </w:tbl>
    <w:p w14:paraId="2EC55A50" w14:textId="77777777" w:rsidR="00BC64E6" w:rsidRPr="00DD2508" w:rsidRDefault="00BC64E6" w:rsidP="00BC64E6"/>
    <w:p w14:paraId="64268E4B" w14:textId="330C2E05" w:rsidR="00BC64E6" w:rsidRPr="00977126" w:rsidRDefault="00BC64E6" w:rsidP="00BC64E6">
      <w:pPr>
        <w:pStyle w:val="Heading2"/>
      </w:pPr>
      <w:r w:rsidRPr="00977126">
        <w:t xml:space="preserve">Summary of the </w:t>
      </w:r>
      <w:r>
        <w:t>College Preparation Goal</w:t>
      </w:r>
    </w:p>
    <w:p w14:paraId="164F5D60" w14:textId="4F741A25" w:rsidR="00BC64E6" w:rsidRPr="00DD2508" w:rsidRDefault="00393509" w:rsidP="00BC64E6">
      <w:pPr>
        <w:pStyle w:val="TableText"/>
        <w:jc w:val="left"/>
      </w:pPr>
      <w:r>
        <w:rPr>
          <w:color w:val="404040"/>
          <w:sz w:val="23"/>
          <w:szCs w:val="23"/>
        </w:rPr>
        <w:t>Troy Prep Charter School</w:t>
      </w:r>
      <w:r>
        <w:rPr>
          <w:color w:val="000000"/>
          <w:sz w:val="23"/>
          <w:szCs w:val="23"/>
        </w:rPr>
        <w:t xml:space="preserve"> achieved </w:t>
      </w:r>
      <w:r w:rsidR="008A58BC" w:rsidRPr="008A58BC">
        <w:rPr>
          <w:color w:val="000000"/>
          <w:sz w:val="23"/>
          <w:szCs w:val="23"/>
        </w:rPr>
        <w:t>1</w:t>
      </w:r>
      <w:r w:rsidRPr="008A58BC">
        <w:rPr>
          <w:color w:val="000000"/>
          <w:sz w:val="23"/>
          <w:szCs w:val="23"/>
        </w:rPr>
        <w:t xml:space="preserve"> of </w:t>
      </w:r>
      <w:r w:rsidR="008A58BC" w:rsidRPr="008A58BC">
        <w:rPr>
          <w:color w:val="000000"/>
          <w:sz w:val="23"/>
          <w:szCs w:val="23"/>
        </w:rPr>
        <w:t>2</w:t>
      </w:r>
      <w:r>
        <w:rPr>
          <w:color w:val="000000"/>
          <w:sz w:val="23"/>
          <w:szCs w:val="23"/>
        </w:rPr>
        <w:t> High School Graduation goals. Furthermore, the school exceeded the New York State benchmark of 75% matriculating in a two- or four-year college.</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5302"/>
        <w:gridCol w:w="1603"/>
      </w:tblGrid>
      <w:tr w:rsidR="00BC64E6" w:rsidRPr="00DD2508" w14:paraId="14AE01E0" w14:textId="77777777" w:rsidTr="7D51821A">
        <w:trPr>
          <w:jc w:val="center"/>
        </w:trPr>
        <w:tc>
          <w:tcPr>
            <w:tcW w:w="1979" w:type="dxa"/>
            <w:shd w:val="clear" w:color="auto" w:fill="auto"/>
            <w:vAlign w:val="center"/>
          </w:tcPr>
          <w:p w14:paraId="7DBDEEB5" w14:textId="77777777" w:rsidR="00BC64E6" w:rsidRPr="00DF6ACA" w:rsidRDefault="00BC64E6" w:rsidP="00317BC5">
            <w:pPr>
              <w:pStyle w:val="TableText"/>
              <w:rPr>
                <w:b/>
              </w:rPr>
            </w:pPr>
            <w:r w:rsidRPr="00DF6ACA">
              <w:rPr>
                <w:b/>
              </w:rPr>
              <w:t>Type</w:t>
            </w:r>
          </w:p>
        </w:tc>
        <w:tc>
          <w:tcPr>
            <w:tcW w:w="5302" w:type="dxa"/>
            <w:shd w:val="clear" w:color="auto" w:fill="auto"/>
            <w:vAlign w:val="center"/>
          </w:tcPr>
          <w:p w14:paraId="7A7B96DA" w14:textId="01FAE466" w:rsidR="00BC64E6" w:rsidRPr="00DF6ACA" w:rsidRDefault="00BC64E6" w:rsidP="7D51821A">
            <w:pPr>
              <w:pStyle w:val="TableText"/>
              <w:rPr>
                <w:b/>
                <w:bCs/>
              </w:rPr>
            </w:pPr>
            <w:r w:rsidRPr="7D51821A">
              <w:rPr>
                <w:b/>
                <w:bCs/>
              </w:rPr>
              <w:t xml:space="preserve">Measure </w:t>
            </w:r>
          </w:p>
        </w:tc>
        <w:tc>
          <w:tcPr>
            <w:tcW w:w="1603" w:type="dxa"/>
            <w:vAlign w:val="center"/>
          </w:tcPr>
          <w:p w14:paraId="72572832" w14:textId="77777777" w:rsidR="00BC64E6" w:rsidRPr="00DF6ACA" w:rsidRDefault="00BC64E6" w:rsidP="00317BC5">
            <w:pPr>
              <w:pStyle w:val="TableText"/>
              <w:rPr>
                <w:b/>
              </w:rPr>
            </w:pPr>
            <w:r w:rsidRPr="00DF6ACA">
              <w:rPr>
                <w:b/>
              </w:rPr>
              <w:t>Outcome</w:t>
            </w:r>
          </w:p>
        </w:tc>
      </w:tr>
      <w:tr w:rsidR="00BC64E6" w:rsidRPr="00DD2508" w14:paraId="4756E93F" w14:textId="77777777" w:rsidTr="7D51821A">
        <w:trPr>
          <w:trHeight w:val="332"/>
          <w:jc w:val="center"/>
        </w:trPr>
        <w:tc>
          <w:tcPr>
            <w:tcW w:w="1979" w:type="dxa"/>
            <w:shd w:val="clear" w:color="auto" w:fill="auto"/>
            <w:vAlign w:val="center"/>
          </w:tcPr>
          <w:p w14:paraId="728A9DA7" w14:textId="77777777" w:rsidR="00BC64E6" w:rsidRPr="00DE3E14" w:rsidRDefault="00BC64E6" w:rsidP="00317BC5">
            <w:pPr>
              <w:pStyle w:val="TableText"/>
            </w:pPr>
            <w:r>
              <w:t>Absolute</w:t>
            </w:r>
          </w:p>
        </w:tc>
        <w:tc>
          <w:tcPr>
            <w:tcW w:w="5302" w:type="dxa"/>
            <w:shd w:val="clear" w:color="auto" w:fill="auto"/>
            <w:vAlign w:val="center"/>
          </w:tcPr>
          <w:p w14:paraId="4ACF011C" w14:textId="77777777" w:rsidR="00BC64E6" w:rsidRPr="00DE3E14" w:rsidRDefault="00BC64E6" w:rsidP="00317BC5">
            <w:pPr>
              <w:pStyle w:val="TableText"/>
              <w:jc w:val="left"/>
              <w:rPr>
                <w:bCs/>
                <w:i/>
                <w:iCs/>
              </w:rPr>
            </w:pPr>
            <w:r w:rsidRPr="00DE3E14">
              <w:rPr>
                <w:bCs/>
              </w:rPr>
              <w:t xml:space="preserve">Each year, </w:t>
            </w:r>
            <w:r>
              <w:rPr>
                <w:bCs/>
              </w:rPr>
              <w:t xml:space="preserve">75 percent of graduating students will demonstrate their preparation for college by one or more possible indicators of college readiness. </w:t>
            </w:r>
          </w:p>
        </w:tc>
        <w:tc>
          <w:tcPr>
            <w:tcW w:w="1603" w:type="dxa"/>
            <w:vAlign w:val="center"/>
          </w:tcPr>
          <w:p w14:paraId="594679D5" w14:textId="77777777" w:rsidR="00BC64E6" w:rsidRPr="003B0F17" w:rsidRDefault="003B0F17" w:rsidP="00317BC5">
            <w:pPr>
              <w:pStyle w:val="TableText"/>
            </w:pPr>
            <w:r w:rsidRPr="003B0F17">
              <w:t>Not achieved</w:t>
            </w:r>
          </w:p>
          <w:p w14:paraId="026A6951" w14:textId="00E48171" w:rsidR="003B0F17" w:rsidRPr="00DE3E14" w:rsidRDefault="003B0F17" w:rsidP="003B0F17">
            <w:pPr>
              <w:pStyle w:val="TableText"/>
              <w:jc w:val="left"/>
              <w:rPr>
                <w:highlight w:val="green"/>
              </w:rPr>
            </w:pPr>
          </w:p>
        </w:tc>
      </w:tr>
      <w:tr w:rsidR="00824466" w:rsidRPr="00DD2508" w14:paraId="421448B6" w14:textId="77777777" w:rsidTr="7D51821A">
        <w:trPr>
          <w:trHeight w:val="332"/>
          <w:jc w:val="center"/>
        </w:trPr>
        <w:tc>
          <w:tcPr>
            <w:tcW w:w="1979" w:type="dxa"/>
            <w:shd w:val="clear" w:color="auto" w:fill="auto"/>
            <w:vAlign w:val="center"/>
          </w:tcPr>
          <w:p w14:paraId="6C3EDECB" w14:textId="77777777" w:rsidR="00824466" w:rsidRPr="00DE3E14" w:rsidRDefault="00824466" w:rsidP="00824466">
            <w:pPr>
              <w:pStyle w:val="TableText"/>
            </w:pPr>
            <w:r>
              <w:t>Absolute</w:t>
            </w:r>
          </w:p>
        </w:tc>
        <w:tc>
          <w:tcPr>
            <w:tcW w:w="5302" w:type="dxa"/>
            <w:shd w:val="clear" w:color="auto" w:fill="auto"/>
            <w:vAlign w:val="center"/>
          </w:tcPr>
          <w:p w14:paraId="42F5F879" w14:textId="77777777" w:rsidR="00824466" w:rsidRPr="00DE3E14" w:rsidRDefault="00824466" w:rsidP="00824466">
            <w:pPr>
              <w:pStyle w:val="TableText"/>
              <w:jc w:val="left"/>
              <w:rPr>
                <w:i/>
                <w:iCs/>
              </w:rPr>
            </w:pPr>
            <w:r>
              <w:t>Each year, the CCCRI for the school’s Total Cohort will exceed that year’s state MIP set forth in the state’s ESSA accountability system.</w:t>
            </w:r>
          </w:p>
        </w:tc>
        <w:tc>
          <w:tcPr>
            <w:tcW w:w="1603" w:type="dxa"/>
            <w:vAlign w:val="center"/>
          </w:tcPr>
          <w:p w14:paraId="714A14FE" w14:textId="4CC3D9D4" w:rsidR="00824466" w:rsidRPr="00DE3E14" w:rsidRDefault="00824466" w:rsidP="00824466">
            <w:pPr>
              <w:pStyle w:val="TableText"/>
              <w:rPr>
                <w:highlight w:val="green"/>
              </w:rPr>
            </w:pPr>
            <w:r w:rsidRPr="00824466">
              <w:t>N/A</w:t>
            </w:r>
          </w:p>
        </w:tc>
      </w:tr>
      <w:tr w:rsidR="00824466" w:rsidRPr="00DD2508" w14:paraId="731EE7C6" w14:textId="77777777" w:rsidTr="7D51821A">
        <w:trPr>
          <w:trHeight w:val="332"/>
          <w:jc w:val="center"/>
        </w:trPr>
        <w:tc>
          <w:tcPr>
            <w:tcW w:w="1979" w:type="dxa"/>
            <w:shd w:val="clear" w:color="auto" w:fill="auto"/>
            <w:vAlign w:val="center"/>
          </w:tcPr>
          <w:p w14:paraId="1F365273" w14:textId="77777777" w:rsidR="00824466" w:rsidRPr="00DE3E14" w:rsidDel="008E10B8" w:rsidRDefault="00824466" w:rsidP="00824466">
            <w:pPr>
              <w:pStyle w:val="TableText"/>
            </w:pPr>
            <w:r>
              <w:t>Comparative</w:t>
            </w:r>
          </w:p>
        </w:tc>
        <w:tc>
          <w:tcPr>
            <w:tcW w:w="5302" w:type="dxa"/>
            <w:shd w:val="clear" w:color="auto" w:fill="auto"/>
            <w:vAlign w:val="center"/>
          </w:tcPr>
          <w:p w14:paraId="0205C193" w14:textId="5BF95E61" w:rsidR="00824466" w:rsidRPr="00DE3E14" w:rsidRDefault="00824466" w:rsidP="00824466">
            <w:pPr>
              <w:pStyle w:val="TableText"/>
              <w:jc w:val="left"/>
            </w:pPr>
            <w:r>
              <w:t>Each year, the school’s CCCRI for the Total Cohort will exceed that of the district’s Total Cohort.</w:t>
            </w:r>
          </w:p>
        </w:tc>
        <w:tc>
          <w:tcPr>
            <w:tcW w:w="1603" w:type="dxa"/>
            <w:vAlign w:val="center"/>
          </w:tcPr>
          <w:p w14:paraId="31DFD5EE" w14:textId="1105A924" w:rsidR="00824466" w:rsidRPr="00DE3E14" w:rsidRDefault="00824466" w:rsidP="00824466">
            <w:pPr>
              <w:pStyle w:val="TableText"/>
              <w:rPr>
                <w:highlight w:val="green"/>
              </w:rPr>
            </w:pPr>
            <w:r w:rsidRPr="00824466">
              <w:t>N/A</w:t>
            </w:r>
          </w:p>
        </w:tc>
      </w:tr>
      <w:tr w:rsidR="00824466" w:rsidRPr="00DD2508" w14:paraId="3EBC42C5" w14:textId="77777777" w:rsidTr="7D51821A">
        <w:trPr>
          <w:trHeight w:val="332"/>
          <w:jc w:val="center"/>
        </w:trPr>
        <w:tc>
          <w:tcPr>
            <w:tcW w:w="1979" w:type="dxa"/>
            <w:shd w:val="clear" w:color="auto" w:fill="auto"/>
            <w:vAlign w:val="center"/>
          </w:tcPr>
          <w:p w14:paraId="03AE7F62" w14:textId="77777777" w:rsidR="00824466" w:rsidRPr="00DE3E14" w:rsidDel="008E10B8" w:rsidRDefault="00824466" w:rsidP="00824466">
            <w:pPr>
              <w:pStyle w:val="TableText"/>
            </w:pPr>
            <w:r>
              <w:t>Absolute</w:t>
            </w:r>
          </w:p>
        </w:tc>
        <w:tc>
          <w:tcPr>
            <w:tcW w:w="5302" w:type="dxa"/>
            <w:shd w:val="clear" w:color="auto" w:fill="auto"/>
            <w:vAlign w:val="center"/>
          </w:tcPr>
          <w:p w14:paraId="58598E2B" w14:textId="7584215F" w:rsidR="00824466" w:rsidRPr="00DE3E14" w:rsidRDefault="00824466" w:rsidP="00824466">
            <w:pPr>
              <w:pStyle w:val="TableText"/>
              <w:jc w:val="left"/>
              <w:rPr>
                <w:bCs/>
              </w:rPr>
            </w:pPr>
            <w:r w:rsidRPr="007B27CD">
              <w:t>Each year, 75 percent of graduating students will matriculate in</w:t>
            </w:r>
            <w:r>
              <w:t>to</w:t>
            </w:r>
            <w:r w:rsidRPr="007B27CD">
              <w:t xml:space="preserve"> a college or university in the year after graduation.</w:t>
            </w:r>
          </w:p>
        </w:tc>
        <w:tc>
          <w:tcPr>
            <w:tcW w:w="1603" w:type="dxa"/>
            <w:vAlign w:val="center"/>
          </w:tcPr>
          <w:p w14:paraId="7EAFF0F7" w14:textId="0F6F6C8C" w:rsidR="00824466" w:rsidRPr="00DE3E14" w:rsidRDefault="003B0F17" w:rsidP="00824466">
            <w:pPr>
              <w:pStyle w:val="TableText"/>
              <w:rPr>
                <w:highlight w:val="green"/>
              </w:rPr>
            </w:pPr>
            <w:r>
              <w:rPr>
                <w:highlight w:val="green"/>
              </w:rPr>
              <w:t>Achieved</w:t>
            </w:r>
          </w:p>
        </w:tc>
      </w:tr>
    </w:tbl>
    <w:p w14:paraId="48BBA44E" w14:textId="77777777" w:rsidR="00BC64E6" w:rsidRDefault="00BC64E6" w:rsidP="00BC64E6">
      <w:pPr>
        <w:rPr>
          <w:rFonts w:ascii="Calibri" w:hAnsi="Calibri"/>
          <w:b/>
          <w:color w:val="000000"/>
          <w:szCs w:val="23"/>
          <w:u w:val="single"/>
        </w:rPr>
      </w:pPr>
    </w:p>
    <w:p w14:paraId="619B188E" w14:textId="77777777" w:rsidR="00BC64E6" w:rsidRDefault="00BC64E6" w:rsidP="00BC64E6">
      <w:pPr>
        <w:rPr>
          <w:rFonts w:ascii="Calibri" w:hAnsi="Calibri"/>
          <w:b/>
          <w:color w:val="000000"/>
          <w:szCs w:val="23"/>
          <w:u w:val="single"/>
        </w:rPr>
      </w:pPr>
    </w:p>
    <w:p w14:paraId="1609DFB9" w14:textId="77777777" w:rsidR="00BC64E6" w:rsidRPr="00A30873" w:rsidRDefault="00BC64E6" w:rsidP="00403CFF">
      <w:pPr>
        <w:pStyle w:val="Heading2"/>
      </w:pPr>
      <w:r w:rsidRPr="00A30873">
        <w:lastRenderedPageBreak/>
        <w:t>Action Plan</w:t>
      </w:r>
    </w:p>
    <w:p w14:paraId="7E76CDDB" w14:textId="3523C45A" w:rsidR="00393509" w:rsidRPr="00393509" w:rsidRDefault="00393509" w:rsidP="00393509">
      <w:pPr>
        <w:spacing w:after="0"/>
        <w:rPr>
          <w:rFonts w:ascii="Times New Roman" w:hAnsi="Times New Roman"/>
          <w:color w:val="auto"/>
          <w:sz w:val="24"/>
          <w:szCs w:val="24"/>
        </w:rPr>
      </w:pPr>
      <w:r>
        <w:rPr>
          <w:rFonts w:ascii="Calibri" w:hAnsi="Calibri"/>
          <w:color w:val="404040"/>
          <w:szCs w:val="23"/>
        </w:rPr>
        <w:t>Troy Prep</w:t>
      </w:r>
      <w:r w:rsidRPr="00393509">
        <w:rPr>
          <w:rFonts w:ascii="Calibri" w:hAnsi="Calibri"/>
          <w:color w:val="404040"/>
          <w:szCs w:val="23"/>
        </w:rPr>
        <w:t xml:space="preserve"> Charter School will continue to use an academic model that is largely similar to that of grades K-8, utilizing practices and approaches that have proven effective in producing significant academic gains at the highest-performing urban public schools in the country.  Specifically, the high school will continue to focus around:</w:t>
      </w:r>
    </w:p>
    <w:p w14:paraId="2EC434F5" w14:textId="77777777" w:rsidR="00393509" w:rsidRPr="00393509" w:rsidRDefault="00393509" w:rsidP="00A70F9C">
      <w:pPr>
        <w:numPr>
          <w:ilvl w:val="0"/>
          <w:numId w:val="18"/>
        </w:numPr>
        <w:spacing w:after="0"/>
        <w:ind w:left="1440"/>
        <w:textAlignment w:val="baseline"/>
        <w:rPr>
          <w:rFonts w:ascii="Arial" w:hAnsi="Arial" w:cs="Arial"/>
          <w:color w:val="404040"/>
          <w:sz w:val="24"/>
          <w:szCs w:val="24"/>
        </w:rPr>
      </w:pPr>
      <w:r w:rsidRPr="00393509">
        <w:rPr>
          <w:rFonts w:ascii="Calibri" w:hAnsi="Calibri" w:cs="Arial"/>
          <w:color w:val="404040"/>
          <w:szCs w:val="23"/>
        </w:rPr>
        <w:t>A College Preparatory Mission</w:t>
      </w:r>
    </w:p>
    <w:p w14:paraId="38307225" w14:textId="77777777" w:rsidR="00393509" w:rsidRPr="00393509" w:rsidRDefault="00393509" w:rsidP="00A70F9C">
      <w:pPr>
        <w:numPr>
          <w:ilvl w:val="0"/>
          <w:numId w:val="18"/>
        </w:numPr>
        <w:spacing w:after="0"/>
        <w:ind w:left="1440"/>
        <w:textAlignment w:val="baseline"/>
        <w:rPr>
          <w:rFonts w:ascii="Arial" w:hAnsi="Arial" w:cs="Arial"/>
          <w:color w:val="404040"/>
          <w:sz w:val="24"/>
          <w:szCs w:val="24"/>
        </w:rPr>
      </w:pPr>
      <w:r w:rsidRPr="00393509">
        <w:rPr>
          <w:rFonts w:ascii="Calibri" w:hAnsi="Calibri" w:cs="Arial"/>
          <w:color w:val="404040"/>
          <w:szCs w:val="23"/>
        </w:rPr>
        <w:t>High Standards for Academics and Character</w:t>
      </w:r>
    </w:p>
    <w:p w14:paraId="3597D8CC" w14:textId="77777777" w:rsidR="00393509" w:rsidRPr="00393509" w:rsidRDefault="00393509" w:rsidP="00A70F9C">
      <w:pPr>
        <w:numPr>
          <w:ilvl w:val="0"/>
          <w:numId w:val="18"/>
        </w:numPr>
        <w:spacing w:after="0"/>
        <w:ind w:left="1440"/>
        <w:textAlignment w:val="baseline"/>
        <w:rPr>
          <w:rFonts w:ascii="Arial" w:hAnsi="Arial" w:cs="Arial"/>
          <w:color w:val="404040"/>
          <w:sz w:val="24"/>
          <w:szCs w:val="24"/>
        </w:rPr>
      </w:pPr>
      <w:r w:rsidRPr="00393509">
        <w:rPr>
          <w:rFonts w:ascii="Calibri" w:hAnsi="Calibri" w:cs="Arial"/>
          <w:color w:val="404040"/>
          <w:szCs w:val="23"/>
        </w:rPr>
        <w:t>A Highly Structured Remote and Hybrid Learning Environment </w:t>
      </w:r>
    </w:p>
    <w:p w14:paraId="1D64DE68" w14:textId="77777777" w:rsidR="00393509" w:rsidRPr="00393509" w:rsidRDefault="00393509" w:rsidP="00A70F9C">
      <w:pPr>
        <w:numPr>
          <w:ilvl w:val="0"/>
          <w:numId w:val="18"/>
        </w:numPr>
        <w:spacing w:after="0"/>
        <w:ind w:left="1440"/>
        <w:textAlignment w:val="baseline"/>
        <w:rPr>
          <w:rFonts w:ascii="Arial" w:hAnsi="Arial" w:cs="Arial"/>
          <w:color w:val="404040"/>
          <w:sz w:val="24"/>
          <w:szCs w:val="24"/>
        </w:rPr>
      </w:pPr>
      <w:r w:rsidRPr="00393509">
        <w:rPr>
          <w:rFonts w:ascii="Calibri" w:hAnsi="Calibri" w:cs="Arial"/>
          <w:color w:val="404040"/>
          <w:szCs w:val="23"/>
        </w:rPr>
        <w:t>A Focus on Accountability and Data-Driven Instruction</w:t>
      </w:r>
    </w:p>
    <w:p w14:paraId="41B4FC85" w14:textId="77777777" w:rsidR="00393509" w:rsidRPr="00393509" w:rsidRDefault="00393509" w:rsidP="00A70F9C">
      <w:pPr>
        <w:numPr>
          <w:ilvl w:val="0"/>
          <w:numId w:val="18"/>
        </w:numPr>
        <w:spacing w:after="0"/>
        <w:ind w:left="1440"/>
        <w:textAlignment w:val="baseline"/>
        <w:rPr>
          <w:rFonts w:ascii="Arial" w:hAnsi="Arial" w:cs="Arial"/>
          <w:color w:val="404040"/>
          <w:sz w:val="24"/>
          <w:szCs w:val="24"/>
        </w:rPr>
      </w:pPr>
      <w:r w:rsidRPr="00393509">
        <w:rPr>
          <w:rFonts w:ascii="Calibri" w:hAnsi="Calibri" w:cs="Arial"/>
          <w:color w:val="404040"/>
          <w:szCs w:val="23"/>
        </w:rPr>
        <w:t>A Faculty of Committed and Talented Leaders and Teachers  </w:t>
      </w:r>
    </w:p>
    <w:p w14:paraId="574851C2" w14:textId="77777777" w:rsidR="00393509" w:rsidRPr="00393509" w:rsidRDefault="00393509" w:rsidP="00393509">
      <w:pPr>
        <w:spacing w:after="0"/>
        <w:rPr>
          <w:rFonts w:ascii="Times New Roman" w:hAnsi="Times New Roman"/>
          <w:color w:val="auto"/>
          <w:sz w:val="24"/>
          <w:szCs w:val="24"/>
        </w:rPr>
      </w:pPr>
    </w:p>
    <w:p w14:paraId="0C755858" w14:textId="77777777" w:rsidR="00393509" w:rsidRPr="00393509" w:rsidRDefault="00393509" w:rsidP="00393509">
      <w:pPr>
        <w:spacing w:after="0"/>
        <w:rPr>
          <w:rFonts w:ascii="Times New Roman" w:hAnsi="Times New Roman"/>
          <w:color w:val="auto"/>
          <w:sz w:val="24"/>
          <w:szCs w:val="24"/>
        </w:rPr>
      </w:pPr>
      <w:r w:rsidRPr="00393509">
        <w:rPr>
          <w:rFonts w:ascii="Calibri" w:hAnsi="Calibri"/>
          <w:color w:val="404040"/>
          <w:szCs w:val="23"/>
        </w:rPr>
        <w:t>The school has developed a rigorous high school curriculum based on the New York State Learning</w:t>
      </w:r>
    </w:p>
    <w:p w14:paraId="0CCAEBC8" w14:textId="77777777" w:rsidR="00393509" w:rsidRPr="00393509" w:rsidRDefault="00393509" w:rsidP="00393509">
      <w:pPr>
        <w:spacing w:after="0"/>
        <w:rPr>
          <w:rFonts w:ascii="Times New Roman" w:hAnsi="Times New Roman"/>
          <w:color w:val="auto"/>
          <w:sz w:val="24"/>
          <w:szCs w:val="24"/>
        </w:rPr>
      </w:pPr>
      <w:r w:rsidRPr="00393509">
        <w:rPr>
          <w:rFonts w:ascii="Calibri" w:hAnsi="Calibri"/>
          <w:color w:val="404040"/>
          <w:szCs w:val="23"/>
        </w:rPr>
        <w:t>Standards with a special emphasis on preparing students for admission into and success in college. </w:t>
      </w:r>
    </w:p>
    <w:p w14:paraId="5FC419E4" w14:textId="380BE948" w:rsidR="00393509" w:rsidRPr="00393509" w:rsidRDefault="00393509" w:rsidP="00393509">
      <w:pPr>
        <w:spacing w:after="0"/>
        <w:rPr>
          <w:rFonts w:ascii="Times New Roman" w:hAnsi="Times New Roman"/>
          <w:color w:val="auto"/>
          <w:sz w:val="24"/>
          <w:szCs w:val="24"/>
        </w:rPr>
      </w:pPr>
      <w:r w:rsidRPr="00393509">
        <w:rPr>
          <w:rFonts w:ascii="Calibri" w:hAnsi="Calibri"/>
          <w:color w:val="404040"/>
          <w:szCs w:val="23"/>
        </w:rPr>
        <w:t>This curriculum ha</w:t>
      </w:r>
      <w:r>
        <w:rPr>
          <w:rFonts w:ascii="Calibri" w:hAnsi="Calibri"/>
          <w:color w:val="404040"/>
          <w:szCs w:val="23"/>
        </w:rPr>
        <w:t>d</w:t>
      </w:r>
      <w:r w:rsidRPr="00393509">
        <w:rPr>
          <w:rFonts w:ascii="Calibri" w:hAnsi="Calibri"/>
          <w:color w:val="404040"/>
          <w:szCs w:val="23"/>
        </w:rPr>
        <w:t xml:space="preserve"> been updated and modified to work with remote and hybrid instruction during </w:t>
      </w:r>
    </w:p>
    <w:p w14:paraId="01222F8D" w14:textId="627EABE3" w:rsidR="00393509" w:rsidRPr="00393509" w:rsidRDefault="00393509" w:rsidP="00393509">
      <w:pPr>
        <w:spacing w:after="0"/>
        <w:rPr>
          <w:rFonts w:ascii="Times New Roman" w:hAnsi="Times New Roman"/>
          <w:color w:val="auto"/>
          <w:sz w:val="24"/>
          <w:szCs w:val="24"/>
        </w:rPr>
      </w:pPr>
      <w:r>
        <w:rPr>
          <w:rFonts w:ascii="Calibri" w:hAnsi="Calibri"/>
          <w:color w:val="404040"/>
          <w:szCs w:val="23"/>
        </w:rPr>
        <w:t xml:space="preserve">this </w:t>
      </w:r>
      <w:r w:rsidRPr="00393509">
        <w:rPr>
          <w:rFonts w:ascii="Calibri" w:hAnsi="Calibri"/>
          <w:color w:val="404040"/>
          <w:szCs w:val="23"/>
        </w:rPr>
        <w:t>school year. The school is structured so that students will meet the criteria for a Regents or </w:t>
      </w:r>
    </w:p>
    <w:p w14:paraId="1786E108" w14:textId="77777777" w:rsidR="00393509" w:rsidRPr="00393509" w:rsidRDefault="00393509" w:rsidP="00393509">
      <w:pPr>
        <w:spacing w:after="0"/>
        <w:rPr>
          <w:rFonts w:ascii="Times New Roman" w:hAnsi="Times New Roman"/>
          <w:color w:val="auto"/>
          <w:sz w:val="24"/>
          <w:szCs w:val="24"/>
        </w:rPr>
      </w:pPr>
      <w:r w:rsidRPr="00393509">
        <w:rPr>
          <w:rFonts w:ascii="Calibri" w:hAnsi="Calibri"/>
          <w:color w:val="404040"/>
          <w:szCs w:val="23"/>
        </w:rPr>
        <w:t>Advanced Regents degree and will be accepted to at least one 4-year college.</w:t>
      </w:r>
    </w:p>
    <w:p w14:paraId="2C73BB36" w14:textId="77777777" w:rsidR="00393509" w:rsidRPr="00393509" w:rsidRDefault="00393509" w:rsidP="00393509">
      <w:pPr>
        <w:spacing w:after="0"/>
        <w:rPr>
          <w:rFonts w:ascii="Times New Roman" w:hAnsi="Times New Roman"/>
          <w:color w:val="auto"/>
          <w:sz w:val="24"/>
          <w:szCs w:val="24"/>
        </w:rPr>
      </w:pPr>
      <w:r w:rsidRPr="00393509">
        <w:rPr>
          <w:rFonts w:ascii="Times New Roman" w:hAnsi="Times New Roman"/>
          <w:color w:val="auto"/>
          <w:sz w:val="24"/>
          <w:szCs w:val="24"/>
        </w:rPr>
        <w:br/>
      </w:r>
    </w:p>
    <w:p w14:paraId="6EE1DAA6" w14:textId="309512F6" w:rsidR="00393509" w:rsidRPr="00393509" w:rsidRDefault="00393509" w:rsidP="00A70F9C">
      <w:pPr>
        <w:numPr>
          <w:ilvl w:val="0"/>
          <w:numId w:val="19"/>
        </w:numPr>
        <w:spacing w:after="0"/>
        <w:ind w:left="540"/>
        <w:textAlignment w:val="baseline"/>
        <w:rPr>
          <w:rFonts w:ascii="Arial" w:hAnsi="Arial" w:cs="Arial"/>
          <w:color w:val="404040"/>
          <w:sz w:val="24"/>
          <w:szCs w:val="24"/>
        </w:rPr>
      </w:pPr>
      <w:r w:rsidRPr="00393509">
        <w:rPr>
          <w:rFonts w:ascii="Calibri" w:hAnsi="Calibri" w:cs="Arial"/>
          <w:color w:val="404040"/>
          <w:szCs w:val="23"/>
        </w:rPr>
        <w:t xml:space="preserve">Quarterly Exams will continue to serve as a critical driver of classroom instruction and lesson planning for grades 9-12. The results will provide teachers with ongoing feedback on students’ progress in meeting state </w:t>
      </w:r>
      <w:proofErr w:type="gramStart"/>
      <w:r w:rsidRPr="00393509">
        <w:rPr>
          <w:rFonts w:ascii="Calibri" w:hAnsi="Calibri" w:cs="Arial"/>
          <w:color w:val="404040"/>
          <w:szCs w:val="23"/>
        </w:rPr>
        <w:t>standards</w:t>
      </w:r>
      <w:proofErr w:type="gramEnd"/>
      <w:r w:rsidRPr="00393509">
        <w:rPr>
          <w:rFonts w:ascii="Calibri" w:hAnsi="Calibri" w:cs="Arial"/>
          <w:color w:val="404040"/>
          <w:szCs w:val="23"/>
        </w:rPr>
        <w:t xml:space="preserve"> so they know, at any moment, which students have mastered which skills and which students have not.  Armed with this information, teachers will be better prepared to target instruction and make significant content adjustments throughout the year, without waiting for an end-of-year assessment that shows a student in need. </w:t>
      </w:r>
    </w:p>
    <w:p w14:paraId="2008EA9C" w14:textId="77777777" w:rsidR="00393509" w:rsidRPr="00393509" w:rsidRDefault="00393509" w:rsidP="00A70F9C">
      <w:pPr>
        <w:numPr>
          <w:ilvl w:val="0"/>
          <w:numId w:val="20"/>
        </w:numPr>
        <w:spacing w:after="0"/>
        <w:ind w:left="540"/>
        <w:textAlignment w:val="baseline"/>
        <w:rPr>
          <w:rFonts w:ascii="Arial" w:hAnsi="Arial" w:cs="Arial"/>
          <w:color w:val="404040"/>
          <w:sz w:val="24"/>
          <w:szCs w:val="24"/>
        </w:rPr>
      </w:pPr>
      <w:r w:rsidRPr="00393509">
        <w:rPr>
          <w:rFonts w:ascii="Calibri" w:hAnsi="Calibri" w:cs="Arial"/>
          <w:color w:val="404040"/>
          <w:szCs w:val="23"/>
        </w:rPr>
        <w:t xml:space="preserve">The school will continue to administer Interim Assessments/Quarterly Exams on a quarterly basis in all five major subjects. </w:t>
      </w:r>
    </w:p>
    <w:p w14:paraId="05DE1B54" w14:textId="07A13A61" w:rsidR="00393509" w:rsidRPr="00393509" w:rsidRDefault="00393509" w:rsidP="00A70F9C">
      <w:pPr>
        <w:numPr>
          <w:ilvl w:val="0"/>
          <w:numId w:val="20"/>
        </w:numPr>
        <w:spacing w:after="0"/>
        <w:ind w:left="540"/>
        <w:textAlignment w:val="baseline"/>
        <w:rPr>
          <w:rFonts w:ascii="Arial" w:hAnsi="Arial" w:cs="Arial"/>
          <w:color w:val="404040"/>
          <w:sz w:val="24"/>
          <w:szCs w:val="24"/>
        </w:rPr>
      </w:pPr>
      <w:r w:rsidRPr="00393509">
        <w:rPr>
          <w:rFonts w:ascii="Calibri" w:hAnsi="Calibri" w:cs="Arial"/>
          <w:color w:val="404040"/>
          <w:szCs w:val="23"/>
        </w:rPr>
        <w:t>The high school instructional leadership team will continue to review teacher lesson plans, observe classroom</w:t>
      </w:r>
      <w:r>
        <w:rPr>
          <w:rFonts w:ascii="Calibri" w:hAnsi="Calibri" w:cs="Arial"/>
          <w:color w:val="404040"/>
          <w:szCs w:val="23"/>
        </w:rPr>
        <w:t xml:space="preserve"> </w:t>
      </w:r>
      <w:r w:rsidRPr="00393509">
        <w:rPr>
          <w:rFonts w:ascii="Calibri" w:hAnsi="Calibri" w:cs="Arial"/>
          <w:color w:val="404040"/>
          <w:szCs w:val="23"/>
        </w:rPr>
        <w:t>instruction, and provide feedback on instruction.  The school’s leadership team will be responsible for identifying areas for growth and providing an extensive professional development program that meets the needs of both the school and individual teachers.   </w:t>
      </w:r>
    </w:p>
    <w:p w14:paraId="34CB0DFA" w14:textId="77777777" w:rsidR="00393509" w:rsidRPr="00393509" w:rsidRDefault="00393509" w:rsidP="00A70F9C">
      <w:pPr>
        <w:numPr>
          <w:ilvl w:val="0"/>
          <w:numId w:val="20"/>
        </w:numPr>
        <w:spacing w:after="0"/>
        <w:ind w:left="540"/>
        <w:textAlignment w:val="baseline"/>
        <w:rPr>
          <w:rFonts w:ascii="Arial" w:hAnsi="Arial" w:cs="Arial"/>
          <w:color w:val="404040"/>
          <w:sz w:val="24"/>
          <w:szCs w:val="24"/>
        </w:rPr>
      </w:pPr>
      <w:r w:rsidRPr="00393509">
        <w:rPr>
          <w:rFonts w:ascii="Calibri" w:hAnsi="Calibri" w:cs="Arial"/>
          <w:color w:val="404040"/>
          <w:szCs w:val="23"/>
        </w:rPr>
        <w:t>The school’s leadership team will continue to review the effectiveness of the school’s curriculum and making necessary revisions to increase student achievement.  </w:t>
      </w:r>
    </w:p>
    <w:p w14:paraId="6CE40CF4" w14:textId="77777777" w:rsidR="00393509" w:rsidRPr="00393509" w:rsidRDefault="00393509" w:rsidP="00A70F9C">
      <w:pPr>
        <w:numPr>
          <w:ilvl w:val="0"/>
          <w:numId w:val="21"/>
        </w:numPr>
        <w:spacing w:after="0"/>
        <w:ind w:left="540"/>
        <w:textAlignment w:val="baseline"/>
        <w:rPr>
          <w:rFonts w:ascii="Arial" w:hAnsi="Arial" w:cs="Arial"/>
          <w:color w:val="404040"/>
          <w:sz w:val="24"/>
          <w:szCs w:val="24"/>
        </w:rPr>
      </w:pPr>
      <w:r w:rsidRPr="00393509">
        <w:rPr>
          <w:rFonts w:ascii="Calibri" w:hAnsi="Calibri" w:cs="Arial"/>
          <w:color w:val="404040"/>
          <w:szCs w:val="23"/>
        </w:rPr>
        <w:t>School leaders will continue to work with master teachers at the school to research and develop curriculum modifications that will ensure increased levels of student achievement and will continuously monitor the effectiveness of those modifications.  </w:t>
      </w:r>
    </w:p>
    <w:p w14:paraId="119BFC91" w14:textId="6BBA505C" w:rsidR="00393509" w:rsidRPr="00393509" w:rsidRDefault="00393509" w:rsidP="00A70F9C">
      <w:pPr>
        <w:numPr>
          <w:ilvl w:val="0"/>
          <w:numId w:val="21"/>
        </w:numPr>
        <w:spacing w:after="0"/>
        <w:ind w:left="540"/>
        <w:textAlignment w:val="baseline"/>
        <w:rPr>
          <w:rFonts w:ascii="Calibri" w:hAnsi="Calibri"/>
          <w:color w:val="404040"/>
          <w:szCs w:val="23"/>
        </w:rPr>
      </w:pPr>
      <w:r w:rsidRPr="00393509">
        <w:rPr>
          <w:rFonts w:ascii="Calibri" w:hAnsi="Calibri"/>
          <w:color w:val="000000"/>
          <w:szCs w:val="23"/>
        </w:rPr>
        <w:t>At the end of the school day, teachers will host Office Hours or small group tutoring for students who need additional support. Students will be able to continue engaging in extracurricular activities, including Projects and Clubs like Speech, Debate, and Robotics.</w:t>
      </w:r>
    </w:p>
    <w:p w14:paraId="4345DD98" w14:textId="77777777" w:rsidR="00BC64E6" w:rsidRPr="00684173" w:rsidRDefault="00BC64E6" w:rsidP="00684173"/>
    <w:p w14:paraId="6FA41A22" w14:textId="68269F3A" w:rsidR="00056BFE" w:rsidRDefault="00EB48F9" w:rsidP="00056BFE">
      <w:pPr>
        <w:pStyle w:val="Heading1"/>
      </w:pPr>
      <w:r>
        <w:lastRenderedPageBreak/>
        <w:t xml:space="preserve">GOAL </w:t>
      </w:r>
      <w:r w:rsidR="00887F40">
        <w:t>3</w:t>
      </w:r>
      <w:r>
        <w:t xml:space="preserve">: </w:t>
      </w:r>
      <w:r w:rsidR="00056BFE">
        <w:t>ENGLISH LANGUAGE ARTS</w:t>
      </w:r>
      <w:bookmarkEnd w:id="2"/>
    </w:p>
    <w:p w14:paraId="6EEE9BB9" w14:textId="1850DAEB" w:rsidR="00D421C8" w:rsidRPr="00525629" w:rsidRDefault="00D421C8" w:rsidP="00D421C8">
      <w:pPr>
        <w:pStyle w:val="Heading2"/>
        <w:rPr>
          <w:rStyle w:val="Heading1Char"/>
          <w:sz w:val="30"/>
          <w:szCs w:val="30"/>
        </w:rPr>
      </w:pPr>
      <w:r w:rsidRPr="00525629">
        <w:rPr>
          <w:rStyle w:val="Heading1Char"/>
          <w:sz w:val="30"/>
          <w:szCs w:val="30"/>
        </w:rPr>
        <w:t xml:space="preserve">ELEMENTARY </w:t>
      </w:r>
      <w:r w:rsidR="007E376D">
        <w:rPr>
          <w:rStyle w:val="Heading1Char"/>
          <w:sz w:val="30"/>
          <w:szCs w:val="30"/>
        </w:rPr>
        <w:t xml:space="preserve">AND MIDDLE </w:t>
      </w:r>
      <w:r w:rsidRPr="00525629">
        <w:rPr>
          <w:rStyle w:val="Heading1Char"/>
          <w:sz w:val="30"/>
          <w:szCs w:val="30"/>
        </w:rPr>
        <w:t>ENGLISH LANGUAGE ARTS</w:t>
      </w:r>
    </w:p>
    <w:p w14:paraId="5291B09C" w14:textId="2593909B" w:rsidR="00D421C8" w:rsidRPr="0075302F" w:rsidRDefault="00D421C8" w:rsidP="00D421C8">
      <w:pPr>
        <w:pStyle w:val="GoalTitle"/>
      </w:pPr>
      <w:r w:rsidRPr="0075302F">
        <w:t xml:space="preserve">Goal </w:t>
      </w:r>
      <w:r>
        <w:t>3</w:t>
      </w:r>
      <w:r w:rsidRPr="0075302F">
        <w:t>: English Language Arts</w:t>
      </w:r>
    </w:p>
    <w:p w14:paraId="1DE95F9C" w14:textId="77777777" w:rsidR="00393509" w:rsidRDefault="00393509" w:rsidP="00393509">
      <w:pPr>
        <w:pStyle w:val="GoalText"/>
        <w:rPr>
          <w:b/>
          <w:bCs/>
        </w:rPr>
      </w:pPr>
      <w:r>
        <w:t>Students will achieve mastery of skills in English Language Arts</w:t>
      </w:r>
    </w:p>
    <w:p w14:paraId="0CC2838C" w14:textId="77777777" w:rsidR="00D421C8" w:rsidRPr="003D00FB" w:rsidRDefault="00D421C8" w:rsidP="00D421C8">
      <w:pPr>
        <w:pStyle w:val="Heading2"/>
      </w:pPr>
      <w:r w:rsidRPr="003D00FB">
        <w:t>Background</w:t>
      </w:r>
    </w:p>
    <w:p w14:paraId="56AF86BA" w14:textId="54334318" w:rsidR="00393509" w:rsidRDefault="00393509" w:rsidP="00393509">
      <w:pPr>
        <w:rPr>
          <w:rFonts w:ascii="Calibri" w:hAnsi="Calibri"/>
          <w:color w:val="000000"/>
          <w:szCs w:val="23"/>
        </w:rPr>
      </w:pPr>
      <w:r>
        <w:rPr>
          <w:rFonts w:ascii="Calibri" w:hAnsi="Calibri"/>
          <w:color w:val="000000"/>
          <w:szCs w:val="23"/>
        </w:rPr>
        <w:t>Troy Prep’s curriculum is developed with the goal of maximizing student academic achievement through intentional standards-driven teaching and the systematic use of objective performance data to continually inform decision making. During the 2013-2014 school year, Troy Prep began to develop its scopes, sequences, and assessments in alignment with the Common Core Learning Standards.  Troy Prep continued to refine this process during the 2018-2019 academic year.</w:t>
      </w:r>
    </w:p>
    <w:p w14:paraId="26D06371" w14:textId="77777777" w:rsidR="00393509" w:rsidRDefault="00393509" w:rsidP="00393509">
      <w:pPr>
        <w:rPr>
          <w:rFonts w:ascii="Calibri" w:hAnsi="Calibri"/>
          <w:color w:val="000000"/>
          <w:szCs w:val="23"/>
        </w:rPr>
      </w:pPr>
      <w:r>
        <w:rPr>
          <w:rFonts w:ascii="Calibri" w:hAnsi="Calibri"/>
          <w:color w:val="000000"/>
          <w:szCs w:val="23"/>
        </w:rPr>
        <w:t>Each academic year, Troy Prep uses three to four formative assessments in ELA, each aligned to state standards and to the school’s scope and sequence.  Starting in August, teachers and administrators develop curricular strategy, unit plans, and daily lessons based upon the scope and sequence.  At the close of each unit, an assessment is administered, graded, and data produced so that teachers and administrators can develop action plans based upon objective, standards-driven data.  The principal and leadership team work closely with teachers at every step of this process, giving feedback on daily lesson plans, curriculum, action plans, and the implementation of these plans.</w:t>
      </w:r>
    </w:p>
    <w:p w14:paraId="23839FAC" w14:textId="71FCF293" w:rsidR="00393509" w:rsidRDefault="00393509" w:rsidP="00393509">
      <w:pPr>
        <w:rPr>
          <w:rFonts w:ascii="Calibri" w:hAnsi="Calibri"/>
          <w:color w:val="000000"/>
          <w:szCs w:val="23"/>
        </w:rPr>
      </w:pPr>
      <w:r>
        <w:rPr>
          <w:rFonts w:ascii="Calibri" w:hAnsi="Calibri"/>
          <w:color w:val="000000"/>
          <w:szCs w:val="23"/>
        </w:rPr>
        <w:t>Troy Prep’s elementary school ELA program emphasizes both strong reading and strong writing.  The reading program emphasizes four key aspects of literacy: decoding, fluency, vocabulary, and comprehension.  In the elementary school grades (K-4) there are 3 literacy blocks each day that are 45 minutes (K-2) and 50 minutes (3-4).  Students are broken up into groups based on STEP (Strategic Teaching and Evaluation of Progress) levels. In the literacy blocks, students focus on reading mastery, guided reading, and reading comprehension. Students spend 45 minutes writing daily in grades K-2 and 50 minutes in grades 3-4, in addition to the 3 literacy blocks. Troy Prep Middle School creates a scope and sequence for ELA and divides the year units, each culminating in a formal assessment. Troy Prep Middle School conducts an hour ELA block.</w:t>
      </w:r>
    </w:p>
    <w:p w14:paraId="0B91571D" w14:textId="77777777" w:rsidR="00393509" w:rsidRDefault="00393509" w:rsidP="00393509">
      <w:pPr>
        <w:rPr>
          <w:rFonts w:ascii="Calibri" w:hAnsi="Calibri"/>
          <w:color w:val="000000"/>
          <w:szCs w:val="23"/>
        </w:rPr>
      </w:pPr>
      <w:r>
        <w:rPr>
          <w:rFonts w:ascii="Calibri" w:hAnsi="Calibri"/>
          <w:color w:val="000000"/>
          <w:szCs w:val="23"/>
        </w:rPr>
        <w:t xml:space="preserve">Every year Troy Prep provides teachers with an intense training program where we instruct teaching and student behavior management techniques and strategies to employ in their classrooms and throughout the school.  We achieve complete consistency throughout the school </w:t>
      </w:r>
      <w:proofErr w:type="gramStart"/>
      <w:r>
        <w:rPr>
          <w:rFonts w:ascii="Calibri" w:hAnsi="Calibri"/>
          <w:color w:val="000000"/>
          <w:szCs w:val="23"/>
        </w:rPr>
        <w:t>with regard to</w:t>
      </w:r>
      <w:proofErr w:type="gramEnd"/>
      <w:r>
        <w:rPr>
          <w:rFonts w:ascii="Calibri" w:hAnsi="Calibri"/>
          <w:color w:val="000000"/>
          <w:szCs w:val="23"/>
        </w:rPr>
        <w:t xml:space="preserve"> behavior and academic standards.  </w:t>
      </w:r>
    </w:p>
    <w:p w14:paraId="61C7ADE7" w14:textId="64C8A9BA" w:rsidR="00393509" w:rsidRDefault="00393509" w:rsidP="00393509">
      <w:pPr>
        <w:rPr>
          <w:rFonts w:ascii="Calibri" w:hAnsi="Calibri"/>
          <w:color w:val="000000"/>
          <w:szCs w:val="23"/>
        </w:rPr>
      </w:pPr>
      <w:r>
        <w:rPr>
          <w:rFonts w:ascii="Calibri" w:hAnsi="Calibri"/>
          <w:color w:val="000000"/>
          <w:szCs w:val="23"/>
        </w:rPr>
        <w:t>Additionally, all staff members meet each Friday to review the past week’s progress, refine teaching practice, and finalize preparations for the coming week.  Teachers are regularly observed teaching by the school leadership and receive constant feedback for improvement.</w:t>
      </w:r>
    </w:p>
    <w:p w14:paraId="5085FA33" w14:textId="77777777" w:rsidR="00D421C8" w:rsidRDefault="00D421C8" w:rsidP="00D421C8">
      <w:pPr>
        <w:pStyle w:val="Heading2"/>
      </w:pPr>
      <w:r w:rsidRPr="7D51821A">
        <w:rPr>
          <w:rFonts w:ascii="Calibri" w:eastAsia="Calibri" w:hAnsi="Calibri" w:cs="Calibri"/>
          <w:bCs w:val="0"/>
          <w:color w:val="365F91" w:themeColor="accent1" w:themeShade="BF"/>
          <w:szCs w:val="28"/>
        </w:rPr>
        <w:t>Method</w:t>
      </w:r>
    </w:p>
    <w:p w14:paraId="762A5D91" w14:textId="77777777" w:rsidR="007A424D" w:rsidRPr="008E6248" w:rsidRDefault="007A424D" w:rsidP="007A424D">
      <w:pPr>
        <w:spacing w:after="0"/>
        <w:rPr>
          <w:rFonts w:ascii="Calibri" w:hAnsi="Calibri" w:cs="Calibri"/>
          <w:color w:val="404040"/>
          <w:szCs w:val="23"/>
        </w:rPr>
      </w:pPr>
      <w:r w:rsidRPr="008E6248">
        <w:rPr>
          <w:rFonts w:ascii="Calibri" w:hAnsi="Calibri" w:cs="Calibri"/>
          <w:color w:val="404040"/>
          <w:szCs w:val="23"/>
        </w:rPr>
        <w:t>Troy Prep typically uses data from the following assessments to ensure student proficiency in Mathematics: </w:t>
      </w:r>
    </w:p>
    <w:p w14:paraId="52548766" w14:textId="77777777" w:rsidR="007A424D" w:rsidRPr="008E6248" w:rsidRDefault="007A424D" w:rsidP="00A70F9C">
      <w:pPr>
        <w:numPr>
          <w:ilvl w:val="0"/>
          <w:numId w:val="22"/>
        </w:numPr>
        <w:spacing w:after="0"/>
        <w:textAlignment w:val="baseline"/>
        <w:rPr>
          <w:rFonts w:ascii="Calibri" w:hAnsi="Calibri" w:cs="Calibri"/>
          <w:color w:val="404040"/>
          <w:szCs w:val="23"/>
        </w:rPr>
      </w:pPr>
      <w:r w:rsidRPr="008E6248">
        <w:rPr>
          <w:rFonts w:ascii="Calibri" w:hAnsi="Calibri" w:cs="Calibri"/>
          <w:color w:val="404040"/>
          <w:szCs w:val="23"/>
        </w:rPr>
        <w:t xml:space="preserve">Criterion-referenced New York State exams in </w:t>
      </w:r>
      <w:r>
        <w:rPr>
          <w:rFonts w:ascii="Calibri" w:hAnsi="Calibri" w:cs="Calibri"/>
          <w:color w:val="404040"/>
          <w:szCs w:val="23"/>
        </w:rPr>
        <w:t>English Language Arts</w:t>
      </w:r>
    </w:p>
    <w:p w14:paraId="0FDB3A7C" w14:textId="77777777" w:rsidR="007A424D" w:rsidRPr="008E6248" w:rsidRDefault="007A424D" w:rsidP="00A70F9C">
      <w:pPr>
        <w:numPr>
          <w:ilvl w:val="0"/>
          <w:numId w:val="23"/>
        </w:numPr>
        <w:spacing w:after="0"/>
        <w:textAlignment w:val="baseline"/>
        <w:rPr>
          <w:rFonts w:ascii="Calibri" w:hAnsi="Calibri" w:cs="Calibri"/>
          <w:color w:val="404040"/>
          <w:szCs w:val="23"/>
        </w:rPr>
      </w:pPr>
      <w:r w:rsidRPr="008E6248">
        <w:rPr>
          <w:rFonts w:ascii="Calibri" w:hAnsi="Calibri" w:cs="Calibri"/>
          <w:color w:val="404040"/>
          <w:szCs w:val="23"/>
        </w:rPr>
        <w:lastRenderedPageBreak/>
        <w:t xml:space="preserve">Internally developed Interim Assessments in </w:t>
      </w:r>
      <w:r>
        <w:rPr>
          <w:rFonts w:ascii="Calibri" w:hAnsi="Calibri" w:cs="Calibri"/>
          <w:color w:val="404040"/>
          <w:szCs w:val="23"/>
        </w:rPr>
        <w:t>English Language Arts</w:t>
      </w:r>
    </w:p>
    <w:p w14:paraId="685F6622" w14:textId="77777777" w:rsidR="007A424D" w:rsidRPr="008E6248" w:rsidRDefault="007A424D" w:rsidP="00A70F9C">
      <w:pPr>
        <w:numPr>
          <w:ilvl w:val="0"/>
          <w:numId w:val="23"/>
        </w:numPr>
        <w:spacing w:after="0"/>
        <w:textAlignment w:val="baseline"/>
        <w:rPr>
          <w:rFonts w:ascii="Calibri" w:hAnsi="Calibri" w:cs="Calibri"/>
          <w:color w:val="404040"/>
          <w:szCs w:val="23"/>
        </w:rPr>
      </w:pPr>
      <w:r w:rsidRPr="008E6248">
        <w:rPr>
          <w:rFonts w:ascii="Calibri" w:hAnsi="Calibri" w:cs="Calibri"/>
          <w:color w:val="404040"/>
          <w:szCs w:val="23"/>
        </w:rPr>
        <w:t xml:space="preserve">Internally developed Final Examination in </w:t>
      </w:r>
      <w:r>
        <w:rPr>
          <w:rFonts w:ascii="Calibri" w:hAnsi="Calibri" w:cs="Calibri"/>
          <w:color w:val="404040"/>
          <w:szCs w:val="23"/>
        </w:rPr>
        <w:t>English Language Arts</w:t>
      </w:r>
    </w:p>
    <w:p w14:paraId="2EDE244F" w14:textId="77777777" w:rsidR="007A424D" w:rsidRPr="008E6248" w:rsidRDefault="007A424D" w:rsidP="007A424D">
      <w:pPr>
        <w:spacing w:after="0"/>
        <w:rPr>
          <w:rFonts w:ascii="Calibri" w:hAnsi="Calibri" w:cs="Calibri"/>
          <w:color w:val="404040"/>
          <w:szCs w:val="23"/>
        </w:rPr>
      </w:pPr>
    </w:p>
    <w:p w14:paraId="1B23AB24" w14:textId="45AC0D15" w:rsidR="007A424D" w:rsidRPr="008E6248" w:rsidRDefault="007A424D" w:rsidP="007A424D">
      <w:pPr>
        <w:spacing w:after="0"/>
        <w:rPr>
          <w:rFonts w:ascii="Calibri" w:hAnsi="Calibri" w:cs="Calibri"/>
          <w:color w:val="404040"/>
          <w:szCs w:val="23"/>
        </w:rPr>
      </w:pPr>
      <w:r w:rsidRPr="008E6248">
        <w:rPr>
          <w:rFonts w:ascii="Calibri" w:hAnsi="Calibri" w:cs="Calibri"/>
          <w:color w:val="404040"/>
          <w:szCs w:val="23"/>
        </w:rPr>
        <w:t xml:space="preserve">During the </w:t>
      </w:r>
      <w:r>
        <w:rPr>
          <w:rFonts w:ascii="Calibri" w:hAnsi="Calibri" w:cs="Calibri"/>
          <w:color w:val="404040"/>
          <w:szCs w:val="23"/>
        </w:rPr>
        <w:t>20</w:t>
      </w:r>
      <w:r w:rsidRPr="008E6248">
        <w:rPr>
          <w:rFonts w:ascii="Calibri" w:hAnsi="Calibri" w:cs="Calibri"/>
          <w:color w:val="404040"/>
          <w:szCs w:val="23"/>
        </w:rPr>
        <w:t>-2</w:t>
      </w:r>
      <w:r>
        <w:rPr>
          <w:rFonts w:ascii="Calibri" w:hAnsi="Calibri" w:cs="Calibri"/>
          <w:color w:val="404040"/>
          <w:szCs w:val="23"/>
        </w:rPr>
        <w:t>1</w:t>
      </w:r>
      <w:r w:rsidRPr="008E6248">
        <w:rPr>
          <w:rFonts w:ascii="Calibri" w:hAnsi="Calibri" w:cs="Calibri"/>
          <w:color w:val="404040"/>
          <w:szCs w:val="23"/>
        </w:rPr>
        <w:t xml:space="preserve"> academic year, </w:t>
      </w:r>
      <w:r>
        <w:rPr>
          <w:rFonts w:ascii="Calibri" w:hAnsi="Calibri" w:cs="Calibri"/>
          <w:color w:val="404040"/>
          <w:szCs w:val="23"/>
        </w:rPr>
        <w:t>Troy Prep</w:t>
      </w:r>
      <w:r w:rsidRPr="008E6248">
        <w:rPr>
          <w:rFonts w:ascii="Calibri" w:hAnsi="Calibri" w:cs="Calibri"/>
          <w:color w:val="404040"/>
          <w:szCs w:val="23"/>
        </w:rPr>
        <w:t xml:space="preserve"> was only able to use Internally developed Interim Assessments in </w:t>
      </w:r>
      <w:r>
        <w:rPr>
          <w:rFonts w:ascii="Calibri" w:hAnsi="Calibri" w:cs="Calibri"/>
          <w:color w:val="404040"/>
          <w:szCs w:val="23"/>
        </w:rPr>
        <w:t>English Language Arts.</w:t>
      </w:r>
      <w:r w:rsidRPr="008E6248">
        <w:rPr>
          <w:rFonts w:ascii="Calibri" w:hAnsi="Calibri" w:cs="Calibri"/>
          <w:color w:val="404040"/>
          <w:szCs w:val="23"/>
        </w:rPr>
        <w:t xml:space="preserve"> </w:t>
      </w:r>
      <w:r>
        <w:rPr>
          <w:rFonts w:ascii="Calibri" w:hAnsi="Calibri" w:cs="Calibri"/>
          <w:color w:val="404040"/>
          <w:szCs w:val="23"/>
        </w:rPr>
        <w:t>Troy Prep</w:t>
      </w:r>
      <w:r w:rsidRPr="008E6248">
        <w:rPr>
          <w:rFonts w:ascii="Calibri" w:hAnsi="Calibri" w:cs="Calibri"/>
          <w:color w:val="404040"/>
          <w:szCs w:val="23"/>
        </w:rPr>
        <w:t xml:space="preserve"> administered </w:t>
      </w:r>
      <w:r>
        <w:rPr>
          <w:rFonts w:ascii="Calibri" w:hAnsi="Calibri" w:cs="Calibri"/>
          <w:color w:val="404040"/>
          <w:szCs w:val="23"/>
        </w:rPr>
        <w:t>3</w:t>
      </w:r>
      <w:r w:rsidRPr="008E6248">
        <w:rPr>
          <w:rFonts w:ascii="Calibri" w:hAnsi="Calibri" w:cs="Calibri"/>
          <w:color w:val="404040"/>
          <w:szCs w:val="23"/>
        </w:rPr>
        <w:t xml:space="preserve"> internally developed and aligned Interim Assessments. These assessments were created to reflect the school’s scope and sequence in </w:t>
      </w:r>
      <w:r>
        <w:rPr>
          <w:rFonts w:ascii="Calibri" w:hAnsi="Calibri" w:cs="Calibri"/>
          <w:color w:val="404040"/>
          <w:szCs w:val="23"/>
        </w:rPr>
        <w:t>English Language Arts</w:t>
      </w:r>
      <w:r w:rsidRPr="008E6248">
        <w:rPr>
          <w:rFonts w:ascii="Calibri" w:hAnsi="Calibri" w:cs="Calibri"/>
          <w:color w:val="404040"/>
          <w:szCs w:val="23"/>
        </w:rPr>
        <w:t xml:space="preserve">, and to mirror the style and scope of the New York State </w:t>
      </w:r>
      <w:r>
        <w:rPr>
          <w:rFonts w:ascii="Calibri" w:hAnsi="Calibri" w:cs="Calibri"/>
          <w:color w:val="404040"/>
          <w:szCs w:val="23"/>
        </w:rPr>
        <w:t>ELA</w:t>
      </w:r>
      <w:r w:rsidRPr="008E6248">
        <w:rPr>
          <w:rFonts w:ascii="Calibri" w:hAnsi="Calibri" w:cs="Calibri"/>
          <w:color w:val="404040"/>
          <w:szCs w:val="23"/>
        </w:rPr>
        <w:t xml:space="preserve"> exams.  The assessments focused primarily on the most recently covered standards, with a smaller focus on cumulative skills and standards covered in previous units.</w:t>
      </w:r>
    </w:p>
    <w:p w14:paraId="42693FA5" w14:textId="77777777" w:rsidR="007A424D" w:rsidRPr="008E6248" w:rsidRDefault="007A424D" w:rsidP="007A424D">
      <w:pPr>
        <w:spacing w:after="0"/>
        <w:rPr>
          <w:rFonts w:ascii="Calibri" w:hAnsi="Calibri" w:cs="Calibri"/>
          <w:color w:val="404040"/>
          <w:szCs w:val="23"/>
        </w:rPr>
      </w:pPr>
    </w:p>
    <w:p w14:paraId="5ABB864A" w14:textId="7A17312C" w:rsidR="007A424D" w:rsidRPr="008E6248" w:rsidRDefault="007A424D" w:rsidP="007A424D">
      <w:pPr>
        <w:spacing w:after="0"/>
        <w:rPr>
          <w:rFonts w:ascii="Times New Roman" w:hAnsi="Times New Roman"/>
          <w:color w:val="auto"/>
          <w:sz w:val="24"/>
          <w:szCs w:val="24"/>
        </w:rPr>
      </w:pPr>
      <w:r w:rsidRPr="008E6248">
        <w:rPr>
          <w:rFonts w:ascii="Calibri" w:hAnsi="Calibri" w:cs="Calibri"/>
          <w:color w:val="404040"/>
          <w:szCs w:val="23"/>
        </w:rPr>
        <w:t>After the tests were administered, teachers graded each exam and entered individual performance data into a shared template for detailed test analysis.  With the individual student, whole class, and whole grade data, teachers analyzed the data and developed strategic plans to re-teach specific standards to individuals, small groups, and classes.  </w:t>
      </w:r>
      <w:r>
        <w:rPr>
          <w:rFonts w:ascii="Calibri" w:hAnsi="Calibri" w:cs="Calibri"/>
          <w:color w:val="404040"/>
          <w:szCs w:val="23"/>
        </w:rPr>
        <w:t>These exams were given to all students regarding of their learning preference, whether they were in-person hybrid learning or remote learning.</w:t>
      </w:r>
    </w:p>
    <w:p w14:paraId="671BAD8E" w14:textId="77777777" w:rsidR="007A424D" w:rsidRPr="008E6248" w:rsidRDefault="007A424D" w:rsidP="007A424D">
      <w:pPr>
        <w:spacing w:after="0"/>
        <w:rPr>
          <w:rFonts w:ascii="Times New Roman" w:hAnsi="Times New Roman"/>
          <w:color w:val="auto"/>
          <w:sz w:val="24"/>
          <w:szCs w:val="24"/>
        </w:rPr>
      </w:pPr>
    </w:p>
    <w:p w14:paraId="2CDD1D11" w14:textId="120C8292" w:rsidR="007A424D" w:rsidRDefault="007A424D" w:rsidP="007A424D">
      <w:pPr>
        <w:spacing w:after="0"/>
        <w:rPr>
          <w:rFonts w:ascii="Calibri" w:hAnsi="Calibri" w:cs="Calibri"/>
          <w:color w:val="404040"/>
          <w:szCs w:val="23"/>
        </w:rPr>
      </w:pPr>
      <w:r>
        <w:rPr>
          <w:rFonts w:ascii="Calibri" w:hAnsi="Calibri" w:cs="Calibri"/>
          <w:color w:val="404040"/>
          <w:szCs w:val="23"/>
        </w:rPr>
        <w:t>While remote</w:t>
      </w:r>
      <w:r w:rsidRPr="008E6248">
        <w:rPr>
          <w:rFonts w:ascii="Calibri" w:hAnsi="Calibri" w:cs="Calibri"/>
          <w:color w:val="404040"/>
          <w:szCs w:val="23"/>
        </w:rPr>
        <w:t xml:space="preserve"> learning </w:t>
      </w:r>
      <w:r>
        <w:rPr>
          <w:rFonts w:ascii="Calibri" w:hAnsi="Calibri" w:cs="Calibri"/>
          <w:color w:val="404040"/>
          <w:szCs w:val="23"/>
        </w:rPr>
        <w:t>continued for all students through October</w:t>
      </w:r>
      <w:r w:rsidRPr="008E6248">
        <w:rPr>
          <w:rFonts w:ascii="Calibri" w:hAnsi="Calibri" w:cs="Calibri"/>
          <w:color w:val="404040"/>
          <w:szCs w:val="23"/>
        </w:rPr>
        <w:t xml:space="preserve">, Troy Prep continued to have consistent </w:t>
      </w:r>
      <w:r>
        <w:rPr>
          <w:rFonts w:ascii="Calibri" w:hAnsi="Calibri" w:cs="Calibri"/>
          <w:color w:val="404040"/>
          <w:szCs w:val="23"/>
        </w:rPr>
        <w:t>ELA</w:t>
      </w:r>
      <w:r w:rsidRPr="008E6248">
        <w:rPr>
          <w:rFonts w:ascii="Calibri" w:hAnsi="Calibri" w:cs="Calibri"/>
          <w:color w:val="404040"/>
          <w:szCs w:val="23"/>
        </w:rPr>
        <w:t xml:space="preserve"> instruction</w:t>
      </w:r>
      <w:r>
        <w:rPr>
          <w:rFonts w:ascii="Calibri" w:hAnsi="Calibri" w:cs="Calibri"/>
          <w:color w:val="404040"/>
          <w:szCs w:val="23"/>
        </w:rPr>
        <w:t xml:space="preserve"> </w:t>
      </w:r>
      <w:r w:rsidRPr="008E6248">
        <w:rPr>
          <w:rFonts w:ascii="Calibri" w:hAnsi="Calibri" w:cs="Calibri"/>
          <w:color w:val="404040"/>
          <w:szCs w:val="23"/>
        </w:rPr>
        <w:t xml:space="preserve">where scholars in Grades K-8 completed asynchronous learning by watching a video pre-recorded by one of our veteran </w:t>
      </w:r>
      <w:r>
        <w:rPr>
          <w:rFonts w:ascii="Calibri" w:hAnsi="Calibri" w:cs="Calibri"/>
          <w:color w:val="404040"/>
          <w:szCs w:val="23"/>
        </w:rPr>
        <w:t>ELA</w:t>
      </w:r>
      <w:r w:rsidRPr="008E6248">
        <w:rPr>
          <w:rFonts w:ascii="Calibri" w:hAnsi="Calibri" w:cs="Calibri"/>
          <w:color w:val="404040"/>
          <w:szCs w:val="23"/>
        </w:rPr>
        <w:t xml:space="preserve"> teachers and completing a written task generating a work product at least 2 days per week.  Teachers provided weekly feedback on submitted written assignments</w:t>
      </w:r>
      <w:r>
        <w:rPr>
          <w:rFonts w:ascii="Calibri" w:hAnsi="Calibri" w:cs="Calibri"/>
          <w:color w:val="404040"/>
          <w:szCs w:val="23"/>
        </w:rPr>
        <w:t xml:space="preserve"> as well as passage practice tasks</w:t>
      </w:r>
      <w:r w:rsidRPr="008E6248">
        <w:rPr>
          <w:rFonts w:ascii="Calibri" w:hAnsi="Calibri" w:cs="Calibri"/>
          <w:color w:val="404040"/>
          <w:szCs w:val="23"/>
        </w:rPr>
        <w:t>.  Scholars also were able to attend optional live remote instruction.  Live remote instruction was data driven based on trends from the previous week’s lesson.  Teachers determined the objective and tailored the lesson based on trends from the written assignments submitted.</w:t>
      </w:r>
      <w:r>
        <w:rPr>
          <w:rFonts w:ascii="Calibri" w:hAnsi="Calibri" w:cs="Calibri"/>
          <w:color w:val="404040"/>
          <w:szCs w:val="23"/>
        </w:rPr>
        <w:t xml:space="preserve"> Students were also encouraged to engage in independent reading for 1 hour a week. </w:t>
      </w:r>
    </w:p>
    <w:p w14:paraId="5058E5F5" w14:textId="77777777" w:rsidR="007A424D" w:rsidRDefault="007A424D" w:rsidP="007A424D">
      <w:pPr>
        <w:spacing w:after="0"/>
        <w:rPr>
          <w:rFonts w:ascii="Calibri" w:hAnsi="Calibri" w:cs="Calibri"/>
          <w:color w:val="404040"/>
          <w:szCs w:val="23"/>
        </w:rPr>
      </w:pPr>
    </w:p>
    <w:p w14:paraId="2BDE1746" w14:textId="1AA6AD98" w:rsidR="007A424D" w:rsidRDefault="007A424D" w:rsidP="007A424D">
      <w:pPr>
        <w:spacing w:after="0"/>
        <w:rPr>
          <w:rFonts w:ascii="Calibri" w:hAnsi="Calibri" w:cs="Calibri"/>
          <w:color w:val="404040"/>
          <w:szCs w:val="23"/>
        </w:rPr>
      </w:pPr>
      <w:r>
        <w:rPr>
          <w:rFonts w:ascii="Calibri" w:hAnsi="Calibri" w:cs="Calibri"/>
          <w:color w:val="404040"/>
          <w:szCs w:val="23"/>
        </w:rPr>
        <w:t>Troy Prep transitioned to hybrid learning in early October, where students had the option to attend in person hybrid learning</w:t>
      </w:r>
      <w:r w:rsidR="005E4F2F">
        <w:rPr>
          <w:rFonts w:ascii="Calibri" w:hAnsi="Calibri" w:cs="Calibri"/>
          <w:color w:val="404040"/>
          <w:szCs w:val="23"/>
        </w:rPr>
        <w:t xml:space="preserve"> at least twice a week</w:t>
      </w:r>
      <w:r>
        <w:rPr>
          <w:rFonts w:ascii="Calibri" w:hAnsi="Calibri" w:cs="Calibri"/>
          <w:color w:val="404040"/>
          <w:szCs w:val="23"/>
        </w:rPr>
        <w:t xml:space="preserve"> or complete remote learning.  During remote learning days, all students continued to attend live classes through Zoom just as if they were in the classroom.</w:t>
      </w:r>
    </w:p>
    <w:p w14:paraId="29F670A8" w14:textId="77777777" w:rsidR="007A424D" w:rsidRDefault="007A424D" w:rsidP="007A424D">
      <w:pPr>
        <w:spacing w:after="0"/>
        <w:rPr>
          <w:rFonts w:ascii="Calibri" w:hAnsi="Calibri" w:cs="Calibri"/>
          <w:color w:val="404040"/>
          <w:szCs w:val="23"/>
        </w:rPr>
      </w:pPr>
    </w:p>
    <w:p w14:paraId="0BEAA38C" w14:textId="62FCA16E" w:rsidR="007E376D" w:rsidRPr="00535E12" w:rsidRDefault="007E376D" w:rsidP="007E376D">
      <w:pPr>
        <w:rPr>
          <w:rFonts w:ascii="Calibri" w:eastAsia="Calibri" w:hAnsi="Calibri" w:cs="Calibri"/>
          <w:szCs w:val="23"/>
        </w:rPr>
      </w:pPr>
      <w:r w:rsidRPr="00535E12">
        <w:rPr>
          <w:rFonts w:ascii="Calibri" w:eastAsia="Calibri" w:hAnsi="Calibri" w:cs="Calibri"/>
          <w:szCs w:val="23"/>
        </w:rPr>
        <w:t>During 2020-21, the school(s) primarily used</w:t>
      </w:r>
      <w:r>
        <w:rPr>
          <w:rFonts w:ascii="Calibri" w:eastAsia="Calibri" w:hAnsi="Calibri" w:cs="Calibri"/>
          <w:szCs w:val="23"/>
        </w:rPr>
        <w:t xml:space="preserve"> the following exam to assess</w:t>
      </w:r>
      <w:r w:rsidRPr="00535E12">
        <w:rPr>
          <w:rFonts w:ascii="Calibri" w:eastAsia="Calibri" w:hAnsi="Calibri" w:cs="Calibri"/>
          <w:szCs w:val="23"/>
        </w:rPr>
        <w:t xml:space="preserve"> student growth and achievement</w:t>
      </w:r>
      <w:r>
        <w:rPr>
          <w:rFonts w:ascii="Calibri" w:eastAsia="Calibri" w:hAnsi="Calibri" w:cs="Calibri"/>
          <w:szCs w:val="23"/>
        </w:rPr>
        <w:t xml:space="preserve"> in ELA</w:t>
      </w:r>
      <w:r w:rsidRPr="00535E12">
        <w:rPr>
          <w:rFonts w:ascii="Calibri" w:eastAsia="Calibri" w:hAnsi="Calibri" w:cs="Calibri"/>
          <w:szCs w:val="23"/>
        </w:rPr>
        <w:t xml:space="preserve">:  </w:t>
      </w:r>
      <w:sdt>
        <w:sdtPr>
          <w:rPr>
            <w:rFonts w:ascii="Calibri" w:eastAsia="Calibri" w:hAnsi="Calibri" w:cs="Calibri"/>
            <w:sz w:val="28"/>
            <w:szCs w:val="28"/>
          </w:rPr>
          <w:tag w:val="select one exam"/>
          <w:id w:val="2023820369"/>
          <w:placeholder>
            <w:docPart w:val="FC17CE41C5AD48D19F7FC7FD92E5B1BA"/>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Content>
          <w:r w:rsidR="007A424D">
            <w:rPr>
              <w:rFonts w:ascii="Calibri" w:eastAsia="Calibri" w:hAnsi="Calibri" w:cs="Calibri"/>
              <w:sz w:val="28"/>
              <w:szCs w:val="28"/>
            </w:rPr>
            <w:t>Internally developed</w:t>
          </w:r>
        </w:sdtContent>
      </w:sdt>
      <w:r w:rsidRPr="00535E12">
        <w:rPr>
          <w:rFonts w:ascii="Calibri" w:eastAsia="Calibri" w:hAnsi="Calibri" w:cs="Calibri"/>
          <w:szCs w:val="23"/>
        </w:rPr>
        <w:t xml:space="preserve"> </w:t>
      </w:r>
    </w:p>
    <w:p w14:paraId="25547433" w14:textId="77777777" w:rsidR="00D421C8" w:rsidRDefault="00D421C8" w:rsidP="00D421C8">
      <w:pPr>
        <w:pStyle w:val="Heading2"/>
      </w:pPr>
      <w:r w:rsidRPr="7D51821A">
        <w:rPr>
          <w:rFonts w:ascii="Calibri" w:eastAsia="Calibri" w:hAnsi="Calibri" w:cs="Calibri"/>
          <w:bCs w:val="0"/>
          <w:color w:val="365F91" w:themeColor="accent1" w:themeShade="BF"/>
          <w:szCs w:val="28"/>
        </w:rPr>
        <w:t>Results and evaluation</w:t>
      </w:r>
    </w:p>
    <w:p w14:paraId="22B7DD27" w14:textId="4B6FC390" w:rsidR="005E4F2F" w:rsidRDefault="005E4F2F" w:rsidP="005E4F2F">
      <w:pPr>
        <w:rPr>
          <w:rFonts w:ascii="Calibri" w:hAnsi="Calibri" w:cs="Calibri"/>
          <w:color w:val="404040"/>
          <w:szCs w:val="23"/>
        </w:rPr>
      </w:pPr>
      <w:r w:rsidRPr="009932FD">
        <w:rPr>
          <w:rFonts w:ascii="Calibri" w:hAnsi="Calibri" w:cs="Calibri"/>
          <w:color w:val="404040"/>
          <w:szCs w:val="23"/>
        </w:rPr>
        <w:t>Based on data from the Interim Assessments administered in 20</w:t>
      </w:r>
      <w:r w:rsidR="000A0BDD">
        <w:rPr>
          <w:rFonts w:ascii="Calibri" w:hAnsi="Calibri" w:cs="Calibri"/>
          <w:color w:val="404040"/>
          <w:szCs w:val="23"/>
        </w:rPr>
        <w:t>20</w:t>
      </w:r>
      <w:r w:rsidRPr="009932FD">
        <w:rPr>
          <w:rFonts w:ascii="Calibri" w:hAnsi="Calibri" w:cs="Calibri"/>
          <w:color w:val="404040"/>
          <w:szCs w:val="23"/>
        </w:rPr>
        <w:t>-202</w:t>
      </w:r>
      <w:r w:rsidR="000A0BDD">
        <w:rPr>
          <w:rFonts w:ascii="Calibri" w:hAnsi="Calibri" w:cs="Calibri"/>
          <w:color w:val="404040"/>
          <w:szCs w:val="23"/>
        </w:rPr>
        <w:t>1</w:t>
      </w:r>
      <w:r w:rsidRPr="009932FD">
        <w:rPr>
          <w:rFonts w:ascii="Calibri" w:hAnsi="Calibri" w:cs="Calibri"/>
          <w:color w:val="404040"/>
          <w:szCs w:val="23"/>
        </w:rPr>
        <w:t>, we are making progress towards our goals. We will continue to work towards a higher percentage of students meeting this metric for School Year 202</w:t>
      </w:r>
      <w:r w:rsidR="000A0BDD">
        <w:rPr>
          <w:rFonts w:ascii="Calibri" w:hAnsi="Calibri" w:cs="Calibri"/>
          <w:color w:val="404040"/>
          <w:szCs w:val="23"/>
        </w:rPr>
        <w:t>1</w:t>
      </w:r>
      <w:r w:rsidRPr="009932FD">
        <w:rPr>
          <w:rFonts w:ascii="Calibri" w:hAnsi="Calibri" w:cs="Calibri"/>
          <w:color w:val="404040"/>
          <w:szCs w:val="23"/>
        </w:rPr>
        <w:t>-202</w:t>
      </w:r>
      <w:r w:rsidR="000A0BDD">
        <w:rPr>
          <w:rFonts w:ascii="Calibri" w:hAnsi="Calibri" w:cs="Calibri"/>
          <w:color w:val="404040"/>
          <w:szCs w:val="23"/>
        </w:rPr>
        <w:t>2</w:t>
      </w:r>
      <w:r w:rsidRPr="009932FD">
        <w:rPr>
          <w:rFonts w:ascii="Calibri" w:hAnsi="Calibri" w:cs="Calibri"/>
          <w:color w:val="404040"/>
          <w:szCs w:val="23"/>
        </w:rPr>
        <w:t>. </w:t>
      </w:r>
      <w:r w:rsidR="000A0BDD">
        <w:rPr>
          <w:rFonts w:ascii="Calibri" w:hAnsi="Calibri" w:cs="Calibri"/>
          <w:color w:val="404040"/>
          <w:szCs w:val="23"/>
        </w:rPr>
        <w:t xml:space="preserve">Students in Grades </w:t>
      </w:r>
      <w:r w:rsidR="003A6FE7">
        <w:rPr>
          <w:rFonts w:ascii="Calibri" w:hAnsi="Calibri" w:cs="Calibri"/>
          <w:color w:val="404040"/>
          <w:szCs w:val="23"/>
        </w:rPr>
        <w:t>5</w:t>
      </w:r>
      <w:r w:rsidR="000A0BDD">
        <w:rPr>
          <w:rFonts w:ascii="Calibri" w:hAnsi="Calibri" w:cs="Calibri"/>
          <w:color w:val="404040"/>
          <w:szCs w:val="23"/>
        </w:rPr>
        <w:t>-8 took 2 interim assessments during the 2020-2021 school year</w:t>
      </w:r>
      <w:r>
        <w:rPr>
          <w:rFonts w:ascii="Calibri" w:hAnsi="Calibri" w:cs="Calibri"/>
          <w:color w:val="404040"/>
          <w:szCs w:val="23"/>
        </w:rPr>
        <w:t xml:space="preserve">.  </w:t>
      </w:r>
      <w:r w:rsidR="000A0BDD">
        <w:rPr>
          <w:rFonts w:ascii="Calibri" w:hAnsi="Calibri" w:cs="Calibri"/>
          <w:color w:val="404040"/>
          <w:szCs w:val="23"/>
        </w:rPr>
        <w:t xml:space="preserve">All students, regardless if they were attending in-person hybrid or remote learning took these assessments. Those students who were </w:t>
      </w:r>
      <w:r w:rsidR="00A5357C">
        <w:rPr>
          <w:rFonts w:ascii="Calibri" w:hAnsi="Calibri" w:cs="Calibri"/>
          <w:color w:val="404040"/>
          <w:szCs w:val="23"/>
        </w:rPr>
        <w:t xml:space="preserve">remote only learning for the 2020-2021 school year, were administered these assessments remotely. </w:t>
      </w:r>
      <w:r>
        <w:rPr>
          <w:rFonts w:ascii="Calibri" w:hAnsi="Calibri" w:cs="Calibri"/>
          <w:color w:val="404040"/>
          <w:szCs w:val="23"/>
        </w:rPr>
        <w:t xml:space="preserve">The chart below represents the percentage of students who are advanced or proficient on their interim assessments. </w:t>
      </w:r>
      <w:r w:rsidR="00A5357C">
        <w:rPr>
          <w:rFonts w:ascii="Calibri" w:hAnsi="Calibri" w:cs="Calibri"/>
          <w:color w:val="404040"/>
          <w:szCs w:val="23"/>
        </w:rPr>
        <w:t xml:space="preserve">These numbers are consistent with those assessments that were completed during the 19-20 school year, </w:t>
      </w:r>
      <w:r w:rsidR="00A5357C">
        <w:rPr>
          <w:rFonts w:ascii="Calibri" w:hAnsi="Calibri" w:cs="Calibri"/>
          <w:color w:val="404040"/>
          <w:szCs w:val="23"/>
        </w:rPr>
        <w:lastRenderedPageBreak/>
        <w:t>where they attended more in-person learning. We are pleased with the results and w</w:t>
      </w:r>
      <w:r>
        <w:rPr>
          <w:rFonts w:ascii="Calibri" w:hAnsi="Calibri" w:cs="Calibri"/>
          <w:color w:val="404040"/>
          <w:szCs w:val="23"/>
        </w:rPr>
        <w:t xml:space="preserve">e are particularly impressed with our </w:t>
      </w:r>
      <w:r w:rsidR="00A5357C">
        <w:rPr>
          <w:rFonts w:ascii="Calibri" w:hAnsi="Calibri" w:cs="Calibri"/>
          <w:color w:val="404040"/>
          <w:szCs w:val="23"/>
        </w:rPr>
        <w:t>6</w:t>
      </w:r>
      <w:r w:rsidRPr="008850D2">
        <w:rPr>
          <w:rFonts w:ascii="Calibri" w:hAnsi="Calibri" w:cs="Calibri"/>
          <w:color w:val="404040"/>
          <w:szCs w:val="23"/>
          <w:vertAlign w:val="superscript"/>
        </w:rPr>
        <w:t>th</w:t>
      </w:r>
      <w:r>
        <w:rPr>
          <w:rFonts w:ascii="Calibri" w:hAnsi="Calibri" w:cs="Calibri"/>
          <w:color w:val="404040"/>
          <w:szCs w:val="23"/>
        </w:rPr>
        <w:t xml:space="preserve"> and 8</w:t>
      </w:r>
      <w:r w:rsidRPr="008850D2">
        <w:rPr>
          <w:rFonts w:ascii="Calibri" w:hAnsi="Calibri" w:cs="Calibri"/>
          <w:color w:val="404040"/>
          <w:szCs w:val="23"/>
          <w:vertAlign w:val="superscript"/>
        </w:rPr>
        <w:t>th</w:t>
      </w:r>
      <w:r>
        <w:rPr>
          <w:rFonts w:ascii="Calibri" w:hAnsi="Calibri" w:cs="Calibri"/>
          <w:color w:val="404040"/>
          <w:szCs w:val="23"/>
        </w:rPr>
        <w:t xml:space="preserve"> grade cohorts.</w:t>
      </w:r>
    </w:p>
    <w:p w14:paraId="74C94D23" w14:textId="69A13F8F" w:rsidR="00E17F29" w:rsidRDefault="00E17F29" w:rsidP="005E4F2F">
      <w:pPr>
        <w:rPr>
          <w:rFonts w:ascii="Calibri" w:hAnsi="Calibri" w:cs="Calibri"/>
          <w:color w:val="404040"/>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77"/>
        <w:gridCol w:w="1350"/>
        <w:gridCol w:w="1223"/>
        <w:gridCol w:w="1350"/>
      </w:tblGrid>
      <w:tr w:rsidR="00E17F29" w:rsidRPr="009D7D97" w14:paraId="41EDF7D1" w14:textId="77777777" w:rsidTr="00226147">
        <w:trPr>
          <w:cantSplit/>
          <w:trHeight w:val="611"/>
          <w:jc w:val="center"/>
        </w:trPr>
        <w:tc>
          <w:tcPr>
            <w:tcW w:w="827" w:type="dxa"/>
            <w:vMerge w:val="restart"/>
            <w:vAlign w:val="center"/>
          </w:tcPr>
          <w:p w14:paraId="2B7B35CB"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Grades</w:t>
            </w:r>
          </w:p>
        </w:tc>
        <w:tc>
          <w:tcPr>
            <w:tcW w:w="2827" w:type="dxa"/>
            <w:gridSpan w:val="2"/>
            <w:vAlign w:val="center"/>
          </w:tcPr>
          <w:p w14:paraId="30CB846A"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All Students</w:t>
            </w:r>
          </w:p>
        </w:tc>
        <w:tc>
          <w:tcPr>
            <w:tcW w:w="2573" w:type="dxa"/>
            <w:gridSpan w:val="2"/>
            <w:vAlign w:val="center"/>
          </w:tcPr>
          <w:p w14:paraId="0AA39DEB"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Enrolled in at least their Second Year</w:t>
            </w:r>
          </w:p>
        </w:tc>
      </w:tr>
      <w:tr w:rsidR="00E17F29" w:rsidRPr="009D7D97" w14:paraId="43228AEC" w14:textId="77777777" w:rsidTr="00226147">
        <w:trPr>
          <w:cantSplit/>
          <w:trHeight w:val="611"/>
          <w:jc w:val="center"/>
        </w:trPr>
        <w:tc>
          <w:tcPr>
            <w:tcW w:w="827" w:type="dxa"/>
            <w:vMerge/>
            <w:vAlign w:val="center"/>
          </w:tcPr>
          <w:p w14:paraId="6148F6A6" w14:textId="77777777" w:rsidR="00E17F29" w:rsidRPr="009D7D97" w:rsidRDefault="00E17F29" w:rsidP="00226147">
            <w:pPr>
              <w:spacing w:after="0"/>
              <w:jc w:val="center"/>
              <w:rPr>
                <w:rFonts w:ascii="Calibri" w:hAnsi="Calibri"/>
                <w:color w:val="404040"/>
                <w:sz w:val="20"/>
              </w:rPr>
            </w:pPr>
          </w:p>
        </w:tc>
        <w:tc>
          <w:tcPr>
            <w:tcW w:w="1477" w:type="dxa"/>
            <w:vAlign w:val="center"/>
          </w:tcPr>
          <w:p w14:paraId="472B2375"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Percent Proficient</w:t>
            </w:r>
            <w:r w:rsidRPr="009D7D97">
              <w:rPr>
                <w:rFonts w:ascii="Calibri" w:hAnsi="Calibri"/>
                <w:color w:val="404040"/>
                <w:sz w:val="20"/>
                <w:vertAlign w:val="superscript"/>
              </w:rPr>
              <w:footnoteReference w:id="2"/>
            </w:r>
          </w:p>
        </w:tc>
        <w:tc>
          <w:tcPr>
            <w:tcW w:w="1350" w:type="dxa"/>
            <w:vAlign w:val="center"/>
          </w:tcPr>
          <w:p w14:paraId="5CFC2195"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Number</w:t>
            </w:r>
          </w:p>
          <w:p w14:paraId="4FA1486A"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 xml:space="preserve">Tested </w:t>
            </w:r>
          </w:p>
        </w:tc>
        <w:tc>
          <w:tcPr>
            <w:tcW w:w="1223" w:type="dxa"/>
            <w:vAlign w:val="center"/>
          </w:tcPr>
          <w:p w14:paraId="7963EAF0"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Percent Proficient</w:t>
            </w:r>
          </w:p>
        </w:tc>
        <w:tc>
          <w:tcPr>
            <w:tcW w:w="1350" w:type="dxa"/>
            <w:vAlign w:val="center"/>
          </w:tcPr>
          <w:p w14:paraId="0938F0A0"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Number</w:t>
            </w:r>
          </w:p>
          <w:p w14:paraId="6873F247" w14:textId="77777777" w:rsidR="00E17F29" w:rsidRPr="009D7D97" w:rsidRDefault="00E17F29" w:rsidP="00226147">
            <w:pPr>
              <w:spacing w:after="0"/>
              <w:jc w:val="center"/>
              <w:rPr>
                <w:rFonts w:ascii="Calibri" w:hAnsi="Calibri"/>
                <w:color w:val="404040"/>
                <w:sz w:val="20"/>
              </w:rPr>
            </w:pPr>
            <w:r w:rsidRPr="009D7D97">
              <w:rPr>
                <w:rFonts w:ascii="Calibri" w:hAnsi="Calibri"/>
                <w:color w:val="404040"/>
                <w:sz w:val="20"/>
              </w:rPr>
              <w:t xml:space="preserve">Tested </w:t>
            </w:r>
          </w:p>
        </w:tc>
      </w:tr>
      <w:tr w:rsidR="003A6FE7" w:rsidRPr="009D7D97" w14:paraId="10BA4FE5" w14:textId="77777777" w:rsidTr="00226147">
        <w:trPr>
          <w:cantSplit/>
          <w:trHeight w:val="305"/>
          <w:jc w:val="center"/>
        </w:trPr>
        <w:tc>
          <w:tcPr>
            <w:tcW w:w="827" w:type="dxa"/>
            <w:tcBorders>
              <w:bottom w:val="single" w:sz="4" w:space="0" w:color="auto"/>
            </w:tcBorders>
            <w:vAlign w:val="center"/>
          </w:tcPr>
          <w:p w14:paraId="1F38669D" w14:textId="3B447E5D" w:rsidR="003A6FE7" w:rsidRPr="009D7D97" w:rsidRDefault="003A6FE7" w:rsidP="00E17F29">
            <w:pPr>
              <w:spacing w:after="0"/>
              <w:jc w:val="center"/>
              <w:rPr>
                <w:rFonts w:ascii="Calibri" w:hAnsi="Calibri"/>
                <w:color w:val="404040"/>
                <w:sz w:val="20"/>
              </w:rPr>
            </w:pPr>
            <w:r w:rsidRPr="009D7D97">
              <w:rPr>
                <w:rFonts w:ascii="Calibri" w:hAnsi="Calibri"/>
                <w:color w:val="404040"/>
                <w:sz w:val="20"/>
              </w:rPr>
              <w:t>5</w:t>
            </w:r>
          </w:p>
        </w:tc>
        <w:tc>
          <w:tcPr>
            <w:tcW w:w="1477" w:type="dxa"/>
            <w:tcBorders>
              <w:bottom w:val="single" w:sz="4" w:space="0" w:color="auto"/>
            </w:tcBorders>
            <w:vAlign w:val="center"/>
          </w:tcPr>
          <w:p w14:paraId="51C55792" w14:textId="0697606D" w:rsidR="003A6FE7" w:rsidRPr="00E17F29" w:rsidRDefault="003A6FE7" w:rsidP="00E17F29">
            <w:pPr>
              <w:spacing w:after="0"/>
              <w:jc w:val="center"/>
              <w:rPr>
                <w:rFonts w:ascii="Calibri" w:hAnsi="Calibri"/>
                <w:color w:val="404040"/>
                <w:sz w:val="20"/>
              </w:rPr>
            </w:pPr>
            <w:r w:rsidRPr="00E17F29">
              <w:rPr>
                <w:rFonts w:ascii="Calibri" w:hAnsi="Calibri" w:cs="Calibri"/>
                <w:color w:val="404040"/>
                <w:sz w:val="20"/>
              </w:rPr>
              <w:t>44%</w:t>
            </w:r>
          </w:p>
        </w:tc>
        <w:tc>
          <w:tcPr>
            <w:tcW w:w="1350" w:type="dxa"/>
            <w:vAlign w:val="center"/>
          </w:tcPr>
          <w:p w14:paraId="1ABD6145" w14:textId="52339501" w:rsidR="003A6FE7" w:rsidRPr="009D7D97" w:rsidRDefault="003A6FE7" w:rsidP="00E17F29">
            <w:pPr>
              <w:spacing w:after="0"/>
              <w:jc w:val="center"/>
              <w:rPr>
                <w:rFonts w:ascii="Calibri" w:hAnsi="Calibri"/>
                <w:color w:val="404040"/>
                <w:sz w:val="20"/>
              </w:rPr>
            </w:pPr>
            <w:r>
              <w:rPr>
                <w:rFonts w:ascii="Calibri" w:hAnsi="Calibri"/>
                <w:color w:val="404040"/>
                <w:sz w:val="20"/>
              </w:rPr>
              <w:t>63</w:t>
            </w:r>
          </w:p>
        </w:tc>
        <w:tc>
          <w:tcPr>
            <w:tcW w:w="1223" w:type="dxa"/>
            <w:vAlign w:val="center"/>
          </w:tcPr>
          <w:p w14:paraId="6E4956C0" w14:textId="45AAFBAE" w:rsidR="003A6FE7" w:rsidRPr="009D7D97" w:rsidRDefault="003A6FE7" w:rsidP="00E17F29">
            <w:pPr>
              <w:spacing w:after="0"/>
              <w:jc w:val="center"/>
              <w:rPr>
                <w:rFonts w:ascii="Calibri" w:hAnsi="Calibri"/>
                <w:color w:val="404040"/>
                <w:sz w:val="20"/>
              </w:rPr>
            </w:pPr>
            <w:r>
              <w:rPr>
                <w:rFonts w:ascii="Calibri" w:hAnsi="Calibri"/>
                <w:color w:val="404040"/>
                <w:sz w:val="20"/>
              </w:rPr>
              <w:t>47%</w:t>
            </w:r>
          </w:p>
        </w:tc>
        <w:tc>
          <w:tcPr>
            <w:tcW w:w="1350" w:type="dxa"/>
            <w:tcBorders>
              <w:bottom w:val="single" w:sz="4" w:space="0" w:color="auto"/>
            </w:tcBorders>
            <w:vAlign w:val="center"/>
          </w:tcPr>
          <w:p w14:paraId="0E91F6EB" w14:textId="755EB454" w:rsidR="003A6FE7" w:rsidRPr="009D7D97" w:rsidRDefault="003A6FE7" w:rsidP="00E17F29">
            <w:pPr>
              <w:spacing w:after="0"/>
              <w:jc w:val="center"/>
              <w:rPr>
                <w:rFonts w:ascii="Calibri" w:hAnsi="Calibri"/>
                <w:color w:val="404040"/>
                <w:sz w:val="20"/>
              </w:rPr>
            </w:pPr>
            <w:r>
              <w:rPr>
                <w:rFonts w:ascii="Calibri" w:hAnsi="Calibri"/>
                <w:color w:val="404040"/>
                <w:sz w:val="20"/>
              </w:rPr>
              <w:t>58</w:t>
            </w:r>
          </w:p>
        </w:tc>
      </w:tr>
      <w:tr w:rsidR="003A6FE7" w:rsidRPr="009D7D97" w14:paraId="1F9003F5" w14:textId="77777777" w:rsidTr="00226147">
        <w:trPr>
          <w:cantSplit/>
          <w:trHeight w:val="260"/>
          <w:jc w:val="center"/>
        </w:trPr>
        <w:tc>
          <w:tcPr>
            <w:tcW w:w="827" w:type="dxa"/>
            <w:tcBorders>
              <w:bottom w:val="single" w:sz="4" w:space="0" w:color="auto"/>
            </w:tcBorders>
            <w:vAlign w:val="center"/>
          </w:tcPr>
          <w:p w14:paraId="5697B259" w14:textId="2A2E7875" w:rsidR="003A6FE7" w:rsidRPr="009D7D97" w:rsidRDefault="003A6FE7" w:rsidP="00E17F29">
            <w:pPr>
              <w:spacing w:after="0"/>
              <w:jc w:val="center"/>
              <w:rPr>
                <w:rFonts w:ascii="Calibri" w:hAnsi="Calibri"/>
                <w:color w:val="404040"/>
                <w:sz w:val="20"/>
              </w:rPr>
            </w:pPr>
            <w:r w:rsidRPr="009D7D97">
              <w:rPr>
                <w:rFonts w:ascii="Calibri" w:hAnsi="Calibri"/>
                <w:color w:val="404040"/>
                <w:sz w:val="20"/>
              </w:rPr>
              <w:t>6</w:t>
            </w:r>
          </w:p>
        </w:tc>
        <w:tc>
          <w:tcPr>
            <w:tcW w:w="1477" w:type="dxa"/>
            <w:tcBorders>
              <w:bottom w:val="single" w:sz="4" w:space="0" w:color="auto"/>
            </w:tcBorders>
            <w:vAlign w:val="center"/>
          </w:tcPr>
          <w:p w14:paraId="14A1D5FA" w14:textId="69D2B586" w:rsidR="003A6FE7" w:rsidRPr="00E17F29" w:rsidRDefault="003A6FE7" w:rsidP="00E17F29">
            <w:pPr>
              <w:spacing w:after="0"/>
              <w:jc w:val="center"/>
              <w:rPr>
                <w:rFonts w:ascii="Calibri" w:hAnsi="Calibri"/>
                <w:color w:val="404040"/>
                <w:sz w:val="20"/>
              </w:rPr>
            </w:pPr>
            <w:r w:rsidRPr="00E17F29">
              <w:rPr>
                <w:rFonts w:ascii="Calibri" w:hAnsi="Calibri" w:cs="Calibri"/>
                <w:color w:val="404040"/>
                <w:sz w:val="20"/>
              </w:rPr>
              <w:t>51%</w:t>
            </w:r>
          </w:p>
        </w:tc>
        <w:tc>
          <w:tcPr>
            <w:tcW w:w="1350" w:type="dxa"/>
            <w:vAlign w:val="center"/>
          </w:tcPr>
          <w:p w14:paraId="1F9AA2E7" w14:textId="0B3FCA33" w:rsidR="003A6FE7" w:rsidRPr="009D7D97" w:rsidRDefault="003A6FE7" w:rsidP="00E17F29">
            <w:pPr>
              <w:spacing w:after="0"/>
              <w:jc w:val="center"/>
              <w:rPr>
                <w:rFonts w:ascii="Calibri" w:hAnsi="Calibri"/>
                <w:color w:val="404040"/>
                <w:sz w:val="20"/>
              </w:rPr>
            </w:pPr>
            <w:r>
              <w:rPr>
                <w:rFonts w:ascii="Calibri" w:hAnsi="Calibri"/>
                <w:color w:val="404040"/>
                <w:sz w:val="20"/>
              </w:rPr>
              <w:t>62</w:t>
            </w:r>
          </w:p>
        </w:tc>
        <w:tc>
          <w:tcPr>
            <w:tcW w:w="1223" w:type="dxa"/>
            <w:vAlign w:val="center"/>
          </w:tcPr>
          <w:p w14:paraId="0A682B8C" w14:textId="1C96BF21" w:rsidR="003A6FE7" w:rsidRPr="009D7D97" w:rsidRDefault="003A6FE7" w:rsidP="00E17F29">
            <w:pPr>
              <w:spacing w:after="0"/>
              <w:jc w:val="center"/>
              <w:rPr>
                <w:rFonts w:ascii="Calibri" w:hAnsi="Calibri"/>
                <w:color w:val="404040"/>
                <w:sz w:val="20"/>
              </w:rPr>
            </w:pPr>
            <w:r>
              <w:rPr>
                <w:rFonts w:ascii="Calibri" w:hAnsi="Calibri"/>
                <w:color w:val="404040"/>
                <w:sz w:val="20"/>
              </w:rPr>
              <w:t>52%</w:t>
            </w:r>
          </w:p>
        </w:tc>
        <w:tc>
          <w:tcPr>
            <w:tcW w:w="1350" w:type="dxa"/>
            <w:tcBorders>
              <w:bottom w:val="single" w:sz="4" w:space="0" w:color="auto"/>
            </w:tcBorders>
            <w:vAlign w:val="center"/>
          </w:tcPr>
          <w:p w14:paraId="595B531A" w14:textId="4CA6D770" w:rsidR="003A6FE7" w:rsidRPr="009D7D97" w:rsidRDefault="003A6FE7" w:rsidP="00E17F29">
            <w:pPr>
              <w:spacing w:after="0"/>
              <w:jc w:val="center"/>
              <w:rPr>
                <w:rFonts w:ascii="Calibri" w:hAnsi="Calibri"/>
                <w:color w:val="404040"/>
                <w:sz w:val="20"/>
              </w:rPr>
            </w:pPr>
            <w:r>
              <w:rPr>
                <w:rFonts w:ascii="Calibri" w:hAnsi="Calibri"/>
                <w:color w:val="404040"/>
                <w:sz w:val="20"/>
              </w:rPr>
              <w:t>50</w:t>
            </w:r>
          </w:p>
        </w:tc>
      </w:tr>
      <w:tr w:rsidR="003A6FE7" w:rsidRPr="009D7D97" w14:paraId="634E62BE" w14:textId="77777777" w:rsidTr="00226147">
        <w:trPr>
          <w:cantSplit/>
          <w:trHeight w:val="260"/>
          <w:jc w:val="center"/>
        </w:trPr>
        <w:tc>
          <w:tcPr>
            <w:tcW w:w="827" w:type="dxa"/>
            <w:tcBorders>
              <w:bottom w:val="single" w:sz="4" w:space="0" w:color="auto"/>
            </w:tcBorders>
            <w:vAlign w:val="center"/>
          </w:tcPr>
          <w:p w14:paraId="72F49CFA" w14:textId="17E6DEFD" w:rsidR="003A6FE7" w:rsidRPr="009D7D97" w:rsidRDefault="003A6FE7" w:rsidP="00E17F29">
            <w:pPr>
              <w:spacing w:after="0"/>
              <w:jc w:val="center"/>
              <w:rPr>
                <w:rFonts w:ascii="Calibri" w:hAnsi="Calibri"/>
                <w:color w:val="404040"/>
                <w:sz w:val="20"/>
              </w:rPr>
            </w:pPr>
            <w:r w:rsidRPr="009D7D97">
              <w:rPr>
                <w:rFonts w:ascii="Calibri" w:hAnsi="Calibri"/>
                <w:color w:val="404040"/>
                <w:sz w:val="20"/>
              </w:rPr>
              <w:t>7</w:t>
            </w:r>
          </w:p>
        </w:tc>
        <w:tc>
          <w:tcPr>
            <w:tcW w:w="1477" w:type="dxa"/>
            <w:tcBorders>
              <w:bottom w:val="single" w:sz="4" w:space="0" w:color="auto"/>
            </w:tcBorders>
            <w:vAlign w:val="center"/>
          </w:tcPr>
          <w:p w14:paraId="2D370DE5" w14:textId="5A35E4C5" w:rsidR="003A6FE7" w:rsidRPr="00E17F29" w:rsidRDefault="003A6FE7" w:rsidP="00E17F29">
            <w:pPr>
              <w:spacing w:after="0"/>
              <w:jc w:val="center"/>
              <w:rPr>
                <w:rFonts w:ascii="Calibri" w:hAnsi="Calibri"/>
                <w:color w:val="404040"/>
                <w:sz w:val="20"/>
              </w:rPr>
            </w:pPr>
            <w:r w:rsidRPr="00E17F29">
              <w:rPr>
                <w:rFonts w:ascii="Calibri" w:hAnsi="Calibri" w:cs="Calibri"/>
                <w:color w:val="404040"/>
                <w:sz w:val="20"/>
              </w:rPr>
              <w:t>35%</w:t>
            </w:r>
          </w:p>
        </w:tc>
        <w:tc>
          <w:tcPr>
            <w:tcW w:w="1350" w:type="dxa"/>
            <w:vAlign w:val="center"/>
          </w:tcPr>
          <w:p w14:paraId="341CD366" w14:textId="0ECE6768" w:rsidR="003A6FE7" w:rsidRPr="009D7D97" w:rsidRDefault="003A6FE7" w:rsidP="00E17F29">
            <w:pPr>
              <w:spacing w:after="0"/>
              <w:jc w:val="center"/>
              <w:rPr>
                <w:rFonts w:ascii="Calibri" w:hAnsi="Calibri"/>
                <w:color w:val="404040"/>
                <w:sz w:val="20"/>
              </w:rPr>
            </w:pPr>
            <w:r>
              <w:rPr>
                <w:rFonts w:ascii="Calibri" w:hAnsi="Calibri"/>
                <w:color w:val="404040"/>
                <w:sz w:val="20"/>
              </w:rPr>
              <w:t>63</w:t>
            </w:r>
          </w:p>
        </w:tc>
        <w:tc>
          <w:tcPr>
            <w:tcW w:w="1223" w:type="dxa"/>
            <w:vAlign w:val="center"/>
          </w:tcPr>
          <w:p w14:paraId="50E6B54A" w14:textId="2E0A927F" w:rsidR="003A6FE7" w:rsidRPr="009D7D97" w:rsidRDefault="003A6FE7" w:rsidP="00E17F29">
            <w:pPr>
              <w:spacing w:after="0"/>
              <w:jc w:val="center"/>
              <w:rPr>
                <w:rFonts w:ascii="Calibri" w:hAnsi="Calibri"/>
                <w:color w:val="404040"/>
                <w:sz w:val="20"/>
              </w:rPr>
            </w:pPr>
            <w:r>
              <w:rPr>
                <w:rFonts w:ascii="Calibri" w:hAnsi="Calibri"/>
                <w:color w:val="404040"/>
                <w:sz w:val="20"/>
              </w:rPr>
              <w:t>33%</w:t>
            </w:r>
          </w:p>
        </w:tc>
        <w:tc>
          <w:tcPr>
            <w:tcW w:w="1350" w:type="dxa"/>
            <w:tcBorders>
              <w:bottom w:val="single" w:sz="4" w:space="0" w:color="auto"/>
            </w:tcBorders>
            <w:vAlign w:val="center"/>
          </w:tcPr>
          <w:p w14:paraId="3DC5AB6E" w14:textId="13C501AD" w:rsidR="003A6FE7" w:rsidRPr="009D7D97" w:rsidRDefault="003A6FE7" w:rsidP="00E17F29">
            <w:pPr>
              <w:spacing w:after="0"/>
              <w:jc w:val="center"/>
              <w:rPr>
                <w:rFonts w:ascii="Calibri" w:hAnsi="Calibri"/>
                <w:color w:val="404040"/>
                <w:sz w:val="20"/>
              </w:rPr>
            </w:pPr>
            <w:r>
              <w:rPr>
                <w:rFonts w:ascii="Calibri" w:hAnsi="Calibri"/>
                <w:color w:val="404040"/>
                <w:sz w:val="20"/>
              </w:rPr>
              <w:t>54</w:t>
            </w:r>
          </w:p>
        </w:tc>
      </w:tr>
      <w:tr w:rsidR="003A6FE7" w:rsidRPr="009D7D97" w14:paraId="495B1B0A" w14:textId="77777777" w:rsidTr="00226147">
        <w:trPr>
          <w:cantSplit/>
          <w:trHeight w:val="260"/>
          <w:jc w:val="center"/>
        </w:trPr>
        <w:tc>
          <w:tcPr>
            <w:tcW w:w="827" w:type="dxa"/>
            <w:tcBorders>
              <w:bottom w:val="double" w:sz="4" w:space="0" w:color="auto"/>
            </w:tcBorders>
            <w:vAlign w:val="center"/>
          </w:tcPr>
          <w:p w14:paraId="512EED50" w14:textId="22E650F3" w:rsidR="003A6FE7" w:rsidRPr="009D7D97" w:rsidRDefault="003A6FE7" w:rsidP="00E17F29">
            <w:pPr>
              <w:spacing w:after="0"/>
              <w:jc w:val="center"/>
              <w:rPr>
                <w:rFonts w:ascii="Calibri" w:hAnsi="Calibri"/>
                <w:color w:val="404040"/>
                <w:sz w:val="20"/>
              </w:rPr>
            </w:pPr>
            <w:r w:rsidRPr="009D7D97">
              <w:rPr>
                <w:rFonts w:ascii="Calibri" w:hAnsi="Calibri"/>
                <w:color w:val="404040"/>
                <w:sz w:val="20"/>
              </w:rPr>
              <w:t>8</w:t>
            </w:r>
          </w:p>
        </w:tc>
        <w:tc>
          <w:tcPr>
            <w:tcW w:w="1477" w:type="dxa"/>
            <w:tcBorders>
              <w:bottom w:val="double" w:sz="4" w:space="0" w:color="auto"/>
            </w:tcBorders>
            <w:vAlign w:val="center"/>
          </w:tcPr>
          <w:p w14:paraId="1052EB2F" w14:textId="6810895E" w:rsidR="003A6FE7" w:rsidRPr="00E17F29" w:rsidRDefault="003A6FE7" w:rsidP="00E17F29">
            <w:pPr>
              <w:spacing w:after="0"/>
              <w:jc w:val="center"/>
              <w:rPr>
                <w:rFonts w:ascii="Calibri" w:hAnsi="Calibri"/>
                <w:color w:val="404040"/>
                <w:sz w:val="20"/>
              </w:rPr>
            </w:pPr>
            <w:r w:rsidRPr="00E17F29">
              <w:rPr>
                <w:rFonts w:ascii="Calibri" w:hAnsi="Calibri" w:cs="Calibri"/>
                <w:color w:val="404040"/>
                <w:sz w:val="20"/>
              </w:rPr>
              <w:t>57%</w:t>
            </w:r>
          </w:p>
        </w:tc>
        <w:tc>
          <w:tcPr>
            <w:tcW w:w="1350" w:type="dxa"/>
            <w:tcBorders>
              <w:bottom w:val="double" w:sz="4" w:space="0" w:color="auto"/>
            </w:tcBorders>
            <w:vAlign w:val="center"/>
          </w:tcPr>
          <w:p w14:paraId="58152ABC" w14:textId="15E95053" w:rsidR="003A6FE7" w:rsidRPr="009D7D97" w:rsidRDefault="003A6FE7" w:rsidP="00E17F29">
            <w:pPr>
              <w:spacing w:after="0"/>
              <w:jc w:val="center"/>
              <w:rPr>
                <w:rFonts w:ascii="Calibri" w:hAnsi="Calibri"/>
                <w:color w:val="404040"/>
                <w:sz w:val="20"/>
              </w:rPr>
            </w:pPr>
            <w:r>
              <w:rPr>
                <w:rFonts w:ascii="Calibri" w:hAnsi="Calibri"/>
                <w:color w:val="404040"/>
                <w:sz w:val="20"/>
              </w:rPr>
              <w:t>56</w:t>
            </w:r>
          </w:p>
        </w:tc>
        <w:tc>
          <w:tcPr>
            <w:tcW w:w="1223" w:type="dxa"/>
            <w:tcBorders>
              <w:bottom w:val="double" w:sz="4" w:space="0" w:color="auto"/>
            </w:tcBorders>
            <w:vAlign w:val="center"/>
          </w:tcPr>
          <w:p w14:paraId="3F156522" w14:textId="44E11474" w:rsidR="003A6FE7" w:rsidRPr="009D7D97" w:rsidRDefault="003A6FE7" w:rsidP="00E17F29">
            <w:pPr>
              <w:spacing w:after="0"/>
              <w:jc w:val="center"/>
              <w:rPr>
                <w:rFonts w:ascii="Calibri" w:hAnsi="Calibri"/>
                <w:color w:val="404040"/>
                <w:sz w:val="20"/>
              </w:rPr>
            </w:pPr>
            <w:r>
              <w:rPr>
                <w:rFonts w:ascii="Calibri" w:hAnsi="Calibri"/>
                <w:color w:val="404040"/>
                <w:sz w:val="20"/>
              </w:rPr>
              <w:t>57%</w:t>
            </w:r>
          </w:p>
        </w:tc>
        <w:tc>
          <w:tcPr>
            <w:tcW w:w="1350" w:type="dxa"/>
            <w:tcBorders>
              <w:bottom w:val="double" w:sz="4" w:space="0" w:color="auto"/>
            </w:tcBorders>
            <w:vAlign w:val="center"/>
          </w:tcPr>
          <w:p w14:paraId="32D5A657" w14:textId="1EA8EF24" w:rsidR="003A6FE7" w:rsidRPr="009D7D97" w:rsidRDefault="003A6FE7" w:rsidP="00E17F29">
            <w:pPr>
              <w:spacing w:after="0"/>
              <w:jc w:val="center"/>
              <w:rPr>
                <w:rFonts w:ascii="Calibri" w:hAnsi="Calibri"/>
                <w:color w:val="404040"/>
                <w:sz w:val="20"/>
              </w:rPr>
            </w:pPr>
            <w:r>
              <w:rPr>
                <w:rFonts w:ascii="Calibri" w:hAnsi="Calibri"/>
                <w:color w:val="404040"/>
                <w:sz w:val="20"/>
              </w:rPr>
              <w:t>54</w:t>
            </w:r>
          </w:p>
        </w:tc>
      </w:tr>
      <w:tr w:rsidR="003A6FE7" w:rsidRPr="009D7D97" w14:paraId="34E50E32" w14:textId="77777777" w:rsidTr="00226147">
        <w:trPr>
          <w:cantSplit/>
          <w:trHeight w:val="260"/>
          <w:jc w:val="center"/>
        </w:trPr>
        <w:tc>
          <w:tcPr>
            <w:tcW w:w="827" w:type="dxa"/>
            <w:tcBorders>
              <w:top w:val="double" w:sz="4" w:space="0" w:color="auto"/>
              <w:bottom w:val="single" w:sz="4" w:space="0" w:color="auto"/>
            </w:tcBorders>
            <w:vAlign w:val="center"/>
          </w:tcPr>
          <w:p w14:paraId="47293AC1" w14:textId="54846478" w:rsidR="003A6FE7" w:rsidRPr="009D7D97" w:rsidRDefault="003A6FE7" w:rsidP="00E17F29">
            <w:pPr>
              <w:spacing w:after="0"/>
              <w:jc w:val="center"/>
              <w:rPr>
                <w:rFonts w:ascii="Calibri" w:hAnsi="Calibri"/>
                <w:color w:val="404040"/>
                <w:sz w:val="20"/>
              </w:rPr>
            </w:pPr>
            <w:r w:rsidRPr="009D7D97">
              <w:rPr>
                <w:rFonts w:ascii="Calibri" w:hAnsi="Calibri"/>
                <w:color w:val="404040"/>
                <w:sz w:val="20"/>
              </w:rPr>
              <w:t xml:space="preserve">All </w:t>
            </w:r>
          </w:p>
        </w:tc>
        <w:tc>
          <w:tcPr>
            <w:tcW w:w="1477" w:type="dxa"/>
            <w:tcBorders>
              <w:top w:val="double" w:sz="4" w:space="0" w:color="auto"/>
              <w:bottom w:val="single" w:sz="4" w:space="0" w:color="auto"/>
            </w:tcBorders>
            <w:vAlign w:val="center"/>
          </w:tcPr>
          <w:p w14:paraId="13BFDC14" w14:textId="2546725E" w:rsidR="003A6FE7" w:rsidRPr="00E17F29" w:rsidRDefault="003A6FE7" w:rsidP="00E17F29">
            <w:pPr>
              <w:spacing w:after="0"/>
              <w:jc w:val="center"/>
              <w:rPr>
                <w:rFonts w:ascii="Calibri" w:hAnsi="Calibri"/>
                <w:color w:val="404040"/>
                <w:sz w:val="20"/>
              </w:rPr>
            </w:pPr>
            <w:r>
              <w:rPr>
                <w:rFonts w:ascii="Calibri" w:hAnsi="Calibri"/>
                <w:color w:val="404040"/>
                <w:sz w:val="20"/>
              </w:rPr>
              <w:t>47%</w:t>
            </w:r>
          </w:p>
        </w:tc>
        <w:tc>
          <w:tcPr>
            <w:tcW w:w="1350" w:type="dxa"/>
            <w:tcBorders>
              <w:top w:val="double" w:sz="4" w:space="0" w:color="auto"/>
              <w:bottom w:val="single" w:sz="4" w:space="0" w:color="auto"/>
            </w:tcBorders>
            <w:vAlign w:val="center"/>
          </w:tcPr>
          <w:p w14:paraId="426A9633" w14:textId="46947A26" w:rsidR="003A6FE7" w:rsidRPr="009D7D97" w:rsidRDefault="00DA251D" w:rsidP="00E17F29">
            <w:pPr>
              <w:spacing w:after="0"/>
              <w:jc w:val="center"/>
              <w:rPr>
                <w:rFonts w:ascii="Calibri" w:hAnsi="Calibri"/>
                <w:color w:val="404040"/>
                <w:sz w:val="20"/>
              </w:rPr>
            </w:pPr>
            <w:r>
              <w:rPr>
                <w:rFonts w:ascii="Calibri" w:hAnsi="Calibri"/>
                <w:color w:val="404040"/>
                <w:sz w:val="20"/>
              </w:rPr>
              <w:t>244</w:t>
            </w:r>
          </w:p>
        </w:tc>
        <w:tc>
          <w:tcPr>
            <w:tcW w:w="1223" w:type="dxa"/>
            <w:tcBorders>
              <w:top w:val="double" w:sz="4" w:space="0" w:color="auto"/>
              <w:bottom w:val="single" w:sz="4" w:space="0" w:color="auto"/>
            </w:tcBorders>
            <w:vAlign w:val="center"/>
          </w:tcPr>
          <w:p w14:paraId="0E10FF71" w14:textId="74816DBC" w:rsidR="003A6FE7" w:rsidRPr="009D7D97" w:rsidRDefault="00DA251D" w:rsidP="00E17F29">
            <w:pPr>
              <w:spacing w:after="0"/>
              <w:jc w:val="center"/>
              <w:rPr>
                <w:rFonts w:ascii="Calibri" w:hAnsi="Calibri"/>
                <w:color w:val="404040"/>
                <w:sz w:val="20"/>
              </w:rPr>
            </w:pPr>
            <w:r>
              <w:rPr>
                <w:rFonts w:ascii="Calibri" w:hAnsi="Calibri"/>
                <w:color w:val="404040"/>
                <w:sz w:val="20"/>
              </w:rPr>
              <w:t>47%</w:t>
            </w:r>
          </w:p>
        </w:tc>
        <w:tc>
          <w:tcPr>
            <w:tcW w:w="1350" w:type="dxa"/>
            <w:tcBorders>
              <w:top w:val="double" w:sz="4" w:space="0" w:color="auto"/>
              <w:bottom w:val="single" w:sz="4" w:space="0" w:color="auto"/>
            </w:tcBorders>
            <w:vAlign w:val="center"/>
          </w:tcPr>
          <w:p w14:paraId="3D244E85" w14:textId="600F2FE1" w:rsidR="003A6FE7" w:rsidRPr="009D7D97" w:rsidRDefault="00DA251D" w:rsidP="00E17F29">
            <w:pPr>
              <w:spacing w:after="0"/>
              <w:jc w:val="center"/>
              <w:rPr>
                <w:rFonts w:ascii="Calibri" w:hAnsi="Calibri"/>
                <w:color w:val="404040"/>
                <w:sz w:val="20"/>
              </w:rPr>
            </w:pPr>
            <w:r>
              <w:rPr>
                <w:rFonts w:ascii="Calibri" w:hAnsi="Calibri"/>
                <w:color w:val="404040"/>
                <w:sz w:val="20"/>
              </w:rPr>
              <w:t>216</w:t>
            </w:r>
          </w:p>
        </w:tc>
      </w:tr>
    </w:tbl>
    <w:p w14:paraId="2FFC2587" w14:textId="77777777" w:rsidR="003A6FE7" w:rsidRDefault="003A6FE7" w:rsidP="00D421C8">
      <w:pPr>
        <w:pStyle w:val="Heading2"/>
        <w:rPr>
          <w:rFonts w:ascii="Calibri" w:eastAsia="Calibri" w:hAnsi="Calibri" w:cs="Calibri"/>
          <w:bCs w:val="0"/>
          <w:color w:val="365F91" w:themeColor="accent1" w:themeShade="BF"/>
          <w:szCs w:val="28"/>
        </w:rPr>
      </w:pPr>
    </w:p>
    <w:p w14:paraId="5ADF4BC5" w14:textId="38D3CA14" w:rsidR="00D421C8" w:rsidRDefault="00D421C8" w:rsidP="00D421C8">
      <w:pPr>
        <w:pStyle w:val="Heading2"/>
      </w:pPr>
      <w:r w:rsidRPr="7D51821A">
        <w:rPr>
          <w:rFonts w:ascii="Calibri" w:eastAsia="Calibri" w:hAnsi="Calibri" w:cs="Calibri"/>
          <w:bCs w:val="0"/>
          <w:color w:val="365F91" w:themeColor="accent1" w:themeShade="BF"/>
          <w:szCs w:val="28"/>
        </w:rPr>
        <w:t xml:space="preserve">Additional </w:t>
      </w:r>
      <w:r w:rsidR="007E376D">
        <w:rPr>
          <w:rFonts w:ascii="Calibri" w:eastAsia="Calibri" w:hAnsi="Calibri" w:cs="Calibri"/>
          <w:bCs w:val="0"/>
          <w:color w:val="365F91" w:themeColor="accent1" w:themeShade="BF"/>
          <w:szCs w:val="28"/>
        </w:rPr>
        <w:t xml:space="preserve">CONTEXT AND </w:t>
      </w:r>
      <w:r w:rsidRPr="7D51821A">
        <w:rPr>
          <w:rFonts w:ascii="Calibri" w:eastAsia="Calibri" w:hAnsi="Calibri" w:cs="Calibri"/>
          <w:bCs w:val="0"/>
          <w:color w:val="365F91" w:themeColor="accent1" w:themeShade="BF"/>
          <w:szCs w:val="28"/>
        </w:rPr>
        <w:t>Evidence</w:t>
      </w:r>
    </w:p>
    <w:p w14:paraId="0D8FBBCF" w14:textId="41ACBBA8" w:rsidR="007E376D" w:rsidRPr="004A7578" w:rsidRDefault="005E4F2F" w:rsidP="005E4F2F">
      <w:pPr>
        <w:rPr>
          <w:rFonts w:eastAsiaTheme="minorEastAsia" w:cstheme="minorBidi"/>
        </w:rPr>
      </w:pPr>
      <w:r>
        <w:t>Troy Prep has moved toward meeting the Absolute Measure each year since 2015-2016, taking a minor step back in 2018-19.  In both 2015-2016 and 2016-17, 48% of students met the absolute measure in ELA.  In 2017-2018 57% of students met the absolute measure in ELA.  In 2018-19 55% of students met the absolute measure. Troy Prep attributes this growth to the fact that students who began at Troy Prep as Kindergarteners have reached grade levels that are assessed by New York State.  5</w:t>
      </w:r>
      <w:r>
        <w:rPr>
          <w:vertAlign w:val="superscript"/>
        </w:rPr>
        <w:t>th</w:t>
      </w:r>
      <w:r>
        <w:t xml:space="preserve"> Grade has traditionally been an intake year for Troy Prep, with many students starting multiple grade levels behind.  As such, 5</w:t>
      </w:r>
      <w:r>
        <w:rPr>
          <w:vertAlign w:val="superscript"/>
        </w:rPr>
        <w:t>th</w:t>
      </w:r>
      <w:r>
        <w:t xml:space="preserve"> grade has posted the weakest results in the past.  In 2017-18 and 2018-19, Troy Prep’s fifth and sixth grade was made up of students from Troy Prep Elementary grades. While we were not able to see our results on a NYS ELA exam, are students results on the 20</w:t>
      </w:r>
      <w:r w:rsidR="00A5357C">
        <w:t>20</w:t>
      </w:r>
      <w:r>
        <w:t>-2</w:t>
      </w:r>
      <w:r w:rsidR="00A5357C">
        <w:t xml:space="preserve">1 </w:t>
      </w:r>
      <w:r>
        <w:t xml:space="preserve">interim assessments are in line with those of the results from </w:t>
      </w:r>
      <w:r w:rsidR="00A5357C">
        <w:t xml:space="preserve">interim assessments in 2019-2020, which consisted of more in-person learning for all students.  The Middle School scores are also consistent with those state test results in </w:t>
      </w:r>
      <w:r>
        <w:t xml:space="preserve">2018-19, even showing a higher percentage in </w:t>
      </w:r>
      <w:r w:rsidR="00A5357C">
        <w:t>5</w:t>
      </w:r>
      <w:r w:rsidR="00A5357C" w:rsidRPr="00A5357C">
        <w:rPr>
          <w:vertAlign w:val="superscript"/>
        </w:rPr>
        <w:t>th</w:t>
      </w:r>
      <w:r w:rsidR="00A5357C">
        <w:t>. 6</w:t>
      </w:r>
      <w:r w:rsidR="00A5357C" w:rsidRPr="00A5357C">
        <w:rPr>
          <w:vertAlign w:val="superscript"/>
        </w:rPr>
        <w:t>th</w:t>
      </w:r>
      <w:r w:rsidR="00A5357C">
        <w:t xml:space="preserve"> and 8</w:t>
      </w:r>
      <w:r w:rsidR="00A5357C" w:rsidRPr="00A5357C">
        <w:rPr>
          <w:vertAlign w:val="superscript"/>
        </w:rPr>
        <w:t>th</w:t>
      </w:r>
      <w:r w:rsidR="00A5357C">
        <w:t xml:space="preserve"> Grade.  </w:t>
      </w:r>
    </w:p>
    <w:p w14:paraId="7186B0F6" w14:textId="0D4DCC3F" w:rsidR="00D421C8" w:rsidRPr="00977126" w:rsidRDefault="00D421C8" w:rsidP="00D421C8">
      <w:pPr>
        <w:pStyle w:val="Heading2"/>
      </w:pPr>
      <w:r>
        <w:t xml:space="preserve">Summary of the Elementary </w:t>
      </w:r>
      <w:r w:rsidR="007E376D">
        <w:t xml:space="preserve">AND MIDDLE </w:t>
      </w:r>
      <w:r>
        <w:t>English Language Arts Goal</w:t>
      </w:r>
    </w:p>
    <w:p w14:paraId="64512B68" w14:textId="6A81552D" w:rsidR="005E4F2F" w:rsidRPr="00184492" w:rsidRDefault="005E4F2F" w:rsidP="005E4F2F">
      <w:r>
        <w:t xml:space="preserve">Typically, Troy Prep’s English Language Arts goal is to have 75 percent of all tested students enrolled in at least their second year will perform at or above proficiency on the New York State English Language Arts examination for grades 3-8.  While we were unable to take the NYS exams in 19-20, and only hybrid students taking the NYS exam in 20-21, our goal is to improve upon our results last year.  We were able to assess this throughout our interim assessments.  On the most recent interim assessment, </w:t>
      </w:r>
      <w:r w:rsidRPr="00070E7E">
        <w:t xml:space="preserve">an average of </w:t>
      </w:r>
      <w:r w:rsidR="00070E7E" w:rsidRPr="00070E7E">
        <w:t>4</w:t>
      </w:r>
      <w:r w:rsidR="00DA251D">
        <w:t>7</w:t>
      </w:r>
      <w:r w:rsidRPr="00070E7E">
        <w:t xml:space="preserve">% of students in grades </w:t>
      </w:r>
      <w:r w:rsidR="00DA251D">
        <w:t>5</w:t>
      </w:r>
      <w:r w:rsidRPr="00070E7E">
        <w:t xml:space="preserve">-8 scored advanced or proficient.  While we did not meet our goal of beating 55% from 2018-19, </w:t>
      </w:r>
      <w:r w:rsidR="00070E7E" w:rsidRPr="00070E7E">
        <w:t>and a minor decrease from the last interim assessment in 19-20,</w:t>
      </w:r>
      <w:r w:rsidRPr="00070E7E">
        <w:t xml:space="preserve"> our </w:t>
      </w:r>
      <w:r w:rsidR="00070E7E" w:rsidRPr="00070E7E">
        <w:t>6</w:t>
      </w:r>
      <w:r w:rsidRPr="00070E7E">
        <w:rPr>
          <w:vertAlign w:val="superscript"/>
        </w:rPr>
        <w:t>th</w:t>
      </w:r>
      <w:r w:rsidRPr="00070E7E">
        <w:t xml:space="preserve"> and 8</w:t>
      </w:r>
      <w:r w:rsidRPr="00070E7E">
        <w:rPr>
          <w:vertAlign w:val="superscript"/>
        </w:rPr>
        <w:t>th</w:t>
      </w:r>
      <w:r w:rsidRPr="00070E7E">
        <w:t xml:space="preserve"> grade cohorts had particularly strong results.</w:t>
      </w:r>
    </w:p>
    <w:p w14:paraId="43FDBFF6" w14:textId="77777777" w:rsidR="00D421C8" w:rsidRPr="00DD2508" w:rsidRDefault="00D421C8" w:rsidP="00D421C8">
      <w:pPr>
        <w:pStyle w:val="Heading2"/>
      </w:pPr>
      <w:r w:rsidRPr="00DD2508">
        <w:lastRenderedPageBreak/>
        <w:t>Action Plan</w:t>
      </w:r>
    </w:p>
    <w:p w14:paraId="6FA0C3B9" w14:textId="77777777" w:rsidR="00070E7E" w:rsidRDefault="00070E7E" w:rsidP="00070E7E">
      <w:r>
        <w:t xml:space="preserve">Troy Prep continues to refine improvements to its scopes and sequences to increase alignment with the Common Core Learning standards.  Troy Prep continues to make changes to its interval assessment program to increase their alignment with the Common Core Learning standards. Troy Prep’s instructional leaders feel that these ongoing changes improved upon a strong program and led to increased student learning in ELA. </w:t>
      </w:r>
    </w:p>
    <w:p w14:paraId="392896FA" w14:textId="1EDBF5E2" w:rsidR="00070E7E" w:rsidRDefault="00070E7E" w:rsidP="00070E7E">
      <w:r>
        <w:t xml:space="preserve">School leaders acknowledge that there is much work to be done in the area of ELA performance, especially as we transition from remote learning to full in person learning in the 21-22 school year.  Our goal is to analyze and compare our results to ensure that we are </w:t>
      </w:r>
      <w:r w:rsidR="00F82A7F">
        <w:t>working to identify and act accordingly to fill in learning loss and gaps that were attributed to COVID-19 and remote learning.</w:t>
      </w:r>
    </w:p>
    <w:p w14:paraId="2CB75242" w14:textId="72A25529" w:rsidR="00D421C8" w:rsidRDefault="00070E7E" w:rsidP="00070E7E">
      <w:r>
        <w:t xml:space="preserve">We continue to strive for our students to get individualized feedback in both Math and ELA. We know with real-time feedback and </w:t>
      </w:r>
      <w:r w:rsidR="00F82A7F">
        <w:t>continue</w:t>
      </w:r>
      <w:r>
        <w:t xml:space="preserve"> independent </w:t>
      </w:r>
      <w:proofErr w:type="gramStart"/>
      <w:r>
        <w:t>practice,</w:t>
      </w:r>
      <w:proofErr w:type="gramEnd"/>
      <w:r>
        <w:t xml:space="preserve"> students will be able to refine their skills in both Math and ELA. </w:t>
      </w:r>
      <w:r w:rsidR="00F82A7F">
        <w:t>As we transition back to full in-person learning, we will</w:t>
      </w:r>
      <w:r>
        <w:t xml:space="preserve"> continue to provide both real-time feedback and consistent feedback on written work submissions comprehensive feedback on graded assignments.  As a network, we plan to continue to implement a small group instruction into the day for four months starting in January and ending in May. There, students and staff emphasize the importance of preparation and practice with alternating blocks of ELA &amp; Math Monday – Thursday, giving real-time feedback to students on their work throughout the block. Our Curriculum Assessment Team collect this data and work with our principals and Assistant Superintendents to implement data-driven worksheets based on where our students needed the most practice.</w:t>
      </w:r>
    </w:p>
    <w:p w14:paraId="58A9F41D" w14:textId="3F4136E9" w:rsidR="00751171" w:rsidRPr="00D421C8" w:rsidRDefault="00751171" w:rsidP="00070E7E">
      <w:r>
        <w:t xml:space="preserve">To reverse the COVID-related learning loss in ELA, Uncommon Schools and Troy Prep have new pillars of the 2021-2022 instructional model which incorporates additional focuses on ELA instruction. This includes prioritizing reading instruction in grades K-6. Troy Prep will also strategically embed small group instruction into our K-8 instructional models in order to meet every student where they are.  Troy Prep’s assessment and response to data will be streamlined to regularly gather data and effectively reteach while maximizing instructional time. </w:t>
      </w:r>
    </w:p>
    <w:p w14:paraId="0EC1CCE3" w14:textId="34282A3D" w:rsidR="00056BFE" w:rsidRPr="00537206" w:rsidRDefault="00056BFE" w:rsidP="00537206">
      <w:pPr>
        <w:pStyle w:val="Heading2"/>
        <w:rPr>
          <w:bCs w:val="0"/>
          <w:caps w:val="0"/>
          <w:color w:val="365F91" w:themeColor="accent1" w:themeShade="BF"/>
          <w:sz w:val="30"/>
          <w:szCs w:val="30"/>
        </w:rPr>
      </w:pPr>
      <w:r w:rsidRPr="00525629">
        <w:rPr>
          <w:rStyle w:val="Heading1Char"/>
          <w:sz w:val="30"/>
          <w:szCs w:val="30"/>
        </w:rPr>
        <w:t>HIGH SCHOOL ENGLISH LANGUAGE ARTS</w:t>
      </w:r>
    </w:p>
    <w:p w14:paraId="3BDDDB0F" w14:textId="6C8B53D8" w:rsidR="00056BFE" w:rsidRPr="00DC7695" w:rsidRDefault="00056BFE" w:rsidP="00056BFE">
      <w:pPr>
        <w:pStyle w:val="MeasureTitle"/>
      </w:pPr>
      <w:r w:rsidRPr="00DD2508">
        <w:t xml:space="preserve">Goal </w:t>
      </w:r>
      <w:r w:rsidR="00887F40">
        <w:t>3</w:t>
      </w:r>
      <w:r w:rsidRPr="00DD2508">
        <w:t>: Absolute Measure</w:t>
      </w:r>
    </w:p>
    <w:p w14:paraId="4929A9F0" w14:textId="5C342028" w:rsidR="00056BFE" w:rsidRDefault="00056BFE" w:rsidP="00056BFE">
      <w:pPr>
        <w:pStyle w:val="MeasureText"/>
      </w:pPr>
      <w:r w:rsidRPr="001077F3">
        <w:t xml:space="preserve">Each year, 65 percent of students in the high school Accountability Cohort will </w:t>
      </w:r>
      <w:r w:rsidR="0052217E">
        <w:t>exceed Common Core expectations</w:t>
      </w:r>
      <w:r w:rsidRPr="001077F3">
        <w:t xml:space="preserve"> (currently scoring </w:t>
      </w:r>
      <w:r w:rsidR="0052217E">
        <w:t>at or above Performance Level 4</w:t>
      </w:r>
      <w:r>
        <w:t xml:space="preserve"> on the Regents Exam in English Language Arts (Common Core)</w:t>
      </w:r>
      <w:r w:rsidRPr="001077F3">
        <w:t>) by the completion of their fourth year in the cohort.</w:t>
      </w:r>
    </w:p>
    <w:p w14:paraId="5E692DB5" w14:textId="77777777" w:rsidR="00056BFE" w:rsidRPr="00DD2508" w:rsidRDefault="00056BFE" w:rsidP="00056BFE">
      <w:pPr>
        <w:pStyle w:val="Heading2"/>
      </w:pPr>
      <w:r w:rsidRPr="00DD2508">
        <w:t>Method</w:t>
      </w:r>
    </w:p>
    <w:p w14:paraId="040B6A93" w14:textId="7C560981" w:rsidR="00056BFE" w:rsidRDefault="00056BFE" w:rsidP="00056BFE">
      <w:r>
        <w:t xml:space="preserve">The school administered </w:t>
      </w:r>
      <w:r w:rsidR="00F11EB3">
        <w:t>the</w:t>
      </w:r>
      <w:r w:rsidR="0052217E">
        <w:t xml:space="preserve"> Regents English exam</w:t>
      </w:r>
      <w:r>
        <w:t xml:space="preserve"> that students must pass to graduate. The State Education Department currently defines the college and career readiness standard as </w:t>
      </w:r>
      <w:r w:rsidR="0052217E">
        <w:t>scoring at or above Performance</w:t>
      </w:r>
      <w:r>
        <w:t xml:space="preserve"> Level 4 (meeting Common Core expectations) on the Regents Exam in English Language Arts (Common Core).  This measure examines the percent of the Accountability Cohort that </w:t>
      </w:r>
      <w:r w:rsidR="0052217E">
        <w:t>achieved at least Performance Level 4 by the</w:t>
      </w:r>
      <w:r>
        <w:t xml:space="preserve"> completion of their fourth year in the cohort.  </w:t>
      </w:r>
    </w:p>
    <w:p w14:paraId="7F926EBA" w14:textId="62BB0C25" w:rsidR="00537206" w:rsidRDefault="00537206" w:rsidP="00537206">
      <w:pPr>
        <w:rPr>
          <w:b/>
          <w:bCs/>
        </w:rPr>
      </w:pPr>
      <w:r w:rsidRPr="57F71D55">
        <w:rPr>
          <w:b/>
          <w:bCs/>
        </w:rPr>
        <w:t>Due to the s</w:t>
      </w:r>
      <w:r>
        <w:rPr>
          <w:b/>
          <w:bCs/>
        </w:rPr>
        <w:t>tate’s cancellation of multiple</w:t>
      </w:r>
      <w:r w:rsidRPr="57F71D55">
        <w:rPr>
          <w:b/>
          <w:bCs/>
        </w:rPr>
        <w:t xml:space="preserve"> administrations of the Regents</w:t>
      </w:r>
      <w:r>
        <w:rPr>
          <w:b/>
          <w:bCs/>
        </w:rPr>
        <w:t xml:space="preserve"> exams in 2019-20 and 2020-21</w:t>
      </w:r>
      <w:r w:rsidRPr="57F71D55">
        <w:rPr>
          <w:b/>
          <w:bCs/>
        </w:rPr>
        <w:t>, some students in the 201</w:t>
      </w:r>
      <w:r>
        <w:rPr>
          <w:b/>
          <w:bCs/>
        </w:rPr>
        <w:t>7</w:t>
      </w:r>
      <w:r w:rsidRPr="57F71D55">
        <w:rPr>
          <w:b/>
          <w:bCs/>
        </w:rPr>
        <w:t xml:space="preserve"> Cohort who had not previously sat for the exam but were </w:t>
      </w:r>
      <w:r w:rsidRPr="57F71D55">
        <w:rPr>
          <w:b/>
          <w:bCs/>
        </w:rPr>
        <w:lastRenderedPageBreak/>
        <w:t>sc</w:t>
      </w:r>
      <w:r>
        <w:rPr>
          <w:b/>
          <w:bCs/>
        </w:rPr>
        <w:t xml:space="preserve">heduled to sit for this exam during a cancellation </w:t>
      </w:r>
      <w:r w:rsidRPr="57F71D55">
        <w:rPr>
          <w:b/>
          <w:bCs/>
        </w:rPr>
        <w:t>would be exempted from the graduation requirement.  As such, the school should report both the number of students w</w:t>
      </w:r>
      <w:r>
        <w:rPr>
          <w:b/>
          <w:bCs/>
        </w:rPr>
        <w:t xml:space="preserve">ho were </w:t>
      </w:r>
      <w:r w:rsidRPr="57F71D55">
        <w:rPr>
          <w:b/>
          <w:bCs/>
        </w:rPr>
        <w:t>exempted from the exam as well as the percentage of students achieving at least Level 4 among the students who sat for the exam.</w:t>
      </w:r>
    </w:p>
    <w:p w14:paraId="45043982" w14:textId="5594803B" w:rsidR="00056BFE" w:rsidRPr="00DD2508" w:rsidRDefault="00056BFE" w:rsidP="00056BFE">
      <w:pPr>
        <w:pStyle w:val="Heading2"/>
      </w:pPr>
      <w:r w:rsidRPr="00C45315">
        <w:t>Results</w:t>
      </w:r>
      <w:r w:rsidR="00271411" w:rsidRPr="00C45315">
        <w:t xml:space="preserve"> and Evaluation</w:t>
      </w:r>
    </w:p>
    <w:p w14:paraId="4DF22F1D" w14:textId="3E925C88" w:rsidR="00F82A7F" w:rsidRPr="00F82A7F" w:rsidRDefault="00F82A7F" w:rsidP="00F82A7F">
      <w:pPr>
        <w:rPr>
          <w:rFonts w:ascii="Calibri" w:hAnsi="Calibri"/>
        </w:rPr>
      </w:pPr>
      <w:r w:rsidRPr="00F82A7F">
        <w:rPr>
          <w:rFonts w:ascii="Calibri" w:hAnsi="Calibri"/>
        </w:rPr>
        <w:t>The 201</w:t>
      </w:r>
      <w:r>
        <w:rPr>
          <w:rFonts w:ascii="Calibri" w:hAnsi="Calibri"/>
        </w:rPr>
        <w:t>7</w:t>
      </w:r>
      <w:r w:rsidRPr="00F82A7F">
        <w:rPr>
          <w:rFonts w:ascii="Calibri" w:hAnsi="Calibri"/>
        </w:rPr>
        <w:t xml:space="preserve"> cohort had </w:t>
      </w:r>
      <w:r w:rsidR="005714F1">
        <w:rPr>
          <w:rFonts w:ascii="Calibri" w:hAnsi="Calibri"/>
        </w:rPr>
        <w:t>10</w:t>
      </w:r>
      <w:r w:rsidRPr="00F82A7F">
        <w:rPr>
          <w:rFonts w:ascii="Calibri" w:hAnsi="Calibri"/>
        </w:rPr>
        <w:t xml:space="preserve"> students (</w:t>
      </w:r>
      <w:r w:rsidR="005714F1">
        <w:rPr>
          <w:rFonts w:ascii="Calibri" w:hAnsi="Calibri"/>
        </w:rPr>
        <w:t>45</w:t>
      </w:r>
      <w:r w:rsidRPr="00F82A7F">
        <w:rPr>
          <w:rFonts w:ascii="Calibri" w:hAnsi="Calibri"/>
        </w:rPr>
        <w:t xml:space="preserve">%) pass English Regents with a score of 75 or higher. </w:t>
      </w:r>
      <w:r w:rsidR="009708D3">
        <w:rPr>
          <w:rFonts w:ascii="Calibri" w:hAnsi="Calibri"/>
        </w:rPr>
        <w:t>We did not have any students sit for the English Regents exam.</w:t>
      </w:r>
      <w:r w:rsidR="005714F1">
        <w:rPr>
          <w:rFonts w:ascii="Calibri" w:hAnsi="Calibri"/>
        </w:rPr>
        <w:t xml:space="preserve"> We had 3 students who were exempted from the English Regents with no valid score.</w:t>
      </w:r>
    </w:p>
    <w:p w14:paraId="4E1EFB3B" w14:textId="5078F391" w:rsidR="00056BFE" w:rsidRDefault="00F82A7F" w:rsidP="00F82A7F">
      <w:pPr>
        <w:rPr>
          <w:rFonts w:ascii="Calibri" w:hAnsi="Calibri"/>
          <w:szCs w:val="23"/>
        </w:rPr>
      </w:pPr>
      <w:r w:rsidRPr="00F82A7F">
        <w:rPr>
          <w:rFonts w:ascii="Calibri" w:hAnsi="Calibri"/>
        </w:rPr>
        <w:t xml:space="preserve">This </w:t>
      </w:r>
      <w:r w:rsidR="001D192E">
        <w:rPr>
          <w:rFonts w:ascii="Calibri" w:hAnsi="Calibri"/>
        </w:rPr>
        <w:t xml:space="preserve">does not </w:t>
      </w:r>
      <w:r w:rsidRPr="00F82A7F">
        <w:rPr>
          <w:rFonts w:ascii="Calibri" w:hAnsi="Calibri"/>
        </w:rPr>
        <w:t xml:space="preserve">exceed the goal of 65% of students passing the English Language Arts Common Core Regents Exam with a score of 75% or higher. </w:t>
      </w:r>
      <w:r w:rsidR="001D192E">
        <w:rPr>
          <w:rFonts w:ascii="Calibri" w:hAnsi="Calibri"/>
        </w:rPr>
        <w:t>Our 2018 cohort had 41% of it’s students pass with a level 4 with 11 students exempt from the English Regents with no valid score. Our 2019 cohort did not have any students previously sit for the English Regents and had 43 students exempt from the English Regents with no valid score. Our 2020 cohort did not have any students sit previously for the English Regents and had 42 students exempt from the English Regents with no valid score.</w:t>
      </w:r>
    </w:p>
    <w:p w14:paraId="1598D975" w14:textId="3A0E167B" w:rsidR="00056BFE" w:rsidRDefault="0052217E" w:rsidP="00056BFE">
      <w:pPr>
        <w:pStyle w:val="TableHeader"/>
      </w:pPr>
      <w:r>
        <w:t>Percent Scoring at Least</w:t>
      </w:r>
      <w:r w:rsidR="00056BFE">
        <w:t xml:space="preserve"> Level 4 on </w:t>
      </w:r>
      <w:r>
        <w:t xml:space="preserve">Regents English </w:t>
      </w:r>
      <w:r w:rsidR="00056BFE">
        <w:t>Common Core Exam</w:t>
      </w:r>
    </w:p>
    <w:p w14:paraId="23DB1ADF" w14:textId="77777777" w:rsidR="00056BFE" w:rsidRPr="00DD2508" w:rsidRDefault="00056BFE" w:rsidP="00056BFE">
      <w:pPr>
        <w:pStyle w:val="TableHeader"/>
      </w:pPr>
      <w:r w:rsidRPr="00DD2508">
        <w:t>by Fourth Year Accountability Cohort</w:t>
      </w:r>
      <w:r w:rsidRPr="7D51821A">
        <w:rPr>
          <w:rStyle w:val="FootnoteReference"/>
          <w:b/>
          <w:bCs/>
        </w:rPr>
        <w:footnoteReference w:id="3"/>
      </w:r>
      <w:r w:rsidRPr="00DD2508">
        <w:t xml:space="preserve"> </w:t>
      </w:r>
    </w:p>
    <w:tbl>
      <w:tblPr>
        <w:tblW w:w="7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900"/>
        <w:gridCol w:w="905"/>
        <w:gridCol w:w="1165"/>
        <w:gridCol w:w="1260"/>
        <w:gridCol w:w="2250"/>
      </w:tblGrid>
      <w:tr w:rsidR="006D269B" w:rsidRPr="00DD2508" w14:paraId="19D13553" w14:textId="77777777" w:rsidTr="006D269B">
        <w:trPr>
          <w:trHeight w:val="758"/>
          <w:jc w:val="center"/>
        </w:trPr>
        <w:tc>
          <w:tcPr>
            <w:tcW w:w="805" w:type="dxa"/>
            <w:shd w:val="clear" w:color="auto" w:fill="auto"/>
            <w:vAlign w:val="center"/>
          </w:tcPr>
          <w:p w14:paraId="27A2ADC9" w14:textId="0CE3BA82" w:rsidR="006D269B" w:rsidRPr="00DE3E14" w:rsidRDefault="006D269B" w:rsidP="002C1A58">
            <w:pPr>
              <w:pStyle w:val="TableText"/>
            </w:pPr>
            <w:r>
              <w:t xml:space="preserve">Cohort </w:t>
            </w:r>
          </w:p>
        </w:tc>
        <w:tc>
          <w:tcPr>
            <w:tcW w:w="900" w:type="dxa"/>
          </w:tcPr>
          <w:p w14:paraId="281393EF" w14:textId="77777777" w:rsidR="006D269B" w:rsidRDefault="006D269B" w:rsidP="002C1A58">
            <w:pPr>
              <w:pStyle w:val="TableText"/>
            </w:pPr>
          </w:p>
          <w:p w14:paraId="657E1051" w14:textId="1BE3C87F" w:rsidR="006D269B" w:rsidRDefault="006D269B" w:rsidP="002C1A58">
            <w:pPr>
              <w:pStyle w:val="TableText"/>
            </w:pPr>
            <w:r>
              <w:t xml:space="preserve">Fourth </w:t>
            </w:r>
          </w:p>
          <w:p w14:paraId="0D7A2CDF" w14:textId="61EE9BDE" w:rsidR="006D269B" w:rsidRPr="00DE3E14" w:rsidRDefault="006D269B" w:rsidP="002C1A58">
            <w:pPr>
              <w:pStyle w:val="TableText"/>
            </w:pPr>
            <w:r>
              <w:t>Year</w:t>
            </w:r>
          </w:p>
        </w:tc>
        <w:tc>
          <w:tcPr>
            <w:tcW w:w="905" w:type="dxa"/>
            <w:vAlign w:val="center"/>
          </w:tcPr>
          <w:p w14:paraId="26F1CA84" w14:textId="47F7D5A1" w:rsidR="006D269B" w:rsidRPr="00DE3E14" w:rsidRDefault="006D269B" w:rsidP="7D51821A">
            <w:pPr>
              <w:pStyle w:val="TableText"/>
            </w:pPr>
            <w:r>
              <w:t>Number in Cohort</w:t>
            </w:r>
            <w:r>
              <w:br/>
              <w:t>(a)</w:t>
            </w:r>
          </w:p>
        </w:tc>
        <w:tc>
          <w:tcPr>
            <w:tcW w:w="1165" w:type="dxa"/>
            <w:vAlign w:val="center"/>
          </w:tcPr>
          <w:p w14:paraId="7BAF384F" w14:textId="1AB00BFA" w:rsidR="006D269B" w:rsidRDefault="006D269B" w:rsidP="7D51821A">
            <w:pPr>
              <w:pStyle w:val="TableText"/>
            </w:pPr>
            <w:r>
              <w:t>Number exempted with No Valid Score (b)</w:t>
            </w:r>
          </w:p>
        </w:tc>
        <w:tc>
          <w:tcPr>
            <w:tcW w:w="1260" w:type="dxa"/>
            <w:vAlign w:val="center"/>
          </w:tcPr>
          <w:p w14:paraId="69ADC58F" w14:textId="20902DBF" w:rsidR="006D269B" w:rsidRDefault="006D269B" w:rsidP="57F71D55">
            <w:pPr>
              <w:pStyle w:val="TableText"/>
            </w:pPr>
            <w:r>
              <w:t>Number Scoring at Least Level 4</w:t>
            </w:r>
          </w:p>
          <w:p w14:paraId="57027257" w14:textId="65222736" w:rsidR="006D269B" w:rsidRDefault="006D269B" w:rsidP="57F71D55">
            <w:pPr>
              <w:pStyle w:val="TableText"/>
            </w:pPr>
            <w:r>
              <w:t>(c)</w:t>
            </w:r>
          </w:p>
        </w:tc>
        <w:tc>
          <w:tcPr>
            <w:tcW w:w="2250" w:type="dxa"/>
            <w:tcBorders>
              <w:top w:val="single" w:sz="12" w:space="0" w:color="auto"/>
              <w:left w:val="single" w:sz="12" w:space="0" w:color="auto"/>
              <w:right w:val="single" w:sz="12" w:space="0" w:color="auto"/>
            </w:tcBorders>
            <w:vAlign w:val="center"/>
          </w:tcPr>
          <w:p w14:paraId="24F30345" w14:textId="09EB6FCF" w:rsidR="006D269B" w:rsidRPr="00DE3E14" w:rsidRDefault="006D269B" w:rsidP="7D51821A">
            <w:pPr>
              <w:pStyle w:val="TableText"/>
            </w:pPr>
            <w:r>
              <w:t>Percent Scoring at Least Level 4 Among Students with Valid Score</w:t>
            </w:r>
            <w:r>
              <w:br/>
              <w:t>(c)/(a-b)</w:t>
            </w:r>
          </w:p>
        </w:tc>
      </w:tr>
      <w:tr w:rsidR="006D269B" w:rsidRPr="00DD2508" w14:paraId="3CFE1F78" w14:textId="77777777" w:rsidTr="006D269B">
        <w:trPr>
          <w:trHeight w:val="228"/>
          <w:jc w:val="center"/>
        </w:trPr>
        <w:tc>
          <w:tcPr>
            <w:tcW w:w="805" w:type="dxa"/>
          </w:tcPr>
          <w:p w14:paraId="198915FE" w14:textId="282B3D6A" w:rsidR="006D269B" w:rsidRPr="00DE3E14" w:rsidRDefault="00537206" w:rsidP="002C1A58">
            <w:pPr>
              <w:pStyle w:val="TableText"/>
            </w:pPr>
            <w:r>
              <w:t>2015</w:t>
            </w:r>
          </w:p>
        </w:tc>
        <w:tc>
          <w:tcPr>
            <w:tcW w:w="900" w:type="dxa"/>
          </w:tcPr>
          <w:p w14:paraId="61BEC55F" w14:textId="50C6094C" w:rsidR="006D269B" w:rsidRPr="00DE3E14" w:rsidRDefault="00537206" w:rsidP="002C1A58">
            <w:pPr>
              <w:pStyle w:val="TableText"/>
            </w:pPr>
            <w:r>
              <w:t>2018-19</w:t>
            </w:r>
          </w:p>
        </w:tc>
        <w:tc>
          <w:tcPr>
            <w:tcW w:w="905" w:type="dxa"/>
          </w:tcPr>
          <w:p w14:paraId="3B1D6799" w14:textId="637384E9" w:rsidR="006D269B" w:rsidRPr="00DE3E14" w:rsidRDefault="006D269B" w:rsidP="002C1A58">
            <w:pPr>
              <w:pStyle w:val="TableText"/>
            </w:pPr>
          </w:p>
        </w:tc>
        <w:tc>
          <w:tcPr>
            <w:tcW w:w="1165" w:type="dxa"/>
          </w:tcPr>
          <w:p w14:paraId="70D579E9" w14:textId="2943E918" w:rsidR="006D269B" w:rsidRDefault="006D269B" w:rsidP="7D51821A">
            <w:pPr>
              <w:pStyle w:val="TableText"/>
            </w:pPr>
            <w:r>
              <w:t>0</w:t>
            </w:r>
          </w:p>
        </w:tc>
        <w:tc>
          <w:tcPr>
            <w:tcW w:w="1260" w:type="dxa"/>
          </w:tcPr>
          <w:p w14:paraId="70A5C9A8" w14:textId="2261671A" w:rsidR="006D269B" w:rsidRDefault="006D269B" w:rsidP="57F71D55">
            <w:pPr>
              <w:pStyle w:val="TableText"/>
            </w:pPr>
          </w:p>
        </w:tc>
        <w:tc>
          <w:tcPr>
            <w:tcW w:w="2250" w:type="dxa"/>
            <w:tcBorders>
              <w:top w:val="single" w:sz="4" w:space="0" w:color="auto"/>
              <w:left w:val="single" w:sz="12" w:space="0" w:color="auto"/>
              <w:bottom w:val="single" w:sz="4" w:space="0" w:color="auto"/>
              <w:right w:val="single" w:sz="12" w:space="0" w:color="auto"/>
            </w:tcBorders>
            <w:shd w:val="clear" w:color="auto" w:fill="auto"/>
          </w:tcPr>
          <w:p w14:paraId="721C2681" w14:textId="77777777" w:rsidR="006D269B" w:rsidRPr="00DE3E14" w:rsidRDefault="006D269B" w:rsidP="002C1A58">
            <w:pPr>
              <w:pStyle w:val="TableText"/>
              <w:rPr>
                <w:b/>
              </w:rPr>
            </w:pPr>
          </w:p>
        </w:tc>
      </w:tr>
      <w:tr w:rsidR="006D269B" w:rsidRPr="00DD2508" w14:paraId="73B474CE" w14:textId="77777777" w:rsidTr="006D269B">
        <w:trPr>
          <w:trHeight w:val="228"/>
          <w:jc w:val="center"/>
        </w:trPr>
        <w:tc>
          <w:tcPr>
            <w:tcW w:w="805" w:type="dxa"/>
          </w:tcPr>
          <w:p w14:paraId="7C0A1B20" w14:textId="1FFB1829" w:rsidR="006D269B" w:rsidRPr="00DE3E14" w:rsidRDefault="00537206" w:rsidP="002C1A58">
            <w:pPr>
              <w:pStyle w:val="TableText"/>
            </w:pPr>
            <w:r>
              <w:t>2016</w:t>
            </w:r>
          </w:p>
        </w:tc>
        <w:tc>
          <w:tcPr>
            <w:tcW w:w="900" w:type="dxa"/>
          </w:tcPr>
          <w:p w14:paraId="0A9A176E" w14:textId="30AB211A" w:rsidR="006D269B" w:rsidRPr="00DE3E14" w:rsidRDefault="00537206" w:rsidP="002C1A58">
            <w:pPr>
              <w:pStyle w:val="TableText"/>
            </w:pPr>
            <w:r>
              <w:t>2019-20</w:t>
            </w:r>
          </w:p>
        </w:tc>
        <w:tc>
          <w:tcPr>
            <w:tcW w:w="905" w:type="dxa"/>
          </w:tcPr>
          <w:p w14:paraId="2ABFA758" w14:textId="6EA6A879" w:rsidR="006D269B" w:rsidRPr="00DE3E14" w:rsidRDefault="006D269B" w:rsidP="002C1A58">
            <w:pPr>
              <w:pStyle w:val="TableText"/>
            </w:pPr>
          </w:p>
        </w:tc>
        <w:tc>
          <w:tcPr>
            <w:tcW w:w="1165" w:type="dxa"/>
          </w:tcPr>
          <w:p w14:paraId="6E0C45CB" w14:textId="03E25035" w:rsidR="006D269B" w:rsidRDefault="006D269B" w:rsidP="7D51821A">
            <w:pPr>
              <w:pStyle w:val="TableText"/>
            </w:pPr>
            <w:r>
              <w:t>0</w:t>
            </w:r>
          </w:p>
        </w:tc>
        <w:tc>
          <w:tcPr>
            <w:tcW w:w="1260" w:type="dxa"/>
          </w:tcPr>
          <w:p w14:paraId="4671EA06" w14:textId="21C23303" w:rsidR="006D269B" w:rsidRDefault="006D269B" w:rsidP="57F71D55">
            <w:pPr>
              <w:pStyle w:val="TableText"/>
            </w:pPr>
          </w:p>
        </w:tc>
        <w:tc>
          <w:tcPr>
            <w:tcW w:w="2250" w:type="dxa"/>
            <w:tcBorders>
              <w:top w:val="single" w:sz="4" w:space="0" w:color="auto"/>
              <w:left w:val="single" w:sz="12" w:space="0" w:color="auto"/>
              <w:bottom w:val="single" w:sz="4" w:space="0" w:color="auto"/>
              <w:right w:val="single" w:sz="12" w:space="0" w:color="auto"/>
            </w:tcBorders>
            <w:shd w:val="clear" w:color="auto" w:fill="auto"/>
          </w:tcPr>
          <w:p w14:paraId="1583933E" w14:textId="77777777" w:rsidR="006D269B" w:rsidRPr="00DE3E14" w:rsidRDefault="006D269B" w:rsidP="002C1A58">
            <w:pPr>
              <w:pStyle w:val="TableText"/>
            </w:pPr>
          </w:p>
        </w:tc>
      </w:tr>
      <w:tr w:rsidR="006D269B" w:rsidRPr="00DD2508" w14:paraId="30189052" w14:textId="77777777" w:rsidTr="006D269B">
        <w:trPr>
          <w:trHeight w:val="260"/>
          <w:jc w:val="center"/>
        </w:trPr>
        <w:tc>
          <w:tcPr>
            <w:tcW w:w="805" w:type="dxa"/>
          </w:tcPr>
          <w:p w14:paraId="6CF20762" w14:textId="72882C21" w:rsidR="006D269B" w:rsidRPr="00DE3E14" w:rsidRDefault="00537206" w:rsidP="002C1A58">
            <w:pPr>
              <w:pStyle w:val="TableText"/>
            </w:pPr>
            <w:r>
              <w:t>2017</w:t>
            </w:r>
          </w:p>
        </w:tc>
        <w:tc>
          <w:tcPr>
            <w:tcW w:w="900" w:type="dxa"/>
          </w:tcPr>
          <w:p w14:paraId="0AD66346" w14:textId="1F866208" w:rsidR="006D269B" w:rsidRPr="00DE3E14" w:rsidRDefault="00537206" w:rsidP="57F71D55">
            <w:pPr>
              <w:pStyle w:val="TableText"/>
              <w:rPr>
                <w:rStyle w:val="FootnoteReference"/>
              </w:rPr>
            </w:pPr>
            <w:r>
              <w:t>2020-21</w:t>
            </w:r>
          </w:p>
        </w:tc>
        <w:tc>
          <w:tcPr>
            <w:tcW w:w="905" w:type="dxa"/>
            <w:tcBorders>
              <w:bottom w:val="single" w:sz="4" w:space="0" w:color="auto"/>
            </w:tcBorders>
          </w:tcPr>
          <w:p w14:paraId="1C1220E2" w14:textId="3B089BBF" w:rsidR="006D269B" w:rsidRPr="00DE3E14" w:rsidRDefault="00F82A7F" w:rsidP="002C1A58">
            <w:pPr>
              <w:pStyle w:val="TableText"/>
            </w:pPr>
            <w:r>
              <w:t>25</w:t>
            </w:r>
          </w:p>
        </w:tc>
        <w:tc>
          <w:tcPr>
            <w:tcW w:w="1165" w:type="dxa"/>
            <w:tcBorders>
              <w:bottom w:val="single" w:sz="4" w:space="0" w:color="auto"/>
            </w:tcBorders>
          </w:tcPr>
          <w:p w14:paraId="2E5BAB19" w14:textId="2B2A3650" w:rsidR="006D269B" w:rsidRDefault="008A58BC" w:rsidP="7D51821A">
            <w:pPr>
              <w:pStyle w:val="TableText"/>
            </w:pPr>
            <w:r>
              <w:t>3</w:t>
            </w:r>
          </w:p>
        </w:tc>
        <w:tc>
          <w:tcPr>
            <w:tcW w:w="1260" w:type="dxa"/>
            <w:tcBorders>
              <w:bottom w:val="single" w:sz="4" w:space="0" w:color="auto"/>
            </w:tcBorders>
          </w:tcPr>
          <w:p w14:paraId="08F3C281" w14:textId="463065F4" w:rsidR="006D269B" w:rsidRDefault="008A58BC" w:rsidP="57F71D55">
            <w:pPr>
              <w:pStyle w:val="TableText"/>
            </w:pPr>
            <w:r>
              <w:t>10</w:t>
            </w:r>
          </w:p>
        </w:tc>
        <w:tc>
          <w:tcPr>
            <w:tcW w:w="2250" w:type="dxa"/>
            <w:tcBorders>
              <w:top w:val="single" w:sz="4" w:space="0" w:color="auto"/>
              <w:left w:val="single" w:sz="12" w:space="0" w:color="auto"/>
              <w:bottom w:val="single" w:sz="12" w:space="0" w:color="auto"/>
              <w:right w:val="single" w:sz="12" w:space="0" w:color="auto"/>
            </w:tcBorders>
            <w:shd w:val="clear" w:color="auto" w:fill="auto"/>
          </w:tcPr>
          <w:p w14:paraId="7E842F53" w14:textId="54ECF98F" w:rsidR="006D269B" w:rsidRPr="00DE3E14" w:rsidRDefault="005714F1" w:rsidP="002C1A58">
            <w:pPr>
              <w:pStyle w:val="TableText"/>
            </w:pPr>
            <w:r>
              <w:t>45</w:t>
            </w:r>
            <w:r w:rsidR="00F82A7F">
              <w:t>%</w:t>
            </w:r>
          </w:p>
        </w:tc>
      </w:tr>
    </w:tbl>
    <w:p w14:paraId="347C7AF0" w14:textId="242D96D7" w:rsidR="00056BFE" w:rsidRDefault="00056BFE" w:rsidP="00056BFE">
      <w:pPr>
        <w:jc w:val="center"/>
        <w:rPr>
          <w:rFonts w:ascii="Calibri" w:hAnsi="Calibri"/>
          <w:b/>
          <w:szCs w:val="23"/>
        </w:rPr>
      </w:pPr>
    </w:p>
    <w:p w14:paraId="04008695" w14:textId="77777777" w:rsidR="00962792" w:rsidRDefault="00962792" w:rsidP="00056BFE">
      <w:pPr>
        <w:jc w:val="center"/>
        <w:rPr>
          <w:rFonts w:ascii="Calibri" w:hAnsi="Calibri"/>
          <w:b/>
          <w:szCs w:val="23"/>
        </w:rPr>
      </w:pPr>
    </w:p>
    <w:p w14:paraId="268510BF" w14:textId="13BE6CBA" w:rsidR="00056BFE" w:rsidRPr="00DD2508" w:rsidRDefault="00271411" w:rsidP="00056BFE">
      <w:pPr>
        <w:pStyle w:val="TableHeader"/>
      </w:pPr>
      <w:r>
        <w:t xml:space="preserve">Percent Achieving at Least Level 4 </w:t>
      </w:r>
      <w:r w:rsidR="00056BFE" w:rsidRPr="00DD2508">
        <w:t>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27"/>
        <w:gridCol w:w="855"/>
        <w:gridCol w:w="990"/>
        <w:gridCol w:w="990"/>
        <w:gridCol w:w="1074"/>
        <w:gridCol w:w="1012"/>
      </w:tblGrid>
      <w:tr w:rsidR="00056BFE" w:rsidRPr="00DD2508" w14:paraId="60A0C150" w14:textId="77777777" w:rsidTr="57F71D55">
        <w:trPr>
          <w:jc w:val="center"/>
        </w:trPr>
        <w:tc>
          <w:tcPr>
            <w:tcW w:w="1184" w:type="dxa"/>
            <w:vMerge w:val="restart"/>
            <w:vAlign w:val="center"/>
          </w:tcPr>
          <w:p w14:paraId="59E034C5" w14:textId="77777777" w:rsidR="00056BFE" w:rsidRPr="00DE3E14" w:rsidRDefault="00056BFE" w:rsidP="002C1A58">
            <w:pPr>
              <w:pStyle w:val="TableText"/>
            </w:pPr>
            <w:r w:rsidRPr="00DE3E14">
              <w:t>Cohort Designation</w:t>
            </w:r>
          </w:p>
        </w:tc>
        <w:tc>
          <w:tcPr>
            <w:tcW w:w="1982" w:type="dxa"/>
            <w:gridSpan w:val="2"/>
          </w:tcPr>
          <w:p w14:paraId="09554B0D" w14:textId="7C277D64" w:rsidR="00056BFE" w:rsidRPr="00DE3E14" w:rsidRDefault="00056BFE" w:rsidP="57F71D55">
            <w:pPr>
              <w:pStyle w:val="TableText"/>
            </w:pPr>
            <w:r>
              <w:t>201</w:t>
            </w:r>
            <w:r w:rsidR="00537206">
              <w:t>8</w:t>
            </w:r>
            <w:r>
              <w:t>-1</w:t>
            </w:r>
            <w:r w:rsidR="00537206">
              <w:t>9</w:t>
            </w:r>
          </w:p>
        </w:tc>
        <w:tc>
          <w:tcPr>
            <w:tcW w:w="1980" w:type="dxa"/>
            <w:gridSpan w:val="2"/>
          </w:tcPr>
          <w:p w14:paraId="282CF143" w14:textId="188C59AB" w:rsidR="00056BFE" w:rsidRPr="00DE3E14" w:rsidRDefault="00056BFE" w:rsidP="57F71D55">
            <w:pPr>
              <w:pStyle w:val="TableText"/>
            </w:pPr>
            <w:r>
              <w:t>201</w:t>
            </w:r>
            <w:r w:rsidR="00537206">
              <w:t>9-20</w:t>
            </w:r>
          </w:p>
        </w:tc>
        <w:tc>
          <w:tcPr>
            <w:tcW w:w="2086" w:type="dxa"/>
            <w:gridSpan w:val="2"/>
          </w:tcPr>
          <w:p w14:paraId="5F307260" w14:textId="51FFFAE9" w:rsidR="00056BFE" w:rsidRPr="00DE3E14" w:rsidRDefault="00537206" w:rsidP="57F71D55">
            <w:pPr>
              <w:pStyle w:val="TableText"/>
            </w:pPr>
            <w:r>
              <w:t>2020</w:t>
            </w:r>
            <w:r w:rsidR="00056BFE">
              <w:t>-</w:t>
            </w:r>
            <w:r>
              <w:t>21</w:t>
            </w:r>
          </w:p>
        </w:tc>
      </w:tr>
      <w:tr w:rsidR="00056BFE" w:rsidRPr="00DD2508" w14:paraId="272FAFBF" w14:textId="77777777" w:rsidTr="57F71D55">
        <w:trPr>
          <w:jc w:val="center"/>
        </w:trPr>
        <w:tc>
          <w:tcPr>
            <w:tcW w:w="1184" w:type="dxa"/>
            <w:vMerge/>
          </w:tcPr>
          <w:p w14:paraId="1224FE3F" w14:textId="77777777" w:rsidR="00056BFE" w:rsidRPr="00DE3E14" w:rsidRDefault="00056BFE" w:rsidP="002C1A58">
            <w:pPr>
              <w:pStyle w:val="TableText"/>
            </w:pPr>
          </w:p>
        </w:tc>
        <w:tc>
          <w:tcPr>
            <w:tcW w:w="1127" w:type="dxa"/>
            <w:tcBorders>
              <w:bottom w:val="single" w:sz="12" w:space="0" w:color="auto"/>
            </w:tcBorders>
          </w:tcPr>
          <w:p w14:paraId="303A64BE" w14:textId="77777777" w:rsidR="00056BFE" w:rsidRPr="00DE3E14" w:rsidRDefault="00056BFE" w:rsidP="002C1A58">
            <w:pPr>
              <w:pStyle w:val="TableText"/>
            </w:pPr>
            <w:r w:rsidRPr="00DE3E14">
              <w:t>Number in Cohort</w:t>
            </w:r>
          </w:p>
        </w:tc>
        <w:tc>
          <w:tcPr>
            <w:tcW w:w="855" w:type="dxa"/>
            <w:tcBorders>
              <w:bottom w:val="single" w:sz="12" w:space="0" w:color="auto"/>
            </w:tcBorders>
          </w:tcPr>
          <w:p w14:paraId="4B37AD28" w14:textId="6DEEC37B" w:rsidR="00056BFE" w:rsidRPr="00DE3E14" w:rsidRDefault="00056BFE">
            <w:pPr>
              <w:pStyle w:val="TableText"/>
            </w:pPr>
            <w:r w:rsidRPr="00DE3E14">
              <w:t xml:space="preserve">Percent </w:t>
            </w:r>
            <w:r w:rsidR="00271411">
              <w:t>Level 4</w:t>
            </w:r>
          </w:p>
        </w:tc>
        <w:tc>
          <w:tcPr>
            <w:tcW w:w="990" w:type="dxa"/>
          </w:tcPr>
          <w:p w14:paraId="31FAB318" w14:textId="77777777" w:rsidR="00056BFE" w:rsidRPr="00DE3E14" w:rsidRDefault="00056BFE" w:rsidP="002C1A58">
            <w:pPr>
              <w:pStyle w:val="TableText"/>
            </w:pPr>
            <w:r w:rsidRPr="00DE3E14">
              <w:t>Number in Cohort</w:t>
            </w:r>
          </w:p>
        </w:tc>
        <w:tc>
          <w:tcPr>
            <w:tcW w:w="990" w:type="dxa"/>
            <w:tcBorders>
              <w:bottom w:val="single" w:sz="8" w:space="0" w:color="auto"/>
            </w:tcBorders>
          </w:tcPr>
          <w:p w14:paraId="79B57835" w14:textId="7BCE480E" w:rsidR="00056BFE" w:rsidRPr="00DE3E14" w:rsidRDefault="00056BFE">
            <w:pPr>
              <w:pStyle w:val="TableText"/>
            </w:pPr>
            <w:r w:rsidRPr="00DE3E14">
              <w:t xml:space="preserve">Percent </w:t>
            </w:r>
            <w:r w:rsidR="00271411">
              <w:t>Level 4</w:t>
            </w:r>
          </w:p>
        </w:tc>
        <w:tc>
          <w:tcPr>
            <w:tcW w:w="1074" w:type="dxa"/>
            <w:tcBorders>
              <w:bottom w:val="single" w:sz="8" w:space="0" w:color="auto"/>
            </w:tcBorders>
          </w:tcPr>
          <w:p w14:paraId="41D176F3" w14:textId="77777777" w:rsidR="00056BFE" w:rsidRPr="00DE3E14" w:rsidRDefault="00056BFE" w:rsidP="002C1A58">
            <w:pPr>
              <w:pStyle w:val="TableText"/>
            </w:pPr>
            <w:r w:rsidRPr="00DE3E14">
              <w:t>Number in Cohort</w:t>
            </w:r>
          </w:p>
        </w:tc>
        <w:tc>
          <w:tcPr>
            <w:tcW w:w="1012" w:type="dxa"/>
            <w:tcBorders>
              <w:bottom w:val="single" w:sz="8" w:space="0" w:color="auto"/>
            </w:tcBorders>
          </w:tcPr>
          <w:p w14:paraId="1BCD1F1F" w14:textId="33AF4363" w:rsidR="00056BFE" w:rsidRPr="00DE3E14" w:rsidRDefault="00056BFE">
            <w:pPr>
              <w:pStyle w:val="TableText"/>
            </w:pPr>
            <w:r w:rsidRPr="00DE3E14">
              <w:t xml:space="preserve">Percent </w:t>
            </w:r>
            <w:r w:rsidR="00271411">
              <w:t>Level 4</w:t>
            </w:r>
          </w:p>
        </w:tc>
      </w:tr>
      <w:tr w:rsidR="00F82A7F" w:rsidRPr="00DD2508" w14:paraId="359A3A75" w14:textId="77777777" w:rsidTr="00600302">
        <w:trPr>
          <w:jc w:val="center"/>
        </w:trPr>
        <w:tc>
          <w:tcPr>
            <w:tcW w:w="1184" w:type="dxa"/>
          </w:tcPr>
          <w:p w14:paraId="6B75F0CD" w14:textId="0AB6FE5D" w:rsidR="00F82A7F" w:rsidRPr="00DE3E14" w:rsidRDefault="00F82A7F" w:rsidP="00F82A7F">
            <w:pPr>
              <w:pStyle w:val="TableText"/>
            </w:pPr>
            <w:r>
              <w:t>2017</w:t>
            </w:r>
          </w:p>
        </w:tc>
        <w:tc>
          <w:tcPr>
            <w:tcW w:w="1127" w:type="dxa"/>
          </w:tcPr>
          <w:p w14:paraId="26A3CE14" w14:textId="76332A71" w:rsidR="00F82A7F" w:rsidRPr="00DE3E14" w:rsidRDefault="00F82A7F" w:rsidP="00F82A7F">
            <w:pPr>
              <w:pStyle w:val="TableText"/>
            </w:pPr>
            <w:r>
              <w:t>22</w:t>
            </w:r>
          </w:p>
        </w:tc>
        <w:tc>
          <w:tcPr>
            <w:tcW w:w="855" w:type="dxa"/>
          </w:tcPr>
          <w:p w14:paraId="7525946D" w14:textId="23F02BC9" w:rsidR="00F82A7F" w:rsidRPr="00DE3E14" w:rsidRDefault="00F82A7F" w:rsidP="00F82A7F">
            <w:pPr>
              <w:pStyle w:val="TableText"/>
            </w:pPr>
            <w:r>
              <w:t>27%</w:t>
            </w:r>
          </w:p>
        </w:tc>
        <w:tc>
          <w:tcPr>
            <w:tcW w:w="990" w:type="dxa"/>
            <w:tcBorders>
              <w:top w:val="single" w:sz="12" w:space="0" w:color="auto"/>
              <w:bottom w:val="single" w:sz="4" w:space="0" w:color="auto"/>
              <w:right w:val="single" w:sz="8" w:space="0" w:color="auto"/>
            </w:tcBorders>
            <w:shd w:val="clear" w:color="auto" w:fill="auto"/>
          </w:tcPr>
          <w:p w14:paraId="3DBC1E85" w14:textId="4FCC85E0" w:rsidR="00F82A7F" w:rsidRPr="00DE3E14" w:rsidRDefault="00F82A7F" w:rsidP="00F82A7F">
            <w:pPr>
              <w:pStyle w:val="TableText"/>
            </w:pPr>
            <w:r>
              <w:t>24</w:t>
            </w: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74EBB725" w14:textId="7438C3A1" w:rsidR="00F82A7F" w:rsidRPr="00DE3E14" w:rsidRDefault="00F82A7F" w:rsidP="00F82A7F">
            <w:pPr>
              <w:pStyle w:val="TableText"/>
            </w:pPr>
            <w:r>
              <w:t>N/A</w:t>
            </w: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11DDF6B0" w14:textId="50083398" w:rsidR="00F82A7F" w:rsidRPr="00DE3E14" w:rsidRDefault="009B324B" w:rsidP="00F82A7F">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0B4D7550" w14:textId="389E439A" w:rsidR="009B324B" w:rsidRPr="00DE3E14" w:rsidRDefault="009B324B" w:rsidP="009B324B">
            <w:pPr>
              <w:pStyle w:val="TableText"/>
            </w:pPr>
            <w:r>
              <w:t>4</w:t>
            </w:r>
            <w:r w:rsidR="005714F1">
              <w:t>5</w:t>
            </w:r>
            <w:r>
              <w:t>%</w:t>
            </w:r>
          </w:p>
        </w:tc>
      </w:tr>
      <w:tr w:rsidR="00F82A7F" w:rsidRPr="00DD2508" w14:paraId="7FF92E27" w14:textId="77777777" w:rsidTr="00600302">
        <w:trPr>
          <w:jc w:val="center"/>
        </w:trPr>
        <w:tc>
          <w:tcPr>
            <w:tcW w:w="1184" w:type="dxa"/>
          </w:tcPr>
          <w:p w14:paraId="78C15D69" w14:textId="70009FF9" w:rsidR="00F82A7F" w:rsidRPr="00DE3E14" w:rsidRDefault="00F82A7F" w:rsidP="00F82A7F">
            <w:pPr>
              <w:pStyle w:val="TableText"/>
            </w:pPr>
            <w:r>
              <w:t>2018</w:t>
            </w:r>
          </w:p>
        </w:tc>
        <w:tc>
          <w:tcPr>
            <w:tcW w:w="1127" w:type="dxa"/>
          </w:tcPr>
          <w:p w14:paraId="2D298D37" w14:textId="40B5EED9" w:rsidR="00F82A7F" w:rsidRPr="00DE3E14" w:rsidRDefault="00F82A7F" w:rsidP="00F82A7F">
            <w:pPr>
              <w:pStyle w:val="TableText"/>
            </w:pPr>
            <w:r>
              <w:t>36</w:t>
            </w:r>
          </w:p>
        </w:tc>
        <w:tc>
          <w:tcPr>
            <w:tcW w:w="855" w:type="dxa"/>
          </w:tcPr>
          <w:p w14:paraId="2E1B4B6D" w14:textId="1E98E24F" w:rsidR="00F82A7F" w:rsidRPr="00DE3E14" w:rsidRDefault="00F82A7F" w:rsidP="00F82A7F">
            <w:pPr>
              <w:pStyle w:val="TableText"/>
            </w:pPr>
            <w:r>
              <w:t>31%</w:t>
            </w:r>
          </w:p>
        </w:tc>
        <w:tc>
          <w:tcPr>
            <w:tcW w:w="990" w:type="dxa"/>
            <w:tcBorders>
              <w:bottom w:val="single" w:sz="4" w:space="0" w:color="auto"/>
              <w:right w:val="single" w:sz="8" w:space="0" w:color="auto"/>
            </w:tcBorders>
            <w:shd w:val="clear" w:color="auto" w:fill="auto"/>
          </w:tcPr>
          <w:p w14:paraId="68296345" w14:textId="6A2EC49E" w:rsidR="00F82A7F" w:rsidRPr="00DE3E14" w:rsidRDefault="00F82A7F" w:rsidP="00F82A7F">
            <w:pPr>
              <w:pStyle w:val="TableText"/>
            </w:pPr>
            <w:r>
              <w:t>30</w:t>
            </w: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16D243A2" w14:textId="1F39CC06" w:rsidR="00F82A7F" w:rsidRPr="00DE3E14" w:rsidRDefault="00F82A7F" w:rsidP="00F82A7F">
            <w:pPr>
              <w:pStyle w:val="TableText"/>
            </w:pPr>
            <w:r>
              <w:t>30%</w:t>
            </w: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1B79511B" w14:textId="225FC7D1" w:rsidR="00F82A7F" w:rsidRPr="00DE3E14" w:rsidRDefault="00E515AF" w:rsidP="00F82A7F">
            <w:pPr>
              <w:pStyle w:val="TableText"/>
            </w:pPr>
            <w:r>
              <w:t>30</w:t>
            </w: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18293594" w14:textId="7DC342DB" w:rsidR="00F82A7F" w:rsidRPr="00DE3E14" w:rsidRDefault="001D192E" w:rsidP="00F82A7F">
            <w:pPr>
              <w:pStyle w:val="TableText"/>
            </w:pPr>
            <w:r>
              <w:t>41</w:t>
            </w:r>
            <w:r w:rsidR="009B324B">
              <w:t>%</w:t>
            </w:r>
          </w:p>
        </w:tc>
      </w:tr>
      <w:tr w:rsidR="00F82A7F" w:rsidRPr="00DD2508" w14:paraId="24F3176D" w14:textId="77777777" w:rsidTr="00600302">
        <w:trPr>
          <w:jc w:val="center"/>
        </w:trPr>
        <w:tc>
          <w:tcPr>
            <w:tcW w:w="1184" w:type="dxa"/>
          </w:tcPr>
          <w:p w14:paraId="156C81A3" w14:textId="3676C5FF" w:rsidR="00F82A7F" w:rsidRPr="00DE3E14" w:rsidRDefault="00F82A7F" w:rsidP="00F82A7F">
            <w:pPr>
              <w:pStyle w:val="TableText"/>
            </w:pPr>
            <w:r>
              <w:t>2019</w:t>
            </w:r>
          </w:p>
        </w:tc>
        <w:tc>
          <w:tcPr>
            <w:tcW w:w="1127" w:type="dxa"/>
            <w:shd w:val="clear" w:color="auto" w:fill="B3B3B3"/>
          </w:tcPr>
          <w:p w14:paraId="7EB5FA3E" w14:textId="77777777" w:rsidR="00F82A7F" w:rsidRPr="00DE3E14" w:rsidRDefault="00F82A7F" w:rsidP="00F82A7F">
            <w:pPr>
              <w:pStyle w:val="TableText"/>
            </w:pPr>
          </w:p>
        </w:tc>
        <w:tc>
          <w:tcPr>
            <w:tcW w:w="855" w:type="dxa"/>
            <w:shd w:val="clear" w:color="auto" w:fill="B3B3B3"/>
          </w:tcPr>
          <w:p w14:paraId="264E06EC" w14:textId="77777777" w:rsidR="00F82A7F" w:rsidRPr="00DE3E14" w:rsidRDefault="00F82A7F" w:rsidP="00F82A7F">
            <w:pPr>
              <w:pStyle w:val="TableText"/>
            </w:pPr>
          </w:p>
        </w:tc>
        <w:tc>
          <w:tcPr>
            <w:tcW w:w="990" w:type="dxa"/>
            <w:tcBorders>
              <w:top w:val="single" w:sz="4" w:space="0" w:color="auto"/>
              <w:bottom w:val="single" w:sz="4" w:space="0" w:color="auto"/>
              <w:right w:val="single" w:sz="4" w:space="0" w:color="auto"/>
            </w:tcBorders>
            <w:shd w:val="clear" w:color="auto" w:fill="auto"/>
          </w:tcPr>
          <w:p w14:paraId="1A6C62E1" w14:textId="0754C7DE" w:rsidR="00F82A7F" w:rsidRPr="00DE3E14" w:rsidRDefault="00F82A7F" w:rsidP="00F82A7F">
            <w:pPr>
              <w:pStyle w:val="TableText"/>
            </w:pPr>
            <w:r>
              <w:t>51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B1A0EBB" w14:textId="2A8A4C76" w:rsidR="00F82A7F" w:rsidRPr="00DE3E14" w:rsidRDefault="001D192E" w:rsidP="00F82A7F">
            <w:pPr>
              <w:pStyle w:val="TableText"/>
            </w:pPr>
            <w:r>
              <w:t>N/A</w:t>
            </w: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41B3F03A" w14:textId="1AB6C69A" w:rsidR="00F82A7F" w:rsidRPr="00DE3E14" w:rsidRDefault="001D192E" w:rsidP="00F82A7F">
            <w:pPr>
              <w:pStyle w:val="TableText"/>
            </w:pPr>
            <w:r>
              <w:t>52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2F13C82C" w14:textId="6897DB73" w:rsidR="00F82A7F" w:rsidRPr="00DE3E14" w:rsidRDefault="001D192E" w:rsidP="00F82A7F">
            <w:pPr>
              <w:pStyle w:val="TableText"/>
            </w:pPr>
            <w:r>
              <w:t>N/A</w:t>
            </w:r>
          </w:p>
        </w:tc>
      </w:tr>
      <w:tr w:rsidR="009B324B" w:rsidRPr="00DD2508" w14:paraId="44765098" w14:textId="77777777" w:rsidTr="00600302">
        <w:trPr>
          <w:jc w:val="center"/>
        </w:trPr>
        <w:tc>
          <w:tcPr>
            <w:tcW w:w="1184" w:type="dxa"/>
          </w:tcPr>
          <w:p w14:paraId="1CD68977" w14:textId="6C2390BB" w:rsidR="009B324B" w:rsidRPr="00DE3E14" w:rsidRDefault="009B324B" w:rsidP="009B324B">
            <w:pPr>
              <w:pStyle w:val="TableText"/>
            </w:pPr>
            <w:r>
              <w:t>2020</w:t>
            </w:r>
          </w:p>
        </w:tc>
        <w:tc>
          <w:tcPr>
            <w:tcW w:w="1127" w:type="dxa"/>
            <w:shd w:val="clear" w:color="auto" w:fill="B3B3B3"/>
          </w:tcPr>
          <w:p w14:paraId="6D645E0A" w14:textId="77777777" w:rsidR="009B324B" w:rsidRPr="00DE3E14" w:rsidRDefault="009B324B" w:rsidP="009B324B">
            <w:pPr>
              <w:pStyle w:val="TableText"/>
            </w:pPr>
          </w:p>
        </w:tc>
        <w:tc>
          <w:tcPr>
            <w:tcW w:w="855" w:type="dxa"/>
            <w:shd w:val="clear" w:color="auto" w:fill="B3B3B3"/>
          </w:tcPr>
          <w:p w14:paraId="3E788E3C" w14:textId="77777777" w:rsidR="009B324B" w:rsidRPr="00DE3E14" w:rsidRDefault="009B324B" w:rsidP="009B324B">
            <w:pPr>
              <w:pStyle w:val="TableText"/>
            </w:pPr>
          </w:p>
        </w:tc>
        <w:tc>
          <w:tcPr>
            <w:tcW w:w="990" w:type="dxa"/>
            <w:tcBorders>
              <w:top w:val="single" w:sz="4" w:space="0" w:color="auto"/>
              <w:bottom w:val="single" w:sz="4" w:space="0" w:color="auto"/>
              <w:right w:val="single" w:sz="4" w:space="0" w:color="auto"/>
            </w:tcBorders>
            <w:shd w:val="clear" w:color="auto" w:fill="B3B3B3"/>
          </w:tcPr>
          <w:p w14:paraId="31F55D27" w14:textId="77777777" w:rsidR="009B324B" w:rsidRPr="00DE3E14" w:rsidRDefault="009B324B" w:rsidP="009B324B">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2D037457" w14:textId="77777777" w:rsidR="009B324B" w:rsidRPr="00DE3E14" w:rsidRDefault="009B324B" w:rsidP="009B324B">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7892F8E8" w14:textId="6EECEBC4" w:rsidR="009B324B" w:rsidRPr="00DE3E14" w:rsidRDefault="001D192E" w:rsidP="009B324B">
            <w:pPr>
              <w:pStyle w:val="TableText"/>
            </w:pPr>
            <w:r>
              <w:t>60</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3963CB2D" w14:textId="308A0FDD" w:rsidR="009B324B" w:rsidRPr="00DE3E14" w:rsidRDefault="00C45315" w:rsidP="009B324B">
            <w:pPr>
              <w:pStyle w:val="TableText"/>
            </w:pPr>
            <w:r>
              <w:t>N/A</w:t>
            </w:r>
          </w:p>
        </w:tc>
      </w:tr>
    </w:tbl>
    <w:p w14:paraId="09FEA97E" w14:textId="711F3BCA" w:rsidR="00056BFE" w:rsidRDefault="00056BFE" w:rsidP="00056BFE">
      <w:pPr>
        <w:rPr>
          <w:rFonts w:ascii="Calibri" w:hAnsi="Calibri"/>
          <w:b/>
          <w:szCs w:val="23"/>
        </w:rPr>
      </w:pPr>
    </w:p>
    <w:p w14:paraId="20846553" w14:textId="264D7A18" w:rsidR="00015E34" w:rsidRPr="00DC7695" w:rsidRDefault="00872B74" w:rsidP="00015E34">
      <w:pPr>
        <w:pStyle w:val="MeasureTitle"/>
      </w:pPr>
      <w:r>
        <w:t>Goal 3</w:t>
      </w:r>
      <w:r w:rsidR="00015E34" w:rsidRPr="00DD2508">
        <w:t>: Absolute Measure</w:t>
      </w:r>
    </w:p>
    <w:p w14:paraId="122FF7FF" w14:textId="7AF6F171" w:rsidR="00015E34" w:rsidRDefault="00015E34" w:rsidP="00015E34">
      <w:pPr>
        <w:pStyle w:val="MeasureText"/>
      </w:pPr>
      <w:r>
        <w:t>Each year, 80</w:t>
      </w:r>
      <w:r w:rsidRPr="001077F3">
        <w:t xml:space="preserve"> percent of students in the high school Accountability Cohort will </w:t>
      </w:r>
      <w:r>
        <w:t>at least partially meet Common Core expectations</w:t>
      </w:r>
      <w:r w:rsidRPr="001077F3">
        <w:t xml:space="preserve"> (currently scoring </w:t>
      </w:r>
      <w:r>
        <w:t>at or above Performance Level 3 on the Regents Exam in English Language Arts (Common Core)</w:t>
      </w:r>
      <w:r w:rsidRPr="001077F3">
        <w:t>) by the completion of their fourth year in the cohort.</w:t>
      </w:r>
    </w:p>
    <w:p w14:paraId="5549B91E" w14:textId="68A778A4" w:rsidR="00015E34" w:rsidRPr="00DD2508" w:rsidRDefault="00015E34" w:rsidP="00015E34">
      <w:pPr>
        <w:pStyle w:val="Heading2"/>
      </w:pPr>
      <w:r w:rsidRPr="00DD2508">
        <w:lastRenderedPageBreak/>
        <w:t>Method</w:t>
      </w:r>
    </w:p>
    <w:p w14:paraId="084F98AE" w14:textId="01BF6F4E" w:rsidR="00015E34" w:rsidRDefault="00015E34" w:rsidP="00015E34">
      <w:r>
        <w:t xml:space="preserve">The school administered </w:t>
      </w:r>
      <w:r w:rsidR="00F11EB3">
        <w:t>the</w:t>
      </w:r>
      <w:r>
        <w:t xml:space="preserve"> Regents English exam that students must pass to graduate.  The school scores Regents on a scale from 0 to 100.  The State Education Department currently defines </w:t>
      </w:r>
      <w:r w:rsidR="00BD29C2">
        <w:t>the cut off for passing</w:t>
      </w:r>
      <w:r>
        <w:t xml:space="preserve"> </w:t>
      </w:r>
      <w:r w:rsidR="00BD29C2">
        <w:t xml:space="preserve">and meeting the requirement for graduation </w:t>
      </w:r>
      <w:r>
        <w:t>as scoring at or above Performance Lev</w:t>
      </w:r>
      <w:r w:rsidR="00BD29C2">
        <w:t>el 3</w:t>
      </w:r>
      <w:r>
        <w:t xml:space="preserve"> (</w:t>
      </w:r>
      <w:r w:rsidR="00BD29C2">
        <w:t xml:space="preserve">partially </w:t>
      </w:r>
      <w:r>
        <w:t>meeting Common Core expectations) on the Regents Exam in English Language Arts (Common Core).  This measure examines the percent of the Accountability Cohort that achie</w:t>
      </w:r>
      <w:r w:rsidR="00BD29C2">
        <w:t>ved at least Performance Level 3</w:t>
      </w:r>
      <w:r>
        <w:t xml:space="preserve"> by the completion of their fourth year in the cohort.  </w:t>
      </w:r>
    </w:p>
    <w:p w14:paraId="51513E25" w14:textId="77777777" w:rsidR="00537206" w:rsidRDefault="00537206" w:rsidP="00537206">
      <w:pPr>
        <w:rPr>
          <w:b/>
          <w:bCs/>
        </w:rPr>
      </w:pPr>
      <w:r w:rsidRPr="57F71D55">
        <w:rPr>
          <w:b/>
          <w:bCs/>
        </w:rPr>
        <w:t>Due to the state’s cance</w:t>
      </w:r>
      <w:r>
        <w:rPr>
          <w:b/>
          <w:bCs/>
        </w:rPr>
        <w:t xml:space="preserve">llation of multiple </w:t>
      </w:r>
      <w:r w:rsidRPr="57F71D55">
        <w:rPr>
          <w:b/>
          <w:bCs/>
        </w:rPr>
        <w:t>administrations of the Regents</w:t>
      </w:r>
      <w:r>
        <w:rPr>
          <w:b/>
          <w:bCs/>
        </w:rPr>
        <w:t xml:space="preserve"> exams in 2019-20 and 2020-21</w:t>
      </w:r>
      <w:r w:rsidRPr="57F71D55">
        <w:rPr>
          <w:b/>
          <w:bCs/>
        </w:rPr>
        <w:t>, some students in the 20</w:t>
      </w:r>
      <w:r>
        <w:rPr>
          <w:b/>
          <w:bCs/>
        </w:rPr>
        <w:t>17</w:t>
      </w:r>
      <w:r w:rsidRPr="57F71D55">
        <w:rPr>
          <w:b/>
          <w:bCs/>
        </w:rPr>
        <w:t xml:space="preserve"> Cohort who had not previously sat for the exam but were sc</w:t>
      </w:r>
      <w:r>
        <w:rPr>
          <w:b/>
          <w:bCs/>
        </w:rPr>
        <w:t xml:space="preserve">heduled to sit for this exam during a cancellation </w:t>
      </w:r>
      <w:r w:rsidRPr="57F71D55">
        <w:rPr>
          <w:b/>
          <w:bCs/>
        </w:rPr>
        <w:t>would be exempted from the graduation requirement.  As such, the school should report both the number of students who were exempted from the exam as well as the percentage of students achieving at least Level 3 among the students who sat for the exam.</w:t>
      </w:r>
    </w:p>
    <w:p w14:paraId="70A10A73" w14:textId="77777777" w:rsidR="00015E34" w:rsidRPr="00DD2508" w:rsidRDefault="00015E34" w:rsidP="00015E34">
      <w:pPr>
        <w:pStyle w:val="Heading2"/>
      </w:pPr>
      <w:r w:rsidRPr="00D15344">
        <w:t>Results and Evaluation</w:t>
      </w:r>
    </w:p>
    <w:p w14:paraId="5F88D67A" w14:textId="023D4B0C" w:rsidR="009708D3" w:rsidRPr="00F82A7F" w:rsidRDefault="009708D3" w:rsidP="009708D3">
      <w:pPr>
        <w:rPr>
          <w:rFonts w:ascii="Calibri" w:hAnsi="Calibri"/>
        </w:rPr>
      </w:pPr>
      <w:r>
        <w:rPr>
          <w:rFonts w:ascii="Calibri" w:hAnsi="Calibri"/>
        </w:rPr>
        <w:t>T</w:t>
      </w:r>
      <w:r w:rsidRPr="00F82A7F">
        <w:rPr>
          <w:rFonts w:ascii="Calibri" w:hAnsi="Calibri"/>
        </w:rPr>
        <w:t>he 201</w:t>
      </w:r>
      <w:r>
        <w:rPr>
          <w:rFonts w:ascii="Calibri" w:hAnsi="Calibri"/>
        </w:rPr>
        <w:t>7</w:t>
      </w:r>
      <w:r w:rsidRPr="00F82A7F">
        <w:rPr>
          <w:rFonts w:ascii="Calibri" w:hAnsi="Calibri"/>
        </w:rPr>
        <w:t xml:space="preserve"> cohort had </w:t>
      </w:r>
      <w:r w:rsidR="00801713">
        <w:rPr>
          <w:rFonts w:ascii="Calibri" w:hAnsi="Calibri"/>
        </w:rPr>
        <w:t>17</w:t>
      </w:r>
      <w:r w:rsidRPr="00F82A7F">
        <w:rPr>
          <w:rFonts w:ascii="Calibri" w:hAnsi="Calibri"/>
        </w:rPr>
        <w:t xml:space="preserve"> students pass the English Regent</w:t>
      </w:r>
      <w:r>
        <w:rPr>
          <w:rFonts w:ascii="Calibri" w:hAnsi="Calibri"/>
        </w:rPr>
        <w:t xml:space="preserve">s. </w:t>
      </w:r>
      <w:r w:rsidRPr="009708D3">
        <w:rPr>
          <w:rFonts w:ascii="Calibri" w:hAnsi="Calibri"/>
        </w:rPr>
        <w:t xml:space="preserve">This </w:t>
      </w:r>
      <w:r w:rsidR="00801713">
        <w:rPr>
          <w:rFonts w:ascii="Calibri" w:hAnsi="Calibri"/>
        </w:rPr>
        <w:t xml:space="preserve">does not meet </w:t>
      </w:r>
      <w:r w:rsidRPr="009708D3">
        <w:rPr>
          <w:rFonts w:ascii="Calibri" w:hAnsi="Calibri"/>
        </w:rPr>
        <w:t>the goal of 80% of students in the cohort will score at or above a level 3. We are excited to continue to monitor our progress with future cohorts of students.</w:t>
      </w:r>
      <w:r w:rsidRPr="00F82A7F">
        <w:rPr>
          <w:rFonts w:ascii="Calibri" w:hAnsi="Calibri"/>
        </w:rPr>
        <w:t xml:space="preserve"> </w:t>
      </w:r>
      <w:r>
        <w:rPr>
          <w:rFonts w:ascii="Calibri" w:hAnsi="Calibri"/>
        </w:rPr>
        <w:t>We did not have any students sit for the English Regents exam.</w:t>
      </w:r>
      <w:r w:rsidR="00801713">
        <w:rPr>
          <w:rFonts w:ascii="Calibri" w:hAnsi="Calibri"/>
        </w:rPr>
        <w:t xml:space="preserve"> We had 3 students in the 2017 cohort who were exempted with no valid score. </w:t>
      </w:r>
      <w:r w:rsidR="00801713">
        <w:rPr>
          <w:rFonts w:ascii="Calibri" w:hAnsi="Calibri"/>
        </w:rPr>
        <w:t xml:space="preserve">Our 2018 cohort had 41% of </w:t>
      </w:r>
      <w:proofErr w:type="spellStart"/>
      <w:r w:rsidR="00801713">
        <w:rPr>
          <w:rFonts w:ascii="Calibri" w:hAnsi="Calibri"/>
        </w:rPr>
        <w:t>it’s</w:t>
      </w:r>
      <w:proofErr w:type="spellEnd"/>
      <w:r w:rsidR="00801713">
        <w:rPr>
          <w:rFonts w:ascii="Calibri" w:hAnsi="Calibri"/>
        </w:rPr>
        <w:t xml:space="preserve"> students pass with a level 4 with 11 students exempt from the English Regents with no valid score. Our 2019 cohort did not have any students previously sit for the English Regents and had 43 students exempt from the English Regents with no valid score. Our 2020 cohort did not have any students sit previously for the English Regents and had 42 students exempt from the English Regents with no valid score.</w:t>
      </w:r>
    </w:p>
    <w:p w14:paraId="012BC4D2" w14:textId="47497EF3" w:rsidR="00015E34" w:rsidRDefault="00015E34" w:rsidP="00015E34">
      <w:pPr>
        <w:pStyle w:val="TableHeader"/>
      </w:pPr>
      <w:r>
        <w:t>Percent Scoring at Least</w:t>
      </w:r>
      <w:r w:rsidR="00BD29C2">
        <w:t xml:space="preserve"> Level 3</w:t>
      </w:r>
      <w:r>
        <w:t xml:space="preserve"> on Regents English Common Core Exam</w:t>
      </w:r>
    </w:p>
    <w:p w14:paraId="072A6B15" w14:textId="7C64690C" w:rsidR="00015E34" w:rsidRPr="00DD2508" w:rsidRDefault="00015E34" w:rsidP="00015E34">
      <w:pPr>
        <w:pStyle w:val="TableHeader"/>
      </w:pPr>
      <w:r w:rsidRPr="00DD2508">
        <w:t xml:space="preserve">by Fourth Year Accountability Cohort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900"/>
        <w:gridCol w:w="900"/>
        <w:gridCol w:w="1890"/>
        <w:gridCol w:w="1694"/>
        <w:gridCol w:w="2520"/>
      </w:tblGrid>
      <w:tr w:rsidR="00940114" w:rsidRPr="00DD2508" w14:paraId="490BEC26" w14:textId="77777777" w:rsidTr="00537206">
        <w:trPr>
          <w:trHeight w:val="758"/>
          <w:jc w:val="center"/>
        </w:trPr>
        <w:tc>
          <w:tcPr>
            <w:tcW w:w="1255" w:type="dxa"/>
            <w:shd w:val="clear" w:color="auto" w:fill="auto"/>
            <w:vAlign w:val="center"/>
          </w:tcPr>
          <w:p w14:paraId="015AC05A" w14:textId="77777777" w:rsidR="00940114" w:rsidRPr="00DE3E14" w:rsidRDefault="00940114" w:rsidP="009502D1">
            <w:pPr>
              <w:pStyle w:val="TableText"/>
            </w:pPr>
            <w:r w:rsidRPr="00DE3E14">
              <w:t>Cohort Designation</w:t>
            </w:r>
          </w:p>
        </w:tc>
        <w:tc>
          <w:tcPr>
            <w:tcW w:w="900" w:type="dxa"/>
          </w:tcPr>
          <w:p w14:paraId="66091736" w14:textId="77777777" w:rsidR="00940114" w:rsidRDefault="00940114" w:rsidP="009502D1">
            <w:pPr>
              <w:pStyle w:val="TableText"/>
            </w:pPr>
          </w:p>
          <w:p w14:paraId="4B674FF2" w14:textId="77777777" w:rsidR="00940114" w:rsidRDefault="00940114" w:rsidP="009502D1">
            <w:pPr>
              <w:pStyle w:val="TableText"/>
            </w:pPr>
            <w:r>
              <w:t>Fourth</w:t>
            </w:r>
          </w:p>
          <w:p w14:paraId="47ABC5CD" w14:textId="60CEFCB2" w:rsidR="00940114" w:rsidRPr="00DE3E14" w:rsidRDefault="00940114" w:rsidP="009502D1">
            <w:pPr>
              <w:pStyle w:val="TableText"/>
            </w:pPr>
            <w:r>
              <w:t>Year</w:t>
            </w:r>
          </w:p>
        </w:tc>
        <w:tc>
          <w:tcPr>
            <w:tcW w:w="900" w:type="dxa"/>
            <w:vAlign w:val="center"/>
          </w:tcPr>
          <w:p w14:paraId="2DFE0B2E" w14:textId="0581386D" w:rsidR="00940114" w:rsidRPr="00DE3E14" w:rsidRDefault="00940114" w:rsidP="009502D1">
            <w:pPr>
              <w:pStyle w:val="TableText"/>
            </w:pPr>
            <w:r>
              <w:t>Number in Cohort</w:t>
            </w:r>
            <w:r w:rsidR="5B4EA5CA">
              <w:t xml:space="preserve"> </w:t>
            </w:r>
          </w:p>
          <w:p w14:paraId="1191F2C2" w14:textId="1E56A9A1" w:rsidR="00940114" w:rsidRPr="00DE3E14" w:rsidRDefault="5B4EA5CA" w:rsidP="009502D1">
            <w:pPr>
              <w:pStyle w:val="TableText"/>
            </w:pPr>
            <w:r>
              <w:t>(a)</w:t>
            </w:r>
          </w:p>
        </w:tc>
        <w:tc>
          <w:tcPr>
            <w:tcW w:w="1890" w:type="dxa"/>
            <w:vAlign w:val="center"/>
          </w:tcPr>
          <w:p w14:paraId="782B8606" w14:textId="5A857D1D" w:rsidR="4D53ED49" w:rsidRDefault="4D53ED49" w:rsidP="57F71D55">
            <w:pPr>
              <w:pStyle w:val="TableText"/>
            </w:pPr>
            <w:r>
              <w:t>Number Exempted</w:t>
            </w:r>
            <w:r w:rsidR="46081BF4">
              <w:t xml:space="preserve"> </w:t>
            </w:r>
            <w:r w:rsidR="5A67636D">
              <w:t xml:space="preserve">with No Valid Score </w:t>
            </w:r>
          </w:p>
          <w:p w14:paraId="4632C5D4" w14:textId="2CC1DCBA" w:rsidR="46081BF4" w:rsidRDefault="46081BF4" w:rsidP="57F71D55">
            <w:pPr>
              <w:pStyle w:val="TableText"/>
            </w:pPr>
            <w:r>
              <w:t>(b)</w:t>
            </w:r>
          </w:p>
        </w:tc>
        <w:tc>
          <w:tcPr>
            <w:tcW w:w="1694" w:type="dxa"/>
            <w:tcBorders>
              <w:top w:val="single" w:sz="12" w:space="0" w:color="auto"/>
              <w:left w:val="single" w:sz="12" w:space="0" w:color="auto"/>
              <w:right w:val="single" w:sz="12" w:space="0" w:color="auto"/>
            </w:tcBorders>
            <w:vAlign w:val="center"/>
          </w:tcPr>
          <w:p w14:paraId="686CD4DB" w14:textId="2D358432" w:rsidR="57F71D55" w:rsidRDefault="57F71D55" w:rsidP="57F71D55">
            <w:pPr>
              <w:pStyle w:val="TableText"/>
            </w:pPr>
            <w:r>
              <w:t xml:space="preserve">Number Scoring at Least Level </w:t>
            </w:r>
            <w:r w:rsidR="214D898F">
              <w:t xml:space="preserve">3 </w:t>
            </w:r>
          </w:p>
          <w:p w14:paraId="0EEF2C1D" w14:textId="5D9F500E" w:rsidR="57F71D55" w:rsidRDefault="57F71D55" w:rsidP="57F71D55">
            <w:pPr>
              <w:pStyle w:val="TableText"/>
            </w:pPr>
            <w:r>
              <w:t>(c)</w:t>
            </w:r>
          </w:p>
        </w:tc>
        <w:tc>
          <w:tcPr>
            <w:tcW w:w="2520" w:type="dxa"/>
            <w:tcBorders>
              <w:top w:val="single" w:sz="12" w:space="0" w:color="auto"/>
              <w:left w:val="single" w:sz="12" w:space="0" w:color="auto"/>
              <w:right w:val="single" w:sz="12" w:space="0" w:color="auto"/>
            </w:tcBorders>
            <w:vAlign w:val="center"/>
          </w:tcPr>
          <w:p w14:paraId="41844B8E" w14:textId="66EBD3CD" w:rsidR="57F71D55" w:rsidRDefault="57F71D55" w:rsidP="57F71D55">
            <w:pPr>
              <w:pStyle w:val="TableText"/>
            </w:pPr>
            <w:r>
              <w:t>Percent Scoring at Least L</w:t>
            </w:r>
            <w:r w:rsidR="2478ECE4">
              <w:t>evel 3</w:t>
            </w:r>
            <w:r>
              <w:t xml:space="preserve"> Among Students with Valid Score</w:t>
            </w:r>
            <w:r>
              <w:br/>
              <w:t>(c)/(a-b)</w:t>
            </w:r>
          </w:p>
        </w:tc>
      </w:tr>
      <w:tr w:rsidR="00940114" w:rsidRPr="00DD2508" w14:paraId="17F9884E" w14:textId="77777777" w:rsidTr="00537206">
        <w:trPr>
          <w:trHeight w:val="228"/>
          <w:jc w:val="center"/>
        </w:trPr>
        <w:tc>
          <w:tcPr>
            <w:tcW w:w="1255" w:type="dxa"/>
          </w:tcPr>
          <w:p w14:paraId="3CFA20BE" w14:textId="41432906" w:rsidR="00940114" w:rsidRPr="00DE3E14" w:rsidRDefault="00940114" w:rsidP="009502D1">
            <w:pPr>
              <w:pStyle w:val="TableText"/>
            </w:pPr>
            <w:r>
              <w:t>201</w:t>
            </w:r>
            <w:r w:rsidR="00537206">
              <w:t>5</w:t>
            </w:r>
          </w:p>
        </w:tc>
        <w:tc>
          <w:tcPr>
            <w:tcW w:w="900" w:type="dxa"/>
          </w:tcPr>
          <w:p w14:paraId="1A26EDCA" w14:textId="0571341F" w:rsidR="00940114" w:rsidRPr="00DE3E14" w:rsidRDefault="00940114" w:rsidP="009502D1">
            <w:pPr>
              <w:pStyle w:val="TableText"/>
            </w:pPr>
            <w:r>
              <w:t>201</w:t>
            </w:r>
            <w:r w:rsidR="00537206">
              <w:t>8</w:t>
            </w:r>
            <w:r>
              <w:t>-1</w:t>
            </w:r>
            <w:r w:rsidR="00537206">
              <w:t>9</w:t>
            </w:r>
          </w:p>
        </w:tc>
        <w:tc>
          <w:tcPr>
            <w:tcW w:w="900" w:type="dxa"/>
          </w:tcPr>
          <w:p w14:paraId="62C6F39C" w14:textId="7935A5CF" w:rsidR="00940114" w:rsidRPr="00DE3E14" w:rsidRDefault="00940114" w:rsidP="009502D1">
            <w:pPr>
              <w:pStyle w:val="TableText"/>
            </w:pPr>
          </w:p>
        </w:tc>
        <w:tc>
          <w:tcPr>
            <w:tcW w:w="1890" w:type="dxa"/>
          </w:tcPr>
          <w:p w14:paraId="1427C299" w14:textId="19E9A782" w:rsidR="1D855D09" w:rsidRDefault="1D855D09" w:rsidP="57F71D55">
            <w:pPr>
              <w:pStyle w:val="TableText"/>
            </w:pPr>
            <w:r>
              <w:t>0</w:t>
            </w: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62351B85" w14:textId="2261671A" w:rsidR="57F71D55" w:rsidRDefault="57F71D55" w:rsidP="57F71D55">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1D567A9C" w14:textId="77777777" w:rsidR="57F71D55" w:rsidRDefault="57F71D55" w:rsidP="57F71D55">
            <w:pPr>
              <w:pStyle w:val="TableText"/>
              <w:rPr>
                <w:b/>
                <w:bCs/>
              </w:rPr>
            </w:pPr>
          </w:p>
        </w:tc>
      </w:tr>
      <w:tr w:rsidR="00940114" w:rsidRPr="00DD2508" w14:paraId="0E34D160" w14:textId="77777777" w:rsidTr="00537206">
        <w:trPr>
          <w:trHeight w:val="228"/>
          <w:jc w:val="center"/>
        </w:trPr>
        <w:tc>
          <w:tcPr>
            <w:tcW w:w="1255" w:type="dxa"/>
          </w:tcPr>
          <w:p w14:paraId="5AEEC3F1" w14:textId="7F4D3396" w:rsidR="00940114" w:rsidRPr="00DE3E14" w:rsidRDefault="00940114" w:rsidP="009502D1">
            <w:pPr>
              <w:pStyle w:val="TableText"/>
            </w:pPr>
            <w:r>
              <w:t>201</w:t>
            </w:r>
            <w:r w:rsidR="00537206">
              <w:t>6</w:t>
            </w:r>
          </w:p>
        </w:tc>
        <w:tc>
          <w:tcPr>
            <w:tcW w:w="900" w:type="dxa"/>
          </w:tcPr>
          <w:p w14:paraId="7602D57C" w14:textId="7F7E24BC" w:rsidR="00940114" w:rsidRPr="00DE3E14" w:rsidRDefault="00940114" w:rsidP="009502D1">
            <w:pPr>
              <w:pStyle w:val="TableText"/>
            </w:pPr>
            <w:r>
              <w:t>201</w:t>
            </w:r>
            <w:r w:rsidR="00537206">
              <w:t>9-20</w:t>
            </w:r>
          </w:p>
        </w:tc>
        <w:tc>
          <w:tcPr>
            <w:tcW w:w="900" w:type="dxa"/>
          </w:tcPr>
          <w:p w14:paraId="14DFE9D1" w14:textId="627D250A" w:rsidR="00940114" w:rsidRPr="00DE3E14" w:rsidRDefault="00940114" w:rsidP="009502D1">
            <w:pPr>
              <w:pStyle w:val="TableText"/>
            </w:pPr>
          </w:p>
        </w:tc>
        <w:tc>
          <w:tcPr>
            <w:tcW w:w="1890" w:type="dxa"/>
          </w:tcPr>
          <w:p w14:paraId="3529923F" w14:textId="0DEBBCFF" w:rsidR="1D855D09" w:rsidRDefault="1D855D09" w:rsidP="57F71D55">
            <w:pPr>
              <w:pStyle w:val="TableText"/>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513E9D5A" w14:textId="21C23303" w:rsidR="57F71D55" w:rsidRDefault="57F71D55" w:rsidP="57F71D55">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0AAB5945" w14:textId="77777777" w:rsidR="57F71D55" w:rsidRDefault="57F71D55" w:rsidP="57F71D55">
            <w:pPr>
              <w:pStyle w:val="TableText"/>
            </w:pPr>
          </w:p>
        </w:tc>
      </w:tr>
      <w:tr w:rsidR="009708D3" w:rsidRPr="00DD2508" w14:paraId="724A78BE" w14:textId="77777777" w:rsidTr="00537206">
        <w:trPr>
          <w:trHeight w:val="260"/>
          <w:jc w:val="center"/>
        </w:trPr>
        <w:tc>
          <w:tcPr>
            <w:tcW w:w="1255" w:type="dxa"/>
          </w:tcPr>
          <w:p w14:paraId="1B510DD8" w14:textId="2FDC7AB5" w:rsidR="009708D3" w:rsidRPr="00DE3E14" w:rsidRDefault="009708D3" w:rsidP="009708D3">
            <w:pPr>
              <w:pStyle w:val="TableText"/>
            </w:pPr>
            <w:r>
              <w:t>2017</w:t>
            </w:r>
          </w:p>
        </w:tc>
        <w:tc>
          <w:tcPr>
            <w:tcW w:w="900" w:type="dxa"/>
          </w:tcPr>
          <w:p w14:paraId="4D36A8E1" w14:textId="1C1042AE" w:rsidR="009708D3" w:rsidRPr="00DE3E14" w:rsidRDefault="009708D3" w:rsidP="009708D3">
            <w:pPr>
              <w:pStyle w:val="TableText"/>
            </w:pPr>
            <w:r>
              <w:t>2020-21</w:t>
            </w:r>
          </w:p>
        </w:tc>
        <w:tc>
          <w:tcPr>
            <w:tcW w:w="900" w:type="dxa"/>
            <w:tcBorders>
              <w:bottom w:val="single" w:sz="4" w:space="0" w:color="auto"/>
            </w:tcBorders>
          </w:tcPr>
          <w:p w14:paraId="0F8CD344" w14:textId="62D525BA" w:rsidR="009708D3" w:rsidRPr="00DE3E14" w:rsidRDefault="009708D3" w:rsidP="009708D3">
            <w:pPr>
              <w:pStyle w:val="TableText"/>
            </w:pPr>
            <w:r>
              <w:t>25</w:t>
            </w:r>
          </w:p>
        </w:tc>
        <w:tc>
          <w:tcPr>
            <w:tcW w:w="1890" w:type="dxa"/>
            <w:tcBorders>
              <w:bottom w:val="single" w:sz="4" w:space="0" w:color="auto"/>
            </w:tcBorders>
          </w:tcPr>
          <w:p w14:paraId="03244CD1" w14:textId="17B5B00E" w:rsidR="009708D3" w:rsidRDefault="00C45315" w:rsidP="009708D3">
            <w:pPr>
              <w:pStyle w:val="TableText"/>
            </w:pPr>
            <w:r>
              <w:t>3</w:t>
            </w: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41F3F369" w14:textId="2D9806FE" w:rsidR="009708D3" w:rsidRDefault="00C45315" w:rsidP="009708D3">
            <w:pPr>
              <w:pStyle w:val="TableText"/>
            </w:pPr>
            <w:r>
              <w:t>17</w:t>
            </w:r>
          </w:p>
        </w:tc>
        <w:tc>
          <w:tcPr>
            <w:tcW w:w="2520" w:type="dxa"/>
            <w:tcBorders>
              <w:top w:val="single" w:sz="4" w:space="0" w:color="auto"/>
              <w:left w:val="single" w:sz="12" w:space="0" w:color="auto"/>
              <w:bottom w:val="single" w:sz="12" w:space="0" w:color="auto"/>
              <w:right w:val="single" w:sz="12" w:space="0" w:color="auto"/>
            </w:tcBorders>
            <w:shd w:val="clear" w:color="auto" w:fill="auto"/>
          </w:tcPr>
          <w:p w14:paraId="74A1158A" w14:textId="17D1C8D1" w:rsidR="009708D3" w:rsidRDefault="00C45315" w:rsidP="009708D3">
            <w:pPr>
              <w:pStyle w:val="TableText"/>
            </w:pPr>
            <w:r>
              <w:t>77</w:t>
            </w:r>
            <w:r w:rsidR="009708D3">
              <w:t>%</w:t>
            </w:r>
          </w:p>
        </w:tc>
      </w:tr>
    </w:tbl>
    <w:p w14:paraId="2E0708D6" w14:textId="4FA293E1" w:rsidR="00015E34" w:rsidRDefault="00015E34" w:rsidP="00015E34">
      <w:pPr>
        <w:pStyle w:val="Heading2"/>
      </w:pPr>
      <w:r w:rsidRPr="007610B2">
        <w:t>Additional Evidence</w:t>
      </w:r>
    </w:p>
    <w:p w14:paraId="2B100E30" w14:textId="77D4AAFB" w:rsidR="00801713" w:rsidRDefault="00801713" w:rsidP="00801713">
      <w:pPr>
        <w:rPr>
          <w:rFonts w:ascii="Calibri" w:hAnsi="Calibri"/>
        </w:rPr>
      </w:pPr>
      <w:r>
        <w:rPr>
          <w:rFonts w:ascii="Calibri" w:hAnsi="Calibri"/>
        </w:rPr>
        <w:t xml:space="preserve">Our 2018 cohort had </w:t>
      </w:r>
      <w:r>
        <w:rPr>
          <w:rFonts w:ascii="Calibri" w:hAnsi="Calibri"/>
        </w:rPr>
        <w:t>82</w:t>
      </w:r>
      <w:r>
        <w:rPr>
          <w:rFonts w:ascii="Calibri" w:hAnsi="Calibri"/>
        </w:rPr>
        <w:t xml:space="preserve">% of its students pass with a level </w:t>
      </w:r>
      <w:r>
        <w:rPr>
          <w:rFonts w:ascii="Calibri" w:hAnsi="Calibri"/>
        </w:rPr>
        <w:t>3</w:t>
      </w:r>
      <w:r>
        <w:rPr>
          <w:rFonts w:ascii="Calibri" w:hAnsi="Calibri"/>
        </w:rPr>
        <w:t xml:space="preserve"> </w:t>
      </w:r>
      <w:r>
        <w:rPr>
          <w:rFonts w:ascii="Calibri" w:hAnsi="Calibri"/>
        </w:rPr>
        <w:t>and there were an additional</w:t>
      </w:r>
      <w:r>
        <w:rPr>
          <w:rFonts w:ascii="Calibri" w:hAnsi="Calibri"/>
        </w:rPr>
        <w:t xml:space="preserve"> 11 students exempt from the English Regents with no valid score. Our 2019 cohort did not have any students previously sit for the English Regents and had 43 students exempt from the English Regents with no valid score. Our 2020 cohort did not have any students sit previously for the English Regents and had 42 students exempt from the English Regents with no valid score.</w:t>
      </w:r>
    </w:p>
    <w:p w14:paraId="2E8C5C34" w14:textId="77777777" w:rsidR="00801713" w:rsidRPr="00801713" w:rsidRDefault="00801713" w:rsidP="00801713"/>
    <w:p w14:paraId="6E937187" w14:textId="77777777" w:rsidR="00015E34" w:rsidRDefault="00015E34" w:rsidP="00015E34">
      <w:pPr>
        <w:jc w:val="center"/>
        <w:rPr>
          <w:rFonts w:ascii="Calibri" w:hAnsi="Calibri"/>
          <w:b/>
          <w:szCs w:val="23"/>
        </w:rPr>
      </w:pPr>
    </w:p>
    <w:p w14:paraId="297734EA" w14:textId="02275165" w:rsidR="00015E34" w:rsidRPr="00DD2508" w:rsidRDefault="00015E34" w:rsidP="00015E34">
      <w:pPr>
        <w:pStyle w:val="TableHeader"/>
      </w:pPr>
      <w:r>
        <w:lastRenderedPageBreak/>
        <w:t>Pe</w:t>
      </w:r>
      <w:r w:rsidR="00BD29C2">
        <w:t>rcent Achieving at Least Level 3</w:t>
      </w:r>
      <w:r>
        <w:t xml:space="preserve"> </w:t>
      </w:r>
      <w:r w:rsidRPr="00DD2508">
        <w:t>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92"/>
        <w:gridCol w:w="16"/>
        <w:gridCol w:w="974"/>
        <w:gridCol w:w="990"/>
        <w:gridCol w:w="990"/>
        <w:gridCol w:w="1074"/>
        <w:gridCol w:w="1012"/>
      </w:tblGrid>
      <w:tr w:rsidR="00015E34" w:rsidRPr="00DD2508" w14:paraId="033E64C9" w14:textId="77777777" w:rsidTr="57F71D55">
        <w:trPr>
          <w:jc w:val="center"/>
        </w:trPr>
        <w:tc>
          <w:tcPr>
            <w:tcW w:w="1184" w:type="dxa"/>
            <w:vMerge w:val="restart"/>
            <w:vAlign w:val="center"/>
          </w:tcPr>
          <w:p w14:paraId="5D35CC00" w14:textId="77777777" w:rsidR="00015E34" w:rsidRPr="00DE3E14" w:rsidRDefault="00015E34" w:rsidP="009502D1">
            <w:pPr>
              <w:pStyle w:val="TableText"/>
            </w:pPr>
            <w:r w:rsidRPr="00DE3E14">
              <w:t>Cohort Designation</w:t>
            </w:r>
          </w:p>
        </w:tc>
        <w:tc>
          <w:tcPr>
            <w:tcW w:w="1982" w:type="dxa"/>
            <w:gridSpan w:val="3"/>
          </w:tcPr>
          <w:p w14:paraId="73DFF16A" w14:textId="75E66BDA" w:rsidR="00015E34" w:rsidRPr="00DE3E14" w:rsidRDefault="47DB34CA" w:rsidP="009502D1">
            <w:pPr>
              <w:pStyle w:val="TableText"/>
            </w:pPr>
            <w:r>
              <w:t>201</w:t>
            </w:r>
            <w:r w:rsidR="00537206">
              <w:t>8</w:t>
            </w:r>
            <w:r>
              <w:t>-1</w:t>
            </w:r>
            <w:r w:rsidR="00537206">
              <w:t>9</w:t>
            </w:r>
          </w:p>
        </w:tc>
        <w:tc>
          <w:tcPr>
            <w:tcW w:w="1980" w:type="dxa"/>
            <w:gridSpan w:val="2"/>
          </w:tcPr>
          <w:p w14:paraId="713D7268" w14:textId="4D358088" w:rsidR="00015E34" w:rsidRPr="00DE3E14" w:rsidRDefault="47DB34CA" w:rsidP="009502D1">
            <w:pPr>
              <w:pStyle w:val="TableText"/>
            </w:pPr>
            <w:r>
              <w:t>201</w:t>
            </w:r>
            <w:r w:rsidR="00537206">
              <w:t>9-20</w:t>
            </w:r>
          </w:p>
        </w:tc>
        <w:tc>
          <w:tcPr>
            <w:tcW w:w="2086" w:type="dxa"/>
            <w:gridSpan w:val="2"/>
          </w:tcPr>
          <w:p w14:paraId="5D5AE635" w14:textId="7118F95E" w:rsidR="00015E34" w:rsidRPr="00DE3E14" w:rsidRDefault="00537206" w:rsidP="57F71D55">
            <w:pPr>
              <w:pStyle w:val="TableText"/>
            </w:pPr>
            <w:r>
              <w:t>2020</w:t>
            </w:r>
            <w:r w:rsidR="47DB34CA">
              <w:t>-</w:t>
            </w:r>
            <w:r>
              <w:t>21</w:t>
            </w:r>
          </w:p>
        </w:tc>
      </w:tr>
      <w:tr w:rsidR="00015E34" w:rsidRPr="00DD2508" w14:paraId="20A76EDF" w14:textId="77777777" w:rsidTr="57F71D55">
        <w:trPr>
          <w:jc w:val="center"/>
        </w:trPr>
        <w:tc>
          <w:tcPr>
            <w:tcW w:w="1184" w:type="dxa"/>
            <w:vMerge/>
          </w:tcPr>
          <w:p w14:paraId="0BAD2B38" w14:textId="77777777" w:rsidR="00015E34" w:rsidRPr="00DE3E14" w:rsidRDefault="00015E34" w:rsidP="009502D1">
            <w:pPr>
              <w:pStyle w:val="TableText"/>
            </w:pPr>
          </w:p>
        </w:tc>
        <w:tc>
          <w:tcPr>
            <w:tcW w:w="1008" w:type="dxa"/>
            <w:gridSpan w:val="2"/>
            <w:tcBorders>
              <w:bottom w:val="single" w:sz="12" w:space="0" w:color="auto"/>
            </w:tcBorders>
          </w:tcPr>
          <w:p w14:paraId="0D5FBFAB" w14:textId="77777777" w:rsidR="00015E34" w:rsidRPr="00DE3E14" w:rsidRDefault="00015E34" w:rsidP="009502D1">
            <w:pPr>
              <w:pStyle w:val="TableText"/>
            </w:pPr>
            <w:r w:rsidRPr="00DE3E14">
              <w:t>Number in Cohort</w:t>
            </w:r>
          </w:p>
        </w:tc>
        <w:tc>
          <w:tcPr>
            <w:tcW w:w="974" w:type="dxa"/>
            <w:tcBorders>
              <w:bottom w:val="single" w:sz="12" w:space="0" w:color="auto"/>
            </w:tcBorders>
          </w:tcPr>
          <w:p w14:paraId="2D48AFB2" w14:textId="29B5BB75" w:rsidR="00015E34" w:rsidRPr="00DE3E14" w:rsidRDefault="00015E34" w:rsidP="009502D1">
            <w:pPr>
              <w:pStyle w:val="TableText"/>
            </w:pPr>
            <w:r w:rsidRPr="00DE3E14">
              <w:t xml:space="preserve">Percent </w:t>
            </w:r>
            <w:r w:rsidR="00BD29C2">
              <w:t>Passing</w:t>
            </w:r>
          </w:p>
        </w:tc>
        <w:tc>
          <w:tcPr>
            <w:tcW w:w="990" w:type="dxa"/>
          </w:tcPr>
          <w:p w14:paraId="58890D2D" w14:textId="77777777" w:rsidR="00015E34" w:rsidRPr="00DE3E14" w:rsidRDefault="00015E34" w:rsidP="009502D1">
            <w:pPr>
              <w:pStyle w:val="TableText"/>
            </w:pPr>
            <w:r w:rsidRPr="00DE3E14">
              <w:t>Number in Cohort</w:t>
            </w:r>
          </w:p>
        </w:tc>
        <w:tc>
          <w:tcPr>
            <w:tcW w:w="990" w:type="dxa"/>
            <w:tcBorders>
              <w:bottom w:val="single" w:sz="8" w:space="0" w:color="auto"/>
            </w:tcBorders>
          </w:tcPr>
          <w:p w14:paraId="1CCB60D0" w14:textId="17BCC03B" w:rsidR="00015E34" w:rsidRPr="00DE3E14" w:rsidRDefault="00015E34" w:rsidP="009502D1">
            <w:pPr>
              <w:pStyle w:val="TableText"/>
            </w:pPr>
            <w:r w:rsidRPr="00DE3E14">
              <w:t xml:space="preserve">Percent </w:t>
            </w:r>
            <w:r w:rsidR="00BD29C2">
              <w:t>Passing</w:t>
            </w:r>
          </w:p>
        </w:tc>
        <w:tc>
          <w:tcPr>
            <w:tcW w:w="1074" w:type="dxa"/>
            <w:tcBorders>
              <w:bottom w:val="single" w:sz="8" w:space="0" w:color="auto"/>
            </w:tcBorders>
          </w:tcPr>
          <w:p w14:paraId="414DC51C" w14:textId="77777777" w:rsidR="00015E34" w:rsidRPr="00DE3E14" w:rsidRDefault="00015E34" w:rsidP="009502D1">
            <w:pPr>
              <w:pStyle w:val="TableText"/>
            </w:pPr>
            <w:r w:rsidRPr="00DE3E14">
              <w:t>Number in Cohort</w:t>
            </w:r>
          </w:p>
        </w:tc>
        <w:tc>
          <w:tcPr>
            <w:tcW w:w="1012" w:type="dxa"/>
            <w:tcBorders>
              <w:bottom w:val="single" w:sz="8" w:space="0" w:color="auto"/>
            </w:tcBorders>
          </w:tcPr>
          <w:p w14:paraId="5F8F89D4" w14:textId="1469A795" w:rsidR="00015E34" w:rsidRPr="00DE3E14" w:rsidRDefault="00015E34" w:rsidP="009502D1">
            <w:pPr>
              <w:pStyle w:val="TableText"/>
            </w:pPr>
            <w:r w:rsidRPr="00DE3E14">
              <w:t xml:space="preserve">Percent </w:t>
            </w:r>
            <w:r w:rsidR="00BD29C2">
              <w:t>Passing</w:t>
            </w:r>
          </w:p>
        </w:tc>
      </w:tr>
      <w:tr w:rsidR="00C45315" w:rsidRPr="00DD2508" w14:paraId="6D0C4D82" w14:textId="77777777" w:rsidTr="57F71D55">
        <w:trPr>
          <w:jc w:val="center"/>
        </w:trPr>
        <w:tc>
          <w:tcPr>
            <w:tcW w:w="1184" w:type="dxa"/>
          </w:tcPr>
          <w:p w14:paraId="52552738" w14:textId="0D38C5D7" w:rsidR="00C45315" w:rsidRPr="00DE3E14" w:rsidRDefault="00C45315" w:rsidP="00C45315">
            <w:pPr>
              <w:pStyle w:val="TableText"/>
            </w:pPr>
            <w:r>
              <w:t>2017</w:t>
            </w:r>
          </w:p>
        </w:tc>
        <w:tc>
          <w:tcPr>
            <w:tcW w:w="992" w:type="dxa"/>
          </w:tcPr>
          <w:p w14:paraId="27CE70C1" w14:textId="25290F76" w:rsidR="00C45315" w:rsidRPr="00DE3E14" w:rsidRDefault="00C45315" w:rsidP="00C45315">
            <w:pPr>
              <w:pStyle w:val="TableText"/>
            </w:pPr>
            <w:r>
              <w:t>11</w:t>
            </w:r>
          </w:p>
        </w:tc>
        <w:tc>
          <w:tcPr>
            <w:tcW w:w="990" w:type="dxa"/>
            <w:gridSpan w:val="2"/>
          </w:tcPr>
          <w:p w14:paraId="35C854AF" w14:textId="3342D6D8" w:rsidR="00C45315" w:rsidRPr="00DE3E14" w:rsidRDefault="00C45315" w:rsidP="00C45315">
            <w:pPr>
              <w:pStyle w:val="TableText"/>
            </w:pPr>
            <w:r>
              <w:t>45%</w:t>
            </w:r>
          </w:p>
        </w:tc>
        <w:tc>
          <w:tcPr>
            <w:tcW w:w="990" w:type="dxa"/>
            <w:tcBorders>
              <w:top w:val="single" w:sz="12" w:space="0" w:color="auto"/>
              <w:bottom w:val="single" w:sz="4" w:space="0" w:color="auto"/>
              <w:right w:val="single" w:sz="8" w:space="0" w:color="auto"/>
            </w:tcBorders>
            <w:shd w:val="clear" w:color="auto" w:fill="auto"/>
          </w:tcPr>
          <w:p w14:paraId="61659CBB" w14:textId="2638E00E" w:rsidR="00C45315" w:rsidRPr="00DE3E14" w:rsidRDefault="00C45315" w:rsidP="00C45315">
            <w:pPr>
              <w:pStyle w:val="TableText"/>
            </w:pPr>
            <w:r>
              <w:t>24</w:t>
            </w: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123AA600" w14:textId="6EF84CC7" w:rsidR="00C45315" w:rsidRPr="00DE3E14" w:rsidRDefault="00C45315" w:rsidP="00C45315">
            <w:pPr>
              <w:pStyle w:val="TableText"/>
            </w:pPr>
            <w:r>
              <w:t>N/A</w:t>
            </w: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6EFF0F56" w14:textId="02C8AB5B" w:rsidR="00C45315" w:rsidRPr="00DE3E14" w:rsidRDefault="00C45315" w:rsidP="00C45315">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49FC3F11" w14:textId="39913CB3" w:rsidR="00C45315" w:rsidRPr="00DE3E14" w:rsidRDefault="00801713" w:rsidP="00C45315">
            <w:pPr>
              <w:pStyle w:val="TableText"/>
            </w:pPr>
            <w:r>
              <w:t>77</w:t>
            </w:r>
            <w:r w:rsidR="00C45315">
              <w:t>%</w:t>
            </w:r>
          </w:p>
        </w:tc>
      </w:tr>
      <w:tr w:rsidR="00C45315" w:rsidRPr="00DD2508" w14:paraId="77F7FAB9" w14:textId="77777777" w:rsidTr="57F71D55">
        <w:trPr>
          <w:jc w:val="center"/>
        </w:trPr>
        <w:tc>
          <w:tcPr>
            <w:tcW w:w="1184" w:type="dxa"/>
          </w:tcPr>
          <w:p w14:paraId="0C06685E" w14:textId="7E82730A" w:rsidR="00C45315" w:rsidRPr="00DE3E14" w:rsidRDefault="00C45315" w:rsidP="00C45315">
            <w:pPr>
              <w:pStyle w:val="TableText"/>
            </w:pPr>
            <w:r>
              <w:t>2018</w:t>
            </w:r>
          </w:p>
        </w:tc>
        <w:tc>
          <w:tcPr>
            <w:tcW w:w="992" w:type="dxa"/>
          </w:tcPr>
          <w:p w14:paraId="6CDEA69A" w14:textId="46A66A60" w:rsidR="00C45315" w:rsidRPr="00DE3E14" w:rsidRDefault="00C45315" w:rsidP="00C45315">
            <w:pPr>
              <w:pStyle w:val="TableText"/>
            </w:pPr>
            <w:r>
              <w:t>37</w:t>
            </w:r>
          </w:p>
        </w:tc>
        <w:tc>
          <w:tcPr>
            <w:tcW w:w="990" w:type="dxa"/>
            <w:gridSpan w:val="2"/>
          </w:tcPr>
          <w:p w14:paraId="34AA5496" w14:textId="794BB6EB" w:rsidR="00C45315" w:rsidRPr="00DE3E14" w:rsidRDefault="00C45315" w:rsidP="00C45315">
            <w:pPr>
              <w:pStyle w:val="TableText"/>
            </w:pPr>
            <w:r>
              <w:t>59%</w:t>
            </w:r>
          </w:p>
        </w:tc>
        <w:tc>
          <w:tcPr>
            <w:tcW w:w="990" w:type="dxa"/>
            <w:tcBorders>
              <w:bottom w:val="single" w:sz="4" w:space="0" w:color="auto"/>
              <w:right w:val="single" w:sz="8" w:space="0" w:color="auto"/>
            </w:tcBorders>
            <w:shd w:val="clear" w:color="auto" w:fill="auto"/>
          </w:tcPr>
          <w:p w14:paraId="057BD50A" w14:textId="68B5519A" w:rsidR="00C45315" w:rsidRPr="00DE3E14" w:rsidRDefault="00C45315" w:rsidP="00C45315">
            <w:pPr>
              <w:pStyle w:val="TableText"/>
            </w:pPr>
            <w:r>
              <w:t>30</w:t>
            </w: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7AA88C3D" w14:textId="0F086115" w:rsidR="00C45315" w:rsidRPr="00DE3E14" w:rsidRDefault="00C45315" w:rsidP="00C45315">
            <w:pPr>
              <w:pStyle w:val="TableText"/>
            </w:pPr>
            <w:r>
              <w:t>30%</w:t>
            </w: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2F18F56D" w14:textId="16737662" w:rsidR="00C45315" w:rsidRPr="00DE3E14" w:rsidRDefault="00E515AF" w:rsidP="00C45315">
            <w:pPr>
              <w:pStyle w:val="TableText"/>
            </w:pPr>
            <w:r>
              <w:t>30</w:t>
            </w: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6B8C1469" w14:textId="0C84F903" w:rsidR="00C45315" w:rsidRPr="00DE3E14" w:rsidRDefault="00C45315" w:rsidP="00C45315">
            <w:pPr>
              <w:pStyle w:val="TableText"/>
            </w:pPr>
            <w:r>
              <w:t>8</w:t>
            </w:r>
            <w:r w:rsidR="00801713">
              <w:t>2</w:t>
            </w:r>
            <w:r>
              <w:t>%</w:t>
            </w:r>
          </w:p>
        </w:tc>
      </w:tr>
      <w:tr w:rsidR="00C45315" w:rsidRPr="00DD2508" w14:paraId="2E1B651A" w14:textId="77777777" w:rsidTr="57F71D55">
        <w:trPr>
          <w:jc w:val="center"/>
        </w:trPr>
        <w:tc>
          <w:tcPr>
            <w:tcW w:w="1184" w:type="dxa"/>
          </w:tcPr>
          <w:p w14:paraId="7F5A91B3" w14:textId="348DD32D" w:rsidR="00C45315" w:rsidRPr="00DE3E14" w:rsidRDefault="00C45315" w:rsidP="00C45315">
            <w:pPr>
              <w:pStyle w:val="TableText"/>
            </w:pPr>
            <w:r>
              <w:t>2019</w:t>
            </w:r>
          </w:p>
        </w:tc>
        <w:tc>
          <w:tcPr>
            <w:tcW w:w="992" w:type="dxa"/>
            <w:shd w:val="clear" w:color="auto" w:fill="B3B3B3"/>
          </w:tcPr>
          <w:p w14:paraId="50948207" w14:textId="77777777" w:rsidR="00C45315" w:rsidRPr="00DE3E14" w:rsidRDefault="00C45315" w:rsidP="00C45315">
            <w:pPr>
              <w:pStyle w:val="TableText"/>
            </w:pPr>
          </w:p>
        </w:tc>
        <w:tc>
          <w:tcPr>
            <w:tcW w:w="990" w:type="dxa"/>
            <w:gridSpan w:val="2"/>
            <w:shd w:val="clear" w:color="auto" w:fill="B3B3B3"/>
          </w:tcPr>
          <w:p w14:paraId="6C4D2613" w14:textId="77777777" w:rsidR="00C45315" w:rsidRPr="00DE3E14" w:rsidRDefault="00C45315" w:rsidP="00C45315">
            <w:pPr>
              <w:pStyle w:val="TableText"/>
            </w:pPr>
          </w:p>
        </w:tc>
        <w:tc>
          <w:tcPr>
            <w:tcW w:w="990" w:type="dxa"/>
            <w:tcBorders>
              <w:top w:val="single" w:sz="4" w:space="0" w:color="auto"/>
              <w:bottom w:val="single" w:sz="4" w:space="0" w:color="auto"/>
              <w:right w:val="single" w:sz="4" w:space="0" w:color="auto"/>
            </w:tcBorders>
            <w:shd w:val="clear" w:color="auto" w:fill="auto"/>
          </w:tcPr>
          <w:p w14:paraId="66BA9771" w14:textId="4F8117D4" w:rsidR="00C45315" w:rsidRPr="00DE3E14" w:rsidRDefault="00C45315" w:rsidP="00C45315">
            <w:pPr>
              <w:pStyle w:val="TableText"/>
            </w:pPr>
            <w:r>
              <w:t>51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F50C3A9" w14:textId="267BF882" w:rsidR="00C45315" w:rsidRPr="00DE3E14" w:rsidRDefault="00C45315" w:rsidP="00C45315">
            <w:pPr>
              <w:pStyle w:val="TableText"/>
            </w:pPr>
            <w:r>
              <w:t>78%</w:t>
            </w: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786EFCAA" w14:textId="6415C423" w:rsidR="00C45315" w:rsidRPr="00DE3E14" w:rsidRDefault="00C45315" w:rsidP="00C45315">
            <w:pPr>
              <w:pStyle w:val="TableText"/>
            </w:pPr>
            <w:r>
              <w:t>52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54DFF088" w14:textId="0506BEA1" w:rsidR="00C45315" w:rsidRPr="00DE3E14" w:rsidRDefault="00C45315" w:rsidP="00C45315">
            <w:pPr>
              <w:pStyle w:val="TableText"/>
            </w:pPr>
            <w:r>
              <w:t>N/A</w:t>
            </w:r>
          </w:p>
        </w:tc>
      </w:tr>
      <w:tr w:rsidR="00C45315" w:rsidRPr="00DD2508" w14:paraId="7AEAA702" w14:textId="77777777" w:rsidTr="57F71D55">
        <w:trPr>
          <w:jc w:val="center"/>
        </w:trPr>
        <w:tc>
          <w:tcPr>
            <w:tcW w:w="1184" w:type="dxa"/>
          </w:tcPr>
          <w:p w14:paraId="6C026C29" w14:textId="41DAE531" w:rsidR="00C45315" w:rsidRPr="00DE3E14" w:rsidRDefault="00C45315" w:rsidP="00C45315">
            <w:pPr>
              <w:pStyle w:val="TableText"/>
            </w:pPr>
            <w:r>
              <w:t>2020</w:t>
            </w:r>
          </w:p>
        </w:tc>
        <w:tc>
          <w:tcPr>
            <w:tcW w:w="992" w:type="dxa"/>
            <w:shd w:val="clear" w:color="auto" w:fill="B3B3B3"/>
          </w:tcPr>
          <w:p w14:paraId="33FC594E" w14:textId="77777777" w:rsidR="00C45315" w:rsidRPr="00DE3E14" w:rsidRDefault="00C45315" w:rsidP="00C45315">
            <w:pPr>
              <w:pStyle w:val="TableText"/>
            </w:pPr>
          </w:p>
        </w:tc>
        <w:tc>
          <w:tcPr>
            <w:tcW w:w="990" w:type="dxa"/>
            <w:gridSpan w:val="2"/>
            <w:shd w:val="clear" w:color="auto" w:fill="B3B3B3"/>
          </w:tcPr>
          <w:p w14:paraId="72FADB47" w14:textId="77777777" w:rsidR="00C45315" w:rsidRPr="00DE3E14" w:rsidRDefault="00C45315" w:rsidP="00C45315">
            <w:pPr>
              <w:pStyle w:val="TableText"/>
            </w:pPr>
          </w:p>
        </w:tc>
        <w:tc>
          <w:tcPr>
            <w:tcW w:w="990" w:type="dxa"/>
            <w:tcBorders>
              <w:top w:val="single" w:sz="4" w:space="0" w:color="auto"/>
              <w:bottom w:val="single" w:sz="4" w:space="0" w:color="auto"/>
              <w:right w:val="single" w:sz="4" w:space="0" w:color="auto"/>
            </w:tcBorders>
            <w:shd w:val="clear" w:color="auto" w:fill="B3B3B3"/>
          </w:tcPr>
          <w:p w14:paraId="1CBB19BF" w14:textId="77777777" w:rsidR="00C45315" w:rsidRPr="00DE3E14" w:rsidRDefault="00C45315" w:rsidP="00C45315">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50D77E0A" w14:textId="77777777" w:rsidR="00C45315" w:rsidRPr="00DE3E14" w:rsidRDefault="00C45315" w:rsidP="00C45315">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760B34AC" w14:textId="1E8C7DDC" w:rsidR="00C45315" w:rsidRPr="00DE3E14" w:rsidRDefault="00C45315" w:rsidP="00C45315">
            <w:pPr>
              <w:pStyle w:val="TableText"/>
            </w:pPr>
            <w:r>
              <w:t>60</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26F0B208" w14:textId="3CF3B8F7" w:rsidR="00C45315" w:rsidRPr="00DE3E14" w:rsidRDefault="00C45315" w:rsidP="00C45315">
            <w:pPr>
              <w:pStyle w:val="TableText"/>
            </w:pPr>
            <w:r>
              <w:t>N/A</w:t>
            </w:r>
          </w:p>
        </w:tc>
      </w:tr>
    </w:tbl>
    <w:p w14:paraId="5645BA34" w14:textId="77777777" w:rsidR="00015E34" w:rsidRPr="00335888" w:rsidRDefault="00015E34" w:rsidP="00056BFE">
      <w:pPr>
        <w:rPr>
          <w:rFonts w:ascii="Calibri" w:hAnsi="Calibri"/>
          <w:b/>
          <w:szCs w:val="23"/>
        </w:rPr>
      </w:pPr>
    </w:p>
    <w:p w14:paraId="547A8C66" w14:textId="7FA7E82D" w:rsidR="000D78BA" w:rsidRPr="00684173" w:rsidRDefault="000D78BA" w:rsidP="00056BFE">
      <w:pPr>
        <w:rPr>
          <w:rFonts w:ascii="Calibri" w:hAnsi="Calibri"/>
          <w:szCs w:val="23"/>
        </w:rPr>
      </w:pPr>
    </w:p>
    <w:p w14:paraId="09EB9631" w14:textId="46A63372" w:rsidR="00056BFE" w:rsidRPr="00D473C8" w:rsidRDefault="00056BFE" w:rsidP="00403CFF">
      <w:pPr>
        <w:pStyle w:val="MeasureTitle"/>
      </w:pPr>
      <w:r>
        <w:t xml:space="preserve">Goal </w:t>
      </w:r>
      <w:r w:rsidR="00887F40">
        <w:t>3</w:t>
      </w:r>
      <w:r>
        <w:t>: Absolute Measure</w:t>
      </w:r>
    </w:p>
    <w:p w14:paraId="0BBB45D9" w14:textId="4BE8487D" w:rsidR="00056BFE" w:rsidRPr="007B6C9C" w:rsidRDefault="00056BFE" w:rsidP="57F71D55">
      <w:pPr>
        <w:pStyle w:val="MeasureText"/>
      </w:pPr>
      <w:r>
        <w:t xml:space="preserve">Each year, the Performance </w:t>
      </w:r>
      <w:r w:rsidR="00AF2967">
        <w:t xml:space="preserve">Index </w:t>
      </w:r>
      <w:r>
        <w:t>(“</w:t>
      </w:r>
      <w:r w:rsidR="00AF2967">
        <w:t>PI</w:t>
      </w:r>
      <w:r>
        <w:t>”)</w:t>
      </w:r>
      <w:r w:rsidRPr="57F71D55">
        <w:rPr>
          <w:rStyle w:val="FootnoteReference"/>
        </w:rPr>
        <w:t xml:space="preserve"> </w:t>
      </w:r>
      <w:r>
        <w:t>on the Regents English exam of students completing their fourth year in the Accountability Cohort will meet th</w:t>
      </w:r>
      <w:r w:rsidR="00AF2967">
        <w:t>e state’s Measure of Interim Progress</w:t>
      </w:r>
      <w:r w:rsidR="002B4B25">
        <w:t xml:space="preserve"> </w:t>
      </w:r>
      <w:r>
        <w:t>(“</w:t>
      </w:r>
      <w:r w:rsidR="00AF2967">
        <w:t>MIP</w:t>
      </w:r>
      <w:r>
        <w:t xml:space="preserve">”) set forth in the state’s </w:t>
      </w:r>
      <w:r w:rsidR="00AF2967">
        <w:t xml:space="preserve">ESSA </w:t>
      </w:r>
      <w:r>
        <w:t>accountability system.</w:t>
      </w:r>
    </w:p>
    <w:p w14:paraId="796859C8" w14:textId="77777777" w:rsidR="00537206" w:rsidRDefault="00537206" w:rsidP="00537206">
      <w:pPr>
        <w:rPr>
          <w:rFonts w:ascii="Calibri" w:hAnsi="Calibri"/>
        </w:rPr>
      </w:pPr>
      <w:r>
        <w:t>The calculation of this measure is not required for 2020-21.</w:t>
      </w:r>
    </w:p>
    <w:p w14:paraId="4F3939C3" w14:textId="6BDD34E6" w:rsidR="00D23C71" w:rsidRPr="00D473C8" w:rsidRDefault="00887F40" w:rsidP="00D23C71">
      <w:pPr>
        <w:pStyle w:val="MeasureTitle"/>
      </w:pPr>
      <w:r>
        <w:t>Goal 3</w:t>
      </w:r>
      <w:r w:rsidR="00D23C71" w:rsidRPr="00DD2508">
        <w:t>: Comparative Measure</w:t>
      </w:r>
    </w:p>
    <w:p w14:paraId="309181BB" w14:textId="7E21AADD" w:rsidR="00D23C71" w:rsidRPr="007B6C9C" w:rsidRDefault="00D23C71" w:rsidP="57F71D55">
      <w:pPr>
        <w:pStyle w:val="MeasureText"/>
      </w:pPr>
      <w:r>
        <w:t>Each year, the percent of students in the high school T</w:t>
      </w:r>
      <w:r w:rsidR="00984F81">
        <w:t>otal Cohort meeting or exceeding Common Core expectations on the Regents Exam in English Language Arts (Common Core) will exceed the percentage of comparable students in the district meeting or exceeding Common Core expectations.</w:t>
      </w:r>
    </w:p>
    <w:p w14:paraId="24C53A1B" w14:textId="77777777" w:rsidR="00537206" w:rsidRDefault="00537206" w:rsidP="00537206">
      <w:pPr>
        <w:rPr>
          <w:rFonts w:ascii="Calibri" w:hAnsi="Calibri"/>
        </w:rPr>
      </w:pPr>
      <w:r>
        <w:t>The calculation of this measure is not required for 2020-21.</w:t>
      </w:r>
    </w:p>
    <w:p w14:paraId="4DFEF4AA" w14:textId="05A04939" w:rsidR="003308B1" w:rsidRPr="00D473C8" w:rsidRDefault="003308B1" w:rsidP="003308B1">
      <w:pPr>
        <w:pStyle w:val="MeasureTitle"/>
      </w:pPr>
      <w:r w:rsidRPr="00DD2508">
        <w:t>Goa</w:t>
      </w:r>
      <w:r w:rsidR="00887F40">
        <w:t>l 3</w:t>
      </w:r>
      <w:r w:rsidRPr="00DD2508">
        <w:t>: Comparative Measure</w:t>
      </w:r>
    </w:p>
    <w:p w14:paraId="2BDBB872" w14:textId="121139A8" w:rsidR="003308B1" w:rsidRPr="007B6C9C" w:rsidRDefault="003308B1" w:rsidP="57F71D55">
      <w:pPr>
        <w:pStyle w:val="MeasureText"/>
      </w:pPr>
      <w:r>
        <w:t>Each year, the percent of students in the high school Total Cohort at least partially meeting Common Core expectations on the Regents Exam in English Language Arts (Common Core) will exceed the percentage of comparable students in the district at least partially meeting Common Core expectations.</w:t>
      </w:r>
    </w:p>
    <w:p w14:paraId="702194FA" w14:textId="32BE5352" w:rsidR="00D23C71" w:rsidRPr="00537206" w:rsidRDefault="00537206" w:rsidP="00056BFE">
      <w:pPr>
        <w:rPr>
          <w:rFonts w:ascii="Calibri" w:hAnsi="Calibri"/>
        </w:rPr>
      </w:pPr>
      <w:r>
        <w:t>The calculation of this measure is not required for 2020-21.</w:t>
      </w:r>
    </w:p>
    <w:p w14:paraId="3B7046E1" w14:textId="73375B35" w:rsidR="00056BFE" w:rsidRPr="00D473C8" w:rsidRDefault="00056BFE" w:rsidP="00056BFE">
      <w:pPr>
        <w:pStyle w:val="MeasureTitle"/>
      </w:pPr>
      <w:r w:rsidRPr="00DD2508">
        <w:t xml:space="preserve">Goal </w:t>
      </w:r>
      <w:r w:rsidR="00887F40">
        <w:t>3</w:t>
      </w:r>
      <w:r w:rsidRPr="00DD2508">
        <w:t>: Comparative Measure</w:t>
      </w:r>
    </w:p>
    <w:p w14:paraId="2A3B3281" w14:textId="2E20495F" w:rsidR="00056BFE" w:rsidRPr="007B6C9C" w:rsidRDefault="00056BFE" w:rsidP="57F71D55">
      <w:pPr>
        <w:pStyle w:val="MeasureText"/>
      </w:pPr>
      <w:r>
        <w:t xml:space="preserve">Each year, the Performance </w:t>
      </w:r>
      <w:r w:rsidR="00D23C71">
        <w:t xml:space="preserve">Index </w:t>
      </w:r>
      <w:r>
        <w:t>(“</w:t>
      </w:r>
      <w:r w:rsidR="00D23C71">
        <w:t>PI</w:t>
      </w:r>
      <w:r>
        <w:t>”) in Regents English of students in the fourth year of their high school Accountability Cohort will exceed t</w:t>
      </w:r>
      <w:r w:rsidR="00D23C71">
        <w:t xml:space="preserve">hat </w:t>
      </w:r>
      <w:r>
        <w:t>of comparable students from the school district of comparison.</w:t>
      </w:r>
    </w:p>
    <w:p w14:paraId="1003C9AE" w14:textId="37CC1E1E" w:rsidR="0005503F" w:rsidRPr="00537206" w:rsidRDefault="00537206" w:rsidP="00056BFE">
      <w:pPr>
        <w:rPr>
          <w:rFonts w:ascii="Calibri" w:hAnsi="Calibri"/>
        </w:rPr>
      </w:pPr>
      <w:r>
        <w:t>The calculation of this measure is not required for 2020-21.</w:t>
      </w:r>
    </w:p>
    <w:p w14:paraId="0BDCB55E" w14:textId="5671D484" w:rsidR="00D11ACE" w:rsidRPr="006846D8" w:rsidRDefault="00887F40" w:rsidP="00D11ACE">
      <w:pPr>
        <w:pStyle w:val="MeasureTitle"/>
      </w:pPr>
      <w:r>
        <w:t>Goal 3</w:t>
      </w:r>
      <w:r w:rsidR="00D11ACE" w:rsidRPr="00DD2508">
        <w:t xml:space="preserve">: </w:t>
      </w:r>
      <w:r w:rsidR="00D11ACE">
        <w:t>Growth</w:t>
      </w:r>
      <w:r w:rsidR="00D11ACE" w:rsidRPr="00DD2508">
        <w:t xml:space="preserve"> Measure</w:t>
      </w:r>
    </w:p>
    <w:p w14:paraId="2D2690D8" w14:textId="77777777" w:rsidR="00D11ACE" w:rsidRDefault="00D11ACE" w:rsidP="00D11ACE">
      <w:pPr>
        <w:pStyle w:val="MeasureText"/>
        <w:rPr>
          <w:i/>
        </w:rPr>
      </w:pPr>
      <w:r w:rsidRPr="003B5EE1">
        <w:t xml:space="preserve">Each year, </w:t>
      </w:r>
      <w:r>
        <w:t>50</w:t>
      </w:r>
      <w:r w:rsidRPr="003B5EE1">
        <w:t xml:space="preserve"> percent of students in the high school Accountability Cohort who did not score proficient on their New York State 8</w:t>
      </w:r>
      <w:r w:rsidRPr="003B5EE1">
        <w:rPr>
          <w:vertAlign w:val="superscript"/>
        </w:rPr>
        <w:t>th</w:t>
      </w:r>
      <w:r w:rsidRPr="003B5EE1">
        <w:t xml:space="preserve"> grade English language arts exam will meet the college and career read</w:t>
      </w:r>
      <w:r>
        <w:t>iness</w:t>
      </w:r>
      <w:r w:rsidRPr="003B5EE1">
        <w:t xml:space="preserve"> standard (currently scoring </w:t>
      </w:r>
      <w:r>
        <w:t>at Performance Level 4 and fully</w:t>
      </w:r>
      <w:r>
        <w:rPr>
          <w:rFonts w:asciiTheme="minorHAnsi" w:hAnsiTheme="minorHAnsi"/>
        </w:rPr>
        <w:t xml:space="preserve"> meeting Common Core expectations on the Regents Exam in English Language Arts (Common Core)</w:t>
      </w:r>
      <w:r w:rsidRPr="003B5EE1">
        <w:t>) by the completion of their fourth year in the cohort.</w:t>
      </w:r>
    </w:p>
    <w:p w14:paraId="3B8F8310" w14:textId="77777777" w:rsidR="00D11ACE" w:rsidRPr="00DD2508" w:rsidRDefault="00D11ACE" w:rsidP="00D11ACE">
      <w:pPr>
        <w:pStyle w:val="Heading2"/>
      </w:pPr>
      <w:r w:rsidRPr="00DD2508">
        <w:lastRenderedPageBreak/>
        <w:t>Method</w:t>
      </w:r>
    </w:p>
    <w:p w14:paraId="0BA3D96D" w14:textId="77777777" w:rsidR="00D11ACE" w:rsidRDefault="00D11ACE" w:rsidP="57F71D55">
      <w:pPr>
        <w:rPr>
          <w:rFonts w:ascii="Calibri" w:hAnsi="Calibri"/>
        </w:rPr>
      </w:pPr>
      <w:r w:rsidRPr="57F71D55">
        <w:rPr>
          <w:rFonts w:ascii="Calibri" w:hAnsi="Calibri"/>
        </w:rPr>
        <w:t xml:space="preserve">The school demonstrates the effectiveness of its English language arts program by enabling students who were not meeting proficiency standards in the eighth grade to meet the English requirement for the college and career readiness standard.  </w:t>
      </w:r>
    </w:p>
    <w:p w14:paraId="27D8F18E" w14:textId="77777777" w:rsidR="00D11ACE" w:rsidRPr="00DD2508" w:rsidRDefault="00D11ACE" w:rsidP="00D11ACE">
      <w:pPr>
        <w:pStyle w:val="Heading2"/>
      </w:pPr>
      <w:r w:rsidRPr="00D15344">
        <w:t>Results And Evaluation</w:t>
      </w:r>
    </w:p>
    <w:p w14:paraId="71597CCA" w14:textId="29E1DF39" w:rsidR="00184492" w:rsidRPr="00DD2508" w:rsidRDefault="00D15344" w:rsidP="57F71D55">
      <w:pPr>
        <w:rPr>
          <w:rFonts w:ascii="Calibri" w:hAnsi="Calibri"/>
          <w:highlight w:val="lightGray"/>
        </w:rPr>
      </w:pPr>
      <w:r>
        <w:rPr>
          <w:rFonts w:ascii="Calibri" w:hAnsi="Calibri"/>
        </w:rPr>
        <w:t xml:space="preserve">We do not have information for </w:t>
      </w:r>
      <w:proofErr w:type="gramStart"/>
      <w:r>
        <w:rPr>
          <w:rFonts w:ascii="Calibri" w:hAnsi="Calibri"/>
        </w:rPr>
        <w:t>all of</w:t>
      </w:r>
      <w:proofErr w:type="gramEnd"/>
      <w:r>
        <w:rPr>
          <w:rFonts w:ascii="Calibri" w:hAnsi="Calibri"/>
        </w:rPr>
        <w:t xml:space="preserve"> our students in the 2017 cohort and their results on the grade 8 ELA test. Based </w:t>
      </w:r>
      <w:proofErr w:type="gramStart"/>
      <w:r>
        <w:rPr>
          <w:rFonts w:ascii="Calibri" w:hAnsi="Calibri"/>
        </w:rPr>
        <w:t>off of</w:t>
      </w:r>
      <w:proofErr w:type="gramEnd"/>
      <w:r>
        <w:rPr>
          <w:rFonts w:ascii="Calibri" w:hAnsi="Calibri"/>
        </w:rPr>
        <w:t xml:space="preserve"> the information that we have, </w:t>
      </w:r>
    </w:p>
    <w:p w14:paraId="38F5FD26" w14:textId="77777777" w:rsidR="00D11ACE" w:rsidRDefault="00D11ACE" w:rsidP="00D11ACE">
      <w:pPr>
        <w:pStyle w:val="TableHeader"/>
      </w:pPr>
      <w:r>
        <w:t xml:space="preserve">Percent Achieving at Least Performance Level 4 on Common Core exam among Students </w:t>
      </w:r>
    </w:p>
    <w:p w14:paraId="4FFD7445" w14:textId="1898BCD0" w:rsidR="00D11ACE" w:rsidRDefault="00D11ACE" w:rsidP="00D11ACE">
      <w:pPr>
        <w:pStyle w:val="TableHeader"/>
      </w:pPr>
      <w:r>
        <w:t>Who Were Not Proficient in the 8</w:t>
      </w:r>
      <w:r w:rsidRPr="0087215D">
        <w:rPr>
          <w:vertAlign w:val="superscript"/>
        </w:rPr>
        <w:t>th</w:t>
      </w:r>
      <w:r>
        <w:t xml:space="preserve"> Grade </w:t>
      </w:r>
      <w:r w:rsidRPr="00DD2508">
        <w:t xml:space="preserve">by Fourth Year Accountability </w:t>
      </w:r>
      <w:proofErr w:type="gramStart"/>
      <w:r w:rsidRPr="00DD2508">
        <w:t>Cohort</w:t>
      </w:r>
      <w:proofErr w:type="gramEnd"/>
      <w:r>
        <w:t xml:space="preserve"> </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350"/>
        <w:gridCol w:w="1350"/>
        <w:gridCol w:w="1350"/>
        <w:gridCol w:w="1350"/>
        <w:gridCol w:w="2483"/>
      </w:tblGrid>
      <w:tr w:rsidR="007C00C9" w:rsidRPr="00DD2508" w14:paraId="262AB790" w14:textId="77777777" w:rsidTr="57F71D55">
        <w:trPr>
          <w:trHeight w:val="758"/>
          <w:jc w:val="center"/>
        </w:trPr>
        <w:tc>
          <w:tcPr>
            <w:tcW w:w="1400" w:type="dxa"/>
            <w:shd w:val="clear" w:color="auto" w:fill="auto"/>
            <w:vAlign w:val="center"/>
          </w:tcPr>
          <w:p w14:paraId="49625042" w14:textId="77777777" w:rsidR="007C00C9" w:rsidRPr="00DE3E14" w:rsidRDefault="007C00C9" w:rsidP="009502D1">
            <w:pPr>
              <w:pStyle w:val="TableText"/>
            </w:pPr>
            <w:r w:rsidRPr="00DE3E14">
              <w:t>Cohort Designation</w:t>
            </w:r>
          </w:p>
        </w:tc>
        <w:tc>
          <w:tcPr>
            <w:tcW w:w="1350" w:type="dxa"/>
          </w:tcPr>
          <w:p w14:paraId="1DAA0BDF" w14:textId="77777777" w:rsidR="007C00C9" w:rsidRDefault="007C00C9" w:rsidP="009502D1">
            <w:pPr>
              <w:pStyle w:val="TableText"/>
            </w:pPr>
          </w:p>
          <w:p w14:paraId="3CAAC3B8" w14:textId="77777777" w:rsidR="007C00C9" w:rsidRDefault="007C00C9" w:rsidP="009502D1">
            <w:pPr>
              <w:pStyle w:val="TableText"/>
            </w:pPr>
            <w:r>
              <w:t>Fourth</w:t>
            </w:r>
          </w:p>
          <w:p w14:paraId="2EA13815" w14:textId="41F3BD08" w:rsidR="007C00C9" w:rsidRPr="00DE3E14" w:rsidRDefault="007C00C9" w:rsidP="009502D1">
            <w:pPr>
              <w:pStyle w:val="TableText"/>
            </w:pPr>
            <w:r>
              <w:t>Year</w:t>
            </w:r>
          </w:p>
        </w:tc>
        <w:tc>
          <w:tcPr>
            <w:tcW w:w="1350" w:type="dxa"/>
            <w:vAlign w:val="center"/>
          </w:tcPr>
          <w:p w14:paraId="64CDE8B4" w14:textId="02EBACF8" w:rsidR="007C00C9" w:rsidRPr="00DE3E14" w:rsidRDefault="007C00C9" w:rsidP="009502D1">
            <w:pPr>
              <w:pStyle w:val="TableText"/>
            </w:pPr>
            <w:r>
              <w:t>Number in Cohort</w:t>
            </w:r>
            <w:r w:rsidR="42F63396">
              <w:t xml:space="preserve"> not Proficient in 8</w:t>
            </w:r>
            <w:r w:rsidR="42F63396" w:rsidRPr="57F71D55">
              <w:rPr>
                <w:vertAlign w:val="superscript"/>
              </w:rPr>
              <w:t>th</w:t>
            </w:r>
            <w:r w:rsidR="42F63396">
              <w:t xml:space="preserve"> Grade</w:t>
            </w:r>
            <w:r w:rsidR="7C393187">
              <w:t xml:space="preserve"> </w:t>
            </w:r>
          </w:p>
          <w:p w14:paraId="5BADE1F8" w14:textId="1DCEB174" w:rsidR="007C00C9" w:rsidRPr="00DE3E14" w:rsidRDefault="7C393187" w:rsidP="009502D1">
            <w:pPr>
              <w:pStyle w:val="TableText"/>
            </w:pPr>
            <w:r>
              <w:t>(a)</w:t>
            </w:r>
          </w:p>
        </w:tc>
        <w:tc>
          <w:tcPr>
            <w:tcW w:w="1350" w:type="dxa"/>
            <w:vAlign w:val="center"/>
          </w:tcPr>
          <w:p w14:paraId="3EB5A74E" w14:textId="7ACE84D2" w:rsidR="7C393187" w:rsidRDefault="7C393187" w:rsidP="57F71D55">
            <w:pPr>
              <w:pStyle w:val="TableText"/>
            </w:pPr>
            <w:r>
              <w:t xml:space="preserve">Number Exempted with No Valid Score </w:t>
            </w:r>
          </w:p>
          <w:p w14:paraId="57E7EB8F" w14:textId="2D46DBCA" w:rsidR="7C393187" w:rsidRDefault="7C393187" w:rsidP="57F71D55">
            <w:pPr>
              <w:pStyle w:val="TableText"/>
            </w:pPr>
            <w:r>
              <w:t>(b)</w:t>
            </w:r>
          </w:p>
        </w:tc>
        <w:tc>
          <w:tcPr>
            <w:tcW w:w="1350" w:type="dxa"/>
            <w:vAlign w:val="center"/>
          </w:tcPr>
          <w:p w14:paraId="7955545F" w14:textId="4D6C4906" w:rsidR="7C393187" w:rsidRDefault="7C393187" w:rsidP="57F71D55">
            <w:pPr>
              <w:pStyle w:val="TableText"/>
            </w:pPr>
            <w:r>
              <w:t>Number Scoring at Least Level 4 (c)</w:t>
            </w:r>
          </w:p>
        </w:tc>
        <w:tc>
          <w:tcPr>
            <w:tcW w:w="2483" w:type="dxa"/>
            <w:tcBorders>
              <w:top w:val="single" w:sz="12" w:space="0" w:color="auto"/>
              <w:left w:val="single" w:sz="12" w:space="0" w:color="auto"/>
              <w:right w:val="single" w:sz="12" w:space="0" w:color="auto"/>
            </w:tcBorders>
            <w:vAlign w:val="center"/>
          </w:tcPr>
          <w:p w14:paraId="38C2D9CF" w14:textId="53F0FB06" w:rsidR="007C00C9" w:rsidRPr="00DE3E14" w:rsidRDefault="00874A06" w:rsidP="007C00C9">
            <w:pPr>
              <w:pStyle w:val="TableText"/>
            </w:pPr>
            <w:r>
              <w:t>Percent Scoring at Least Level 4</w:t>
            </w:r>
            <w:r w:rsidR="7C393187">
              <w:t xml:space="preserve"> Among Students with Valid Score</w:t>
            </w:r>
            <w:r w:rsidR="007C00C9">
              <w:br/>
            </w:r>
            <w:r w:rsidR="7C393187">
              <w:t>(c)/(a-b)</w:t>
            </w:r>
          </w:p>
        </w:tc>
      </w:tr>
      <w:tr w:rsidR="007C00C9" w:rsidRPr="00DD2508" w14:paraId="3D569F36" w14:textId="77777777" w:rsidTr="57F71D55">
        <w:trPr>
          <w:trHeight w:val="228"/>
          <w:jc w:val="center"/>
        </w:trPr>
        <w:tc>
          <w:tcPr>
            <w:tcW w:w="1400" w:type="dxa"/>
          </w:tcPr>
          <w:p w14:paraId="42AE42DE" w14:textId="58A14F50" w:rsidR="007C00C9" w:rsidRPr="00DE3E14" w:rsidRDefault="007C00C9" w:rsidP="009502D1">
            <w:pPr>
              <w:pStyle w:val="TableText"/>
            </w:pPr>
            <w:r>
              <w:t>201</w:t>
            </w:r>
            <w:r w:rsidR="00EF1F08">
              <w:t>5</w:t>
            </w:r>
          </w:p>
        </w:tc>
        <w:tc>
          <w:tcPr>
            <w:tcW w:w="1350" w:type="dxa"/>
          </w:tcPr>
          <w:p w14:paraId="0C557B61" w14:textId="523764AD" w:rsidR="007C00C9" w:rsidRPr="00DE3E14" w:rsidRDefault="007C00C9" w:rsidP="009502D1">
            <w:pPr>
              <w:pStyle w:val="TableText"/>
            </w:pPr>
            <w:r>
              <w:t>201</w:t>
            </w:r>
            <w:r w:rsidR="00EF1F08">
              <w:t>8</w:t>
            </w:r>
            <w:r>
              <w:t>-1</w:t>
            </w:r>
            <w:r w:rsidR="00EF1F08">
              <w:t>9</w:t>
            </w:r>
          </w:p>
        </w:tc>
        <w:tc>
          <w:tcPr>
            <w:tcW w:w="1350" w:type="dxa"/>
          </w:tcPr>
          <w:p w14:paraId="3248047C" w14:textId="145B443C" w:rsidR="007C00C9" w:rsidRPr="00DE3E14" w:rsidRDefault="007C00C9" w:rsidP="009502D1">
            <w:pPr>
              <w:pStyle w:val="TableText"/>
            </w:pPr>
          </w:p>
        </w:tc>
        <w:tc>
          <w:tcPr>
            <w:tcW w:w="1350" w:type="dxa"/>
          </w:tcPr>
          <w:p w14:paraId="2340A615" w14:textId="6D4C66F8" w:rsidR="189CF362" w:rsidRDefault="189CF362" w:rsidP="57F71D55">
            <w:pPr>
              <w:pStyle w:val="TableText"/>
            </w:pPr>
            <w:r>
              <w:t>0</w:t>
            </w:r>
          </w:p>
        </w:tc>
        <w:tc>
          <w:tcPr>
            <w:tcW w:w="1350" w:type="dxa"/>
          </w:tcPr>
          <w:p w14:paraId="56A1B6E3" w14:textId="6C6067B4" w:rsidR="57F71D55" w:rsidRDefault="57F71D55" w:rsidP="57F71D55">
            <w:pPr>
              <w:pStyle w:val="TableText"/>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0FE0C79E" w14:textId="77777777" w:rsidR="007C00C9" w:rsidRPr="00DE3E14" w:rsidRDefault="007C00C9" w:rsidP="009502D1">
            <w:pPr>
              <w:pStyle w:val="TableText"/>
              <w:rPr>
                <w:b/>
              </w:rPr>
            </w:pPr>
          </w:p>
        </w:tc>
      </w:tr>
      <w:tr w:rsidR="007C00C9" w:rsidRPr="00DD2508" w14:paraId="1F0F9337" w14:textId="77777777" w:rsidTr="57F71D55">
        <w:trPr>
          <w:trHeight w:val="228"/>
          <w:jc w:val="center"/>
        </w:trPr>
        <w:tc>
          <w:tcPr>
            <w:tcW w:w="1400" w:type="dxa"/>
          </w:tcPr>
          <w:p w14:paraId="3F26B7E7" w14:textId="3FBEAB89" w:rsidR="007C00C9" w:rsidRPr="00DE3E14" w:rsidRDefault="007C00C9" w:rsidP="009502D1">
            <w:pPr>
              <w:pStyle w:val="TableText"/>
            </w:pPr>
            <w:r>
              <w:t>201</w:t>
            </w:r>
            <w:r w:rsidR="00EF1F08">
              <w:t>6</w:t>
            </w:r>
          </w:p>
        </w:tc>
        <w:tc>
          <w:tcPr>
            <w:tcW w:w="1350" w:type="dxa"/>
          </w:tcPr>
          <w:p w14:paraId="1103C495" w14:textId="6532E8C2" w:rsidR="007C00C9" w:rsidRPr="00DE3E14" w:rsidRDefault="007C00C9" w:rsidP="009502D1">
            <w:pPr>
              <w:pStyle w:val="TableText"/>
            </w:pPr>
            <w:r>
              <w:t>201</w:t>
            </w:r>
            <w:r w:rsidR="00EF1F08">
              <w:t>9-20</w:t>
            </w:r>
          </w:p>
        </w:tc>
        <w:tc>
          <w:tcPr>
            <w:tcW w:w="1350" w:type="dxa"/>
          </w:tcPr>
          <w:p w14:paraId="4B69F83A" w14:textId="466AF9F3" w:rsidR="007C00C9" w:rsidRPr="00DE3E14" w:rsidRDefault="007C00C9" w:rsidP="009502D1">
            <w:pPr>
              <w:pStyle w:val="TableText"/>
            </w:pPr>
          </w:p>
        </w:tc>
        <w:tc>
          <w:tcPr>
            <w:tcW w:w="1350" w:type="dxa"/>
          </w:tcPr>
          <w:p w14:paraId="3EE2CC77" w14:textId="122EF3C0" w:rsidR="189CF362" w:rsidRDefault="189CF362" w:rsidP="57F71D55">
            <w:pPr>
              <w:pStyle w:val="TableText"/>
            </w:pPr>
            <w:r>
              <w:t>0</w:t>
            </w:r>
          </w:p>
        </w:tc>
        <w:tc>
          <w:tcPr>
            <w:tcW w:w="1350" w:type="dxa"/>
          </w:tcPr>
          <w:p w14:paraId="69214715" w14:textId="3149B2F2" w:rsidR="57F71D55" w:rsidRDefault="57F71D55" w:rsidP="57F71D55">
            <w:pPr>
              <w:pStyle w:val="TableText"/>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3B64A4B5" w14:textId="77777777" w:rsidR="007C00C9" w:rsidRPr="00DE3E14" w:rsidRDefault="007C00C9" w:rsidP="009502D1">
            <w:pPr>
              <w:pStyle w:val="TableText"/>
            </w:pPr>
          </w:p>
        </w:tc>
      </w:tr>
      <w:tr w:rsidR="007C00C9" w:rsidRPr="00DD2508" w14:paraId="6E1E2877" w14:textId="77777777" w:rsidTr="57F71D55">
        <w:trPr>
          <w:trHeight w:val="260"/>
          <w:jc w:val="center"/>
        </w:trPr>
        <w:tc>
          <w:tcPr>
            <w:tcW w:w="1400" w:type="dxa"/>
          </w:tcPr>
          <w:p w14:paraId="338F6831" w14:textId="267E3487" w:rsidR="007C00C9" w:rsidRPr="00DE3E14" w:rsidRDefault="007C00C9" w:rsidP="009502D1">
            <w:pPr>
              <w:pStyle w:val="TableText"/>
            </w:pPr>
            <w:r>
              <w:t>201</w:t>
            </w:r>
            <w:r w:rsidR="00EF1F08">
              <w:t>7</w:t>
            </w:r>
          </w:p>
        </w:tc>
        <w:tc>
          <w:tcPr>
            <w:tcW w:w="1350" w:type="dxa"/>
          </w:tcPr>
          <w:p w14:paraId="0CE354B4" w14:textId="1DADD224" w:rsidR="007C00C9" w:rsidRPr="00DE3E14" w:rsidRDefault="00EF1F08" w:rsidP="009502D1">
            <w:pPr>
              <w:pStyle w:val="TableText"/>
            </w:pPr>
            <w:r>
              <w:t>2020</w:t>
            </w:r>
            <w:r w:rsidR="007C00C9">
              <w:t>-</w:t>
            </w:r>
            <w:r>
              <w:t>21</w:t>
            </w:r>
          </w:p>
        </w:tc>
        <w:tc>
          <w:tcPr>
            <w:tcW w:w="1350" w:type="dxa"/>
            <w:tcBorders>
              <w:bottom w:val="single" w:sz="4" w:space="0" w:color="auto"/>
            </w:tcBorders>
          </w:tcPr>
          <w:p w14:paraId="1F9CF705" w14:textId="2283C580" w:rsidR="007C00C9" w:rsidRPr="00DE3E14" w:rsidRDefault="00D15344" w:rsidP="009502D1">
            <w:pPr>
              <w:pStyle w:val="TableText"/>
            </w:pPr>
            <w:r>
              <w:t>8</w:t>
            </w:r>
          </w:p>
        </w:tc>
        <w:tc>
          <w:tcPr>
            <w:tcW w:w="1350" w:type="dxa"/>
            <w:tcBorders>
              <w:bottom w:val="single" w:sz="4" w:space="0" w:color="auto"/>
            </w:tcBorders>
          </w:tcPr>
          <w:p w14:paraId="2FDEA743" w14:textId="343C899B" w:rsidR="57F71D55" w:rsidRDefault="00E57B58" w:rsidP="57F71D55">
            <w:pPr>
              <w:pStyle w:val="TableText"/>
            </w:pPr>
            <w:r>
              <w:t>1</w:t>
            </w:r>
          </w:p>
        </w:tc>
        <w:tc>
          <w:tcPr>
            <w:tcW w:w="1350" w:type="dxa"/>
            <w:tcBorders>
              <w:bottom w:val="single" w:sz="4" w:space="0" w:color="auto"/>
            </w:tcBorders>
          </w:tcPr>
          <w:p w14:paraId="48DF681F" w14:textId="35EED43D" w:rsidR="57F71D55" w:rsidRDefault="00D15344" w:rsidP="57F71D55">
            <w:pPr>
              <w:pStyle w:val="TableText"/>
            </w:pPr>
            <w:r>
              <w:t>2</w:t>
            </w:r>
          </w:p>
        </w:tc>
        <w:tc>
          <w:tcPr>
            <w:tcW w:w="2483" w:type="dxa"/>
            <w:tcBorders>
              <w:top w:val="single" w:sz="4" w:space="0" w:color="auto"/>
              <w:left w:val="single" w:sz="12" w:space="0" w:color="auto"/>
              <w:bottom w:val="single" w:sz="12" w:space="0" w:color="auto"/>
              <w:right w:val="single" w:sz="12" w:space="0" w:color="auto"/>
            </w:tcBorders>
            <w:shd w:val="clear" w:color="auto" w:fill="auto"/>
          </w:tcPr>
          <w:p w14:paraId="63BD3EC6" w14:textId="379181AC" w:rsidR="007C00C9" w:rsidRPr="00DE3E14" w:rsidRDefault="00D15344" w:rsidP="009502D1">
            <w:pPr>
              <w:pStyle w:val="TableText"/>
            </w:pPr>
            <w:r>
              <w:t>29%</w:t>
            </w:r>
          </w:p>
        </w:tc>
      </w:tr>
    </w:tbl>
    <w:p w14:paraId="1714C4D1" w14:textId="7B36D574" w:rsidR="007C00C9" w:rsidRDefault="007C00C9" w:rsidP="00D11ACE">
      <w:pPr>
        <w:rPr>
          <w:rFonts w:ascii="Calibri" w:hAnsi="Calibri"/>
          <w:szCs w:val="23"/>
        </w:rPr>
      </w:pPr>
    </w:p>
    <w:p w14:paraId="01A7B064" w14:textId="19269983" w:rsidR="00E57B58" w:rsidRDefault="00E57B58" w:rsidP="00D11ACE">
      <w:pPr>
        <w:rPr>
          <w:rFonts w:ascii="Calibri" w:hAnsi="Calibri"/>
          <w:szCs w:val="23"/>
        </w:rPr>
      </w:pPr>
    </w:p>
    <w:p w14:paraId="49A0CDBF" w14:textId="764990EF" w:rsidR="00D11ACE" w:rsidRPr="006846D8" w:rsidRDefault="00887F40" w:rsidP="00D11ACE">
      <w:pPr>
        <w:pStyle w:val="MeasureTitle"/>
      </w:pPr>
      <w:r>
        <w:t>Goal 3</w:t>
      </w:r>
      <w:r w:rsidR="00D11ACE" w:rsidRPr="00DD2508">
        <w:t xml:space="preserve">: </w:t>
      </w:r>
      <w:r w:rsidR="00D11ACE">
        <w:t>Growth</w:t>
      </w:r>
      <w:r w:rsidR="00D11ACE" w:rsidRPr="00DD2508">
        <w:t xml:space="preserve"> Measure</w:t>
      </w:r>
    </w:p>
    <w:p w14:paraId="3901EFC1" w14:textId="77777777" w:rsidR="00D11ACE" w:rsidRDefault="00D11ACE" w:rsidP="00D11ACE">
      <w:pPr>
        <w:pStyle w:val="MeasureText"/>
        <w:rPr>
          <w:i/>
        </w:rPr>
      </w:pPr>
      <w:r w:rsidRPr="003B5EE1">
        <w:t xml:space="preserve">Each year, </w:t>
      </w:r>
      <w:r>
        <w:t>75</w:t>
      </w:r>
      <w:r w:rsidRPr="003B5EE1">
        <w:t xml:space="preserve"> percent of students in the high school Accountability Cohort who did not score proficient on their New York State 8</w:t>
      </w:r>
      <w:r w:rsidRPr="003B5EE1">
        <w:rPr>
          <w:vertAlign w:val="superscript"/>
        </w:rPr>
        <w:t>th</w:t>
      </w:r>
      <w:r w:rsidRPr="003B5EE1">
        <w:t xml:space="preserve"> grade English language arts exam will </w:t>
      </w:r>
      <w:r>
        <w:t xml:space="preserve">at least partially </w:t>
      </w:r>
      <w:r w:rsidRPr="003B5EE1">
        <w:t xml:space="preserve">meet </w:t>
      </w:r>
      <w:r>
        <w:t>Common Core expectations</w:t>
      </w:r>
      <w:r w:rsidRPr="003B5EE1">
        <w:t xml:space="preserve"> (currently scoring </w:t>
      </w:r>
      <w:r>
        <w:t xml:space="preserve">at Performance Level 3 </w:t>
      </w:r>
      <w:r>
        <w:rPr>
          <w:rFonts w:asciiTheme="minorHAnsi" w:hAnsiTheme="minorHAnsi"/>
        </w:rPr>
        <w:t>on the Regents Exam in English Language Arts (Common Core)</w:t>
      </w:r>
      <w:r w:rsidRPr="003B5EE1">
        <w:t>) by the completion of their fourth year in the cohort.</w:t>
      </w:r>
    </w:p>
    <w:p w14:paraId="1A579103" w14:textId="75885C02" w:rsidR="00D11ACE" w:rsidRPr="00DD2508" w:rsidRDefault="00D51EAE" w:rsidP="00D11ACE">
      <w:pPr>
        <w:pStyle w:val="Heading2"/>
      </w:pPr>
      <w:r>
        <w:t>Method</w:t>
      </w:r>
    </w:p>
    <w:p w14:paraId="2C62E806" w14:textId="77777777" w:rsidR="00D11ACE" w:rsidRDefault="00D11ACE" w:rsidP="00D11ACE">
      <w:pPr>
        <w:rPr>
          <w:rFonts w:ascii="Calibri" w:hAnsi="Calibri"/>
          <w:szCs w:val="23"/>
        </w:rPr>
      </w:pPr>
      <w:r w:rsidRPr="00DD2508">
        <w:rPr>
          <w:rFonts w:ascii="Calibri" w:hAnsi="Calibri"/>
          <w:szCs w:val="23"/>
        </w:rPr>
        <w:t xml:space="preserve">The school </w:t>
      </w:r>
      <w:r>
        <w:rPr>
          <w:rFonts w:ascii="Calibri" w:hAnsi="Calibri"/>
          <w:szCs w:val="23"/>
        </w:rPr>
        <w:t xml:space="preserve">demonstrates the effectiveness of its English language arts program by enabling students who were not meeting proficiency standards in the eighth grade to meet the English requirement for graduation.  </w:t>
      </w:r>
    </w:p>
    <w:p w14:paraId="696BF00A" w14:textId="77777777" w:rsidR="00D11ACE" w:rsidRPr="00DD2508" w:rsidRDefault="00D11ACE" w:rsidP="00D11ACE">
      <w:pPr>
        <w:pStyle w:val="Heading2"/>
      </w:pPr>
      <w:r w:rsidRPr="00D15344">
        <w:t>Results And Evaluation</w:t>
      </w:r>
    </w:p>
    <w:p w14:paraId="6207C2F2" w14:textId="3CE9F758" w:rsidR="00E57B58" w:rsidRPr="00DD2508" w:rsidRDefault="00E57B58" w:rsidP="00E57B58">
      <w:pPr>
        <w:rPr>
          <w:rFonts w:ascii="Calibri" w:hAnsi="Calibri"/>
          <w:highlight w:val="lightGray"/>
        </w:rPr>
      </w:pPr>
      <w:r w:rsidRPr="00E57B58">
        <w:rPr>
          <w:rFonts w:ascii="Calibri" w:hAnsi="Calibri"/>
        </w:rPr>
        <w:t xml:space="preserve">Of the </w:t>
      </w:r>
      <w:r w:rsidR="00D15344">
        <w:rPr>
          <w:rFonts w:ascii="Calibri" w:hAnsi="Calibri"/>
        </w:rPr>
        <w:t>8</w:t>
      </w:r>
      <w:r w:rsidRPr="00E57B58">
        <w:rPr>
          <w:rFonts w:ascii="Calibri" w:hAnsi="Calibri"/>
        </w:rPr>
        <w:t xml:space="preserve"> students in the 201</w:t>
      </w:r>
      <w:r>
        <w:rPr>
          <w:rFonts w:ascii="Calibri" w:hAnsi="Calibri"/>
        </w:rPr>
        <w:t>7</w:t>
      </w:r>
      <w:r w:rsidRPr="00E57B58">
        <w:rPr>
          <w:rFonts w:ascii="Calibri" w:hAnsi="Calibri"/>
        </w:rPr>
        <w:t xml:space="preserve"> cohort </w:t>
      </w:r>
      <w:r w:rsidR="00D15344">
        <w:rPr>
          <w:rFonts w:ascii="Calibri" w:hAnsi="Calibri"/>
        </w:rPr>
        <w:t xml:space="preserve">that </w:t>
      </w:r>
      <w:proofErr w:type="gramStart"/>
      <w:r w:rsidRPr="00E57B58">
        <w:rPr>
          <w:rFonts w:ascii="Calibri" w:hAnsi="Calibri"/>
        </w:rPr>
        <w:t>were</w:t>
      </w:r>
      <w:proofErr w:type="gramEnd"/>
      <w:r w:rsidR="00D15344">
        <w:rPr>
          <w:rFonts w:ascii="Calibri" w:hAnsi="Calibri"/>
        </w:rPr>
        <w:t xml:space="preserve"> are aware of</w:t>
      </w:r>
      <w:r w:rsidRPr="00E57B58">
        <w:rPr>
          <w:rFonts w:ascii="Calibri" w:hAnsi="Calibri"/>
        </w:rPr>
        <w:t xml:space="preserve"> not</w:t>
      </w:r>
      <w:r w:rsidR="00D15344">
        <w:rPr>
          <w:rFonts w:ascii="Calibri" w:hAnsi="Calibri"/>
        </w:rPr>
        <w:t xml:space="preserve"> being</w:t>
      </w:r>
      <w:r w:rsidRPr="00E57B58">
        <w:rPr>
          <w:rFonts w:ascii="Calibri" w:hAnsi="Calibri"/>
        </w:rPr>
        <w:t xml:space="preserve"> proficient in the 8th grade for English language arts exams, </w:t>
      </w:r>
      <w:r>
        <w:rPr>
          <w:rFonts w:ascii="Calibri" w:hAnsi="Calibri"/>
        </w:rPr>
        <w:t>8</w:t>
      </w:r>
      <w:r w:rsidR="00D15344">
        <w:rPr>
          <w:rFonts w:ascii="Calibri" w:hAnsi="Calibri"/>
        </w:rPr>
        <w:t>6</w:t>
      </w:r>
      <w:r w:rsidRPr="00E57B58">
        <w:rPr>
          <w:rFonts w:ascii="Calibri" w:hAnsi="Calibri"/>
        </w:rPr>
        <w:t xml:space="preserve">% </w:t>
      </w:r>
      <w:r>
        <w:rPr>
          <w:rFonts w:ascii="Calibri" w:hAnsi="Calibri"/>
        </w:rPr>
        <w:t xml:space="preserve">were </w:t>
      </w:r>
      <w:r w:rsidR="00D15344">
        <w:rPr>
          <w:rFonts w:ascii="Calibri" w:hAnsi="Calibri"/>
        </w:rPr>
        <w:t>received at least a level 3 by their fourth year accountability cohort.</w:t>
      </w:r>
      <w:r>
        <w:rPr>
          <w:rFonts w:ascii="Calibri" w:hAnsi="Calibri"/>
        </w:rPr>
        <w:t xml:space="preserve"> We did not have any students sit for the 2020-21 English Language Arts Regents exam.</w:t>
      </w:r>
    </w:p>
    <w:p w14:paraId="51E01CC4" w14:textId="248F31E1" w:rsidR="00887F40" w:rsidRPr="00DD2508" w:rsidRDefault="00887F40" w:rsidP="00D11ACE">
      <w:pPr>
        <w:rPr>
          <w:rFonts w:ascii="Calibri" w:hAnsi="Calibri"/>
          <w:szCs w:val="23"/>
        </w:rPr>
      </w:pPr>
    </w:p>
    <w:p w14:paraId="5AD68792" w14:textId="77777777" w:rsidR="00D11ACE" w:rsidRDefault="00D11ACE" w:rsidP="00D11ACE">
      <w:pPr>
        <w:pStyle w:val="TableHeader"/>
      </w:pPr>
      <w:r>
        <w:t xml:space="preserve">Percent Achieving at Least Performance Level 3 on Common Core exam among Students </w:t>
      </w:r>
    </w:p>
    <w:p w14:paraId="731BD576" w14:textId="4A552AEC" w:rsidR="00D11ACE" w:rsidRDefault="00D11ACE" w:rsidP="00D11ACE">
      <w:pPr>
        <w:pStyle w:val="TableHeader"/>
      </w:pPr>
      <w:r>
        <w:t>Who Were Not Proficient in the 8</w:t>
      </w:r>
      <w:r w:rsidRPr="0087215D">
        <w:rPr>
          <w:vertAlign w:val="superscript"/>
        </w:rPr>
        <w:t>th</w:t>
      </w:r>
      <w:r>
        <w:t xml:space="preserve"> Grade </w:t>
      </w:r>
      <w:r w:rsidRPr="00DD2508">
        <w:t xml:space="preserve">by Fourth Year Accountability </w:t>
      </w:r>
      <w:proofErr w:type="gramStart"/>
      <w:r w:rsidRPr="00DD2508">
        <w:t>Cohort</w:t>
      </w:r>
      <w:proofErr w:type="gramEnd"/>
      <w:r>
        <w:t xml:space="preserve"> </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350"/>
        <w:gridCol w:w="1350"/>
        <w:gridCol w:w="1350"/>
        <w:gridCol w:w="1350"/>
        <w:gridCol w:w="2483"/>
      </w:tblGrid>
      <w:tr w:rsidR="00874A06" w:rsidRPr="00874A06" w14:paraId="0159AE58" w14:textId="77777777" w:rsidTr="00874A06">
        <w:trPr>
          <w:trHeight w:val="758"/>
          <w:jc w:val="center"/>
        </w:trPr>
        <w:tc>
          <w:tcPr>
            <w:tcW w:w="1400" w:type="dxa"/>
            <w:shd w:val="clear" w:color="auto" w:fill="auto"/>
            <w:vAlign w:val="center"/>
          </w:tcPr>
          <w:p w14:paraId="5D62034F" w14:textId="77777777" w:rsidR="00874A06" w:rsidRPr="00874A06" w:rsidRDefault="00874A06" w:rsidP="00874A06">
            <w:pPr>
              <w:spacing w:after="0"/>
              <w:jc w:val="center"/>
              <w:rPr>
                <w:rFonts w:ascii="Calibri" w:hAnsi="Calibri"/>
                <w:sz w:val="20"/>
              </w:rPr>
            </w:pPr>
            <w:r w:rsidRPr="00874A06">
              <w:rPr>
                <w:rFonts w:ascii="Calibri" w:hAnsi="Calibri"/>
                <w:sz w:val="20"/>
              </w:rPr>
              <w:t>Cohort Designation</w:t>
            </w:r>
          </w:p>
        </w:tc>
        <w:tc>
          <w:tcPr>
            <w:tcW w:w="1350" w:type="dxa"/>
          </w:tcPr>
          <w:p w14:paraId="1425C8AA" w14:textId="77777777" w:rsidR="00874A06" w:rsidRPr="00874A06" w:rsidRDefault="00874A06" w:rsidP="00874A06">
            <w:pPr>
              <w:spacing w:after="0"/>
              <w:jc w:val="center"/>
              <w:rPr>
                <w:rFonts w:ascii="Calibri" w:hAnsi="Calibri"/>
                <w:sz w:val="20"/>
              </w:rPr>
            </w:pPr>
          </w:p>
          <w:p w14:paraId="088FE8DE" w14:textId="77777777" w:rsidR="00874A06" w:rsidRPr="00874A06" w:rsidRDefault="00874A06" w:rsidP="00874A06">
            <w:pPr>
              <w:spacing w:after="0"/>
              <w:jc w:val="center"/>
              <w:rPr>
                <w:rFonts w:ascii="Calibri" w:hAnsi="Calibri"/>
                <w:sz w:val="20"/>
              </w:rPr>
            </w:pPr>
            <w:r w:rsidRPr="00874A06">
              <w:rPr>
                <w:rFonts w:ascii="Calibri" w:hAnsi="Calibri"/>
                <w:sz w:val="20"/>
              </w:rPr>
              <w:t>Fourth</w:t>
            </w:r>
          </w:p>
          <w:p w14:paraId="13E54E97" w14:textId="77777777" w:rsidR="00874A06" w:rsidRPr="00874A06" w:rsidRDefault="00874A06" w:rsidP="00874A06">
            <w:pPr>
              <w:spacing w:after="0"/>
              <w:jc w:val="center"/>
              <w:rPr>
                <w:rFonts w:ascii="Calibri" w:hAnsi="Calibri"/>
                <w:sz w:val="20"/>
              </w:rPr>
            </w:pPr>
            <w:r w:rsidRPr="00874A06">
              <w:rPr>
                <w:rFonts w:ascii="Calibri" w:hAnsi="Calibri"/>
                <w:sz w:val="20"/>
              </w:rPr>
              <w:t>Year</w:t>
            </w:r>
          </w:p>
        </w:tc>
        <w:tc>
          <w:tcPr>
            <w:tcW w:w="1350" w:type="dxa"/>
            <w:vAlign w:val="center"/>
          </w:tcPr>
          <w:p w14:paraId="5F04A456" w14:textId="77777777" w:rsidR="00874A06" w:rsidRPr="00874A06" w:rsidRDefault="00874A06" w:rsidP="00874A06">
            <w:pPr>
              <w:spacing w:after="0"/>
              <w:jc w:val="center"/>
              <w:rPr>
                <w:rFonts w:ascii="Calibri" w:hAnsi="Calibri"/>
                <w:sz w:val="20"/>
              </w:rPr>
            </w:pPr>
            <w:r w:rsidRPr="00874A06">
              <w:rPr>
                <w:rFonts w:ascii="Calibri" w:hAnsi="Calibri"/>
                <w:sz w:val="20"/>
              </w:rPr>
              <w:t>Number in Cohort not Proficient in 8</w:t>
            </w:r>
            <w:r w:rsidRPr="00874A06">
              <w:rPr>
                <w:rFonts w:ascii="Calibri" w:hAnsi="Calibri"/>
                <w:sz w:val="20"/>
                <w:vertAlign w:val="superscript"/>
              </w:rPr>
              <w:t>th</w:t>
            </w:r>
            <w:r w:rsidRPr="00874A06">
              <w:rPr>
                <w:rFonts w:ascii="Calibri" w:hAnsi="Calibri"/>
                <w:sz w:val="20"/>
              </w:rPr>
              <w:t xml:space="preserve"> Grade </w:t>
            </w:r>
          </w:p>
          <w:p w14:paraId="50215AE5" w14:textId="77777777" w:rsidR="00874A06" w:rsidRPr="00874A06" w:rsidRDefault="00874A06" w:rsidP="00874A06">
            <w:pPr>
              <w:spacing w:after="0"/>
              <w:jc w:val="center"/>
              <w:rPr>
                <w:rFonts w:ascii="Calibri" w:hAnsi="Calibri"/>
                <w:sz w:val="20"/>
              </w:rPr>
            </w:pPr>
            <w:r w:rsidRPr="00874A06">
              <w:rPr>
                <w:rFonts w:ascii="Calibri" w:hAnsi="Calibri"/>
                <w:sz w:val="20"/>
              </w:rPr>
              <w:lastRenderedPageBreak/>
              <w:t>(a)</w:t>
            </w:r>
          </w:p>
        </w:tc>
        <w:tc>
          <w:tcPr>
            <w:tcW w:w="1350" w:type="dxa"/>
            <w:vAlign w:val="center"/>
          </w:tcPr>
          <w:p w14:paraId="2AA8F35C" w14:textId="77777777" w:rsidR="00874A06" w:rsidRPr="00874A06" w:rsidRDefault="00874A06" w:rsidP="00874A06">
            <w:pPr>
              <w:spacing w:after="0"/>
              <w:jc w:val="center"/>
              <w:rPr>
                <w:rFonts w:ascii="Calibri" w:hAnsi="Calibri"/>
                <w:sz w:val="20"/>
              </w:rPr>
            </w:pPr>
            <w:r w:rsidRPr="00874A06">
              <w:rPr>
                <w:rFonts w:ascii="Calibri" w:hAnsi="Calibri"/>
                <w:sz w:val="20"/>
              </w:rPr>
              <w:lastRenderedPageBreak/>
              <w:t xml:space="preserve">Number Exempted with No Valid Score </w:t>
            </w:r>
          </w:p>
          <w:p w14:paraId="2E8CE70A" w14:textId="77777777" w:rsidR="00874A06" w:rsidRPr="00874A06" w:rsidRDefault="00874A06" w:rsidP="00874A06">
            <w:pPr>
              <w:spacing w:after="0"/>
              <w:jc w:val="center"/>
              <w:rPr>
                <w:rFonts w:ascii="Calibri" w:hAnsi="Calibri"/>
                <w:sz w:val="20"/>
              </w:rPr>
            </w:pPr>
            <w:r w:rsidRPr="00874A06">
              <w:rPr>
                <w:rFonts w:ascii="Calibri" w:hAnsi="Calibri"/>
                <w:sz w:val="20"/>
              </w:rPr>
              <w:lastRenderedPageBreak/>
              <w:t>(b)</w:t>
            </w:r>
          </w:p>
        </w:tc>
        <w:tc>
          <w:tcPr>
            <w:tcW w:w="1350" w:type="dxa"/>
            <w:vAlign w:val="center"/>
          </w:tcPr>
          <w:p w14:paraId="6E884392" w14:textId="3DB5AB67" w:rsidR="00874A06" w:rsidRPr="00874A06" w:rsidRDefault="00874A06" w:rsidP="00874A06">
            <w:pPr>
              <w:spacing w:after="0"/>
              <w:jc w:val="center"/>
              <w:rPr>
                <w:rFonts w:ascii="Calibri" w:hAnsi="Calibri"/>
                <w:sz w:val="20"/>
              </w:rPr>
            </w:pPr>
            <w:r>
              <w:rPr>
                <w:rFonts w:ascii="Calibri" w:hAnsi="Calibri"/>
                <w:sz w:val="20"/>
              </w:rPr>
              <w:lastRenderedPageBreak/>
              <w:t>Number Scoring at Least Level 3</w:t>
            </w:r>
            <w:r w:rsidRPr="00874A06">
              <w:rPr>
                <w:rFonts w:ascii="Calibri" w:hAnsi="Calibri"/>
                <w:sz w:val="20"/>
              </w:rPr>
              <w:t xml:space="preserve"> (c)</w:t>
            </w:r>
          </w:p>
        </w:tc>
        <w:tc>
          <w:tcPr>
            <w:tcW w:w="2483" w:type="dxa"/>
            <w:tcBorders>
              <w:top w:val="single" w:sz="12" w:space="0" w:color="auto"/>
              <w:left w:val="single" w:sz="12" w:space="0" w:color="auto"/>
              <w:right w:val="single" w:sz="12" w:space="0" w:color="auto"/>
            </w:tcBorders>
            <w:vAlign w:val="center"/>
          </w:tcPr>
          <w:p w14:paraId="7C95292D" w14:textId="77777777" w:rsidR="00874A06" w:rsidRPr="00874A06" w:rsidRDefault="00874A06" w:rsidP="00874A06">
            <w:pPr>
              <w:spacing w:after="0"/>
              <w:jc w:val="center"/>
              <w:rPr>
                <w:rFonts w:ascii="Calibri" w:hAnsi="Calibri"/>
                <w:sz w:val="20"/>
              </w:rPr>
            </w:pPr>
            <w:r w:rsidRPr="00874A06">
              <w:rPr>
                <w:rFonts w:ascii="Calibri" w:hAnsi="Calibri"/>
                <w:sz w:val="20"/>
              </w:rPr>
              <w:t>Percent Scoring at Least Level 3 Among Students with Valid Score</w:t>
            </w:r>
            <w:r w:rsidRPr="00874A06">
              <w:rPr>
                <w:rFonts w:ascii="Calibri" w:hAnsi="Calibri"/>
                <w:sz w:val="20"/>
              </w:rPr>
              <w:br/>
              <w:t>(c)/(a-b)</w:t>
            </w:r>
          </w:p>
        </w:tc>
      </w:tr>
      <w:tr w:rsidR="00874A06" w:rsidRPr="00874A06" w14:paraId="2549D783" w14:textId="77777777" w:rsidTr="00874A06">
        <w:trPr>
          <w:trHeight w:val="228"/>
          <w:jc w:val="center"/>
        </w:trPr>
        <w:tc>
          <w:tcPr>
            <w:tcW w:w="1400" w:type="dxa"/>
          </w:tcPr>
          <w:p w14:paraId="68821758" w14:textId="302039CF" w:rsidR="00874A06" w:rsidRPr="00874A06" w:rsidRDefault="00EF1F08" w:rsidP="00874A06">
            <w:pPr>
              <w:spacing w:after="0"/>
              <w:jc w:val="center"/>
              <w:rPr>
                <w:rFonts w:ascii="Calibri" w:hAnsi="Calibri"/>
                <w:sz w:val="20"/>
              </w:rPr>
            </w:pPr>
            <w:r>
              <w:rPr>
                <w:rFonts w:ascii="Calibri" w:hAnsi="Calibri"/>
                <w:sz w:val="20"/>
              </w:rPr>
              <w:t>2015</w:t>
            </w:r>
          </w:p>
        </w:tc>
        <w:tc>
          <w:tcPr>
            <w:tcW w:w="1350" w:type="dxa"/>
          </w:tcPr>
          <w:p w14:paraId="61C67FB5" w14:textId="255D89C3" w:rsidR="00874A06" w:rsidRPr="00874A06" w:rsidRDefault="00EF1F08" w:rsidP="00874A06">
            <w:pPr>
              <w:spacing w:after="0"/>
              <w:jc w:val="center"/>
              <w:rPr>
                <w:rFonts w:ascii="Calibri" w:hAnsi="Calibri"/>
                <w:sz w:val="20"/>
              </w:rPr>
            </w:pPr>
            <w:r>
              <w:rPr>
                <w:rFonts w:ascii="Calibri" w:hAnsi="Calibri"/>
                <w:sz w:val="20"/>
              </w:rPr>
              <w:t>2018-19</w:t>
            </w:r>
          </w:p>
        </w:tc>
        <w:tc>
          <w:tcPr>
            <w:tcW w:w="1350" w:type="dxa"/>
          </w:tcPr>
          <w:p w14:paraId="171E27E9" w14:textId="77777777" w:rsidR="00874A06" w:rsidRPr="00874A06" w:rsidRDefault="00874A06" w:rsidP="00874A06">
            <w:pPr>
              <w:spacing w:after="0"/>
              <w:jc w:val="center"/>
              <w:rPr>
                <w:rFonts w:ascii="Calibri" w:hAnsi="Calibri"/>
                <w:sz w:val="20"/>
              </w:rPr>
            </w:pPr>
          </w:p>
        </w:tc>
        <w:tc>
          <w:tcPr>
            <w:tcW w:w="1350" w:type="dxa"/>
          </w:tcPr>
          <w:p w14:paraId="7AEDD15C" w14:textId="77777777" w:rsidR="00874A06" w:rsidRPr="00874A06" w:rsidRDefault="00874A06" w:rsidP="00874A06">
            <w:pPr>
              <w:spacing w:after="0"/>
              <w:jc w:val="center"/>
              <w:rPr>
                <w:rFonts w:ascii="Calibri" w:hAnsi="Calibri"/>
                <w:sz w:val="20"/>
              </w:rPr>
            </w:pPr>
            <w:r w:rsidRPr="00874A06">
              <w:rPr>
                <w:rFonts w:ascii="Calibri" w:hAnsi="Calibri"/>
                <w:sz w:val="20"/>
              </w:rPr>
              <w:t>0</w:t>
            </w:r>
          </w:p>
        </w:tc>
        <w:tc>
          <w:tcPr>
            <w:tcW w:w="1350" w:type="dxa"/>
          </w:tcPr>
          <w:p w14:paraId="1085ADB6" w14:textId="77777777" w:rsidR="00874A06" w:rsidRPr="00874A06" w:rsidRDefault="00874A06" w:rsidP="00874A06">
            <w:pPr>
              <w:spacing w:after="0"/>
              <w:jc w:val="center"/>
              <w:rPr>
                <w:rFonts w:ascii="Calibri" w:hAnsi="Calibri"/>
                <w:sz w:val="20"/>
              </w:rPr>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7365D92F" w14:textId="77777777" w:rsidR="00874A06" w:rsidRPr="00874A06" w:rsidRDefault="00874A06" w:rsidP="00874A06">
            <w:pPr>
              <w:spacing w:after="0"/>
              <w:jc w:val="center"/>
              <w:rPr>
                <w:rFonts w:ascii="Calibri" w:hAnsi="Calibri"/>
                <w:b/>
                <w:sz w:val="20"/>
              </w:rPr>
            </w:pPr>
          </w:p>
        </w:tc>
      </w:tr>
      <w:tr w:rsidR="00874A06" w:rsidRPr="00874A06" w14:paraId="630144BD" w14:textId="77777777" w:rsidTr="00874A06">
        <w:trPr>
          <w:trHeight w:val="228"/>
          <w:jc w:val="center"/>
        </w:trPr>
        <w:tc>
          <w:tcPr>
            <w:tcW w:w="1400" w:type="dxa"/>
          </w:tcPr>
          <w:p w14:paraId="1CDD84C0" w14:textId="31084485" w:rsidR="00874A06" w:rsidRPr="00874A06" w:rsidRDefault="00EF1F08" w:rsidP="00874A06">
            <w:pPr>
              <w:spacing w:after="0"/>
              <w:jc w:val="center"/>
              <w:rPr>
                <w:rFonts w:ascii="Calibri" w:hAnsi="Calibri"/>
                <w:sz w:val="20"/>
              </w:rPr>
            </w:pPr>
            <w:r>
              <w:rPr>
                <w:rFonts w:ascii="Calibri" w:hAnsi="Calibri"/>
                <w:sz w:val="20"/>
              </w:rPr>
              <w:t>2016</w:t>
            </w:r>
          </w:p>
        </w:tc>
        <w:tc>
          <w:tcPr>
            <w:tcW w:w="1350" w:type="dxa"/>
          </w:tcPr>
          <w:p w14:paraId="793A6A27" w14:textId="1232087E" w:rsidR="00874A06" w:rsidRPr="00874A06" w:rsidRDefault="00EF1F08" w:rsidP="00874A06">
            <w:pPr>
              <w:spacing w:after="0"/>
              <w:jc w:val="center"/>
              <w:rPr>
                <w:rFonts w:ascii="Calibri" w:hAnsi="Calibri"/>
                <w:sz w:val="20"/>
              </w:rPr>
            </w:pPr>
            <w:r>
              <w:rPr>
                <w:rFonts w:ascii="Calibri" w:hAnsi="Calibri"/>
                <w:sz w:val="20"/>
              </w:rPr>
              <w:t>2019-20</w:t>
            </w:r>
          </w:p>
        </w:tc>
        <w:tc>
          <w:tcPr>
            <w:tcW w:w="1350" w:type="dxa"/>
          </w:tcPr>
          <w:p w14:paraId="5107410B" w14:textId="77777777" w:rsidR="00874A06" w:rsidRPr="00874A06" w:rsidRDefault="00874A06" w:rsidP="00874A06">
            <w:pPr>
              <w:spacing w:after="0"/>
              <w:jc w:val="center"/>
              <w:rPr>
                <w:rFonts w:ascii="Calibri" w:hAnsi="Calibri"/>
                <w:sz w:val="20"/>
              </w:rPr>
            </w:pPr>
          </w:p>
        </w:tc>
        <w:tc>
          <w:tcPr>
            <w:tcW w:w="1350" w:type="dxa"/>
          </w:tcPr>
          <w:p w14:paraId="1E572BF9" w14:textId="61B46130" w:rsidR="00874A06" w:rsidRPr="00874A06" w:rsidRDefault="00874A06" w:rsidP="00874A06">
            <w:pPr>
              <w:spacing w:after="0"/>
              <w:jc w:val="center"/>
              <w:rPr>
                <w:rFonts w:ascii="Calibri" w:hAnsi="Calibri"/>
                <w:sz w:val="20"/>
              </w:rPr>
            </w:pPr>
          </w:p>
        </w:tc>
        <w:tc>
          <w:tcPr>
            <w:tcW w:w="1350" w:type="dxa"/>
          </w:tcPr>
          <w:p w14:paraId="113EB54B" w14:textId="77777777" w:rsidR="00874A06" w:rsidRPr="00874A06" w:rsidRDefault="00874A06" w:rsidP="00874A06">
            <w:pPr>
              <w:spacing w:after="0"/>
              <w:jc w:val="center"/>
              <w:rPr>
                <w:rFonts w:ascii="Calibri" w:hAnsi="Calibri"/>
                <w:sz w:val="20"/>
              </w:rPr>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2DBDBCD0" w14:textId="77777777" w:rsidR="00874A06" w:rsidRPr="00874A06" w:rsidRDefault="00874A06" w:rsidP="00874A06">
            <w:pPr>
              <w:spacing w:after="0"/>
              <w:jc w:val="center"/>
              <w:rPr>
                <w:rFonts w:ascii="Calibri" w:hAnsi="Calibri"/>
                <w:sz w:val="20"/>
              </w:rPr>
            </w:pPr>
          </w:p>
        </w:tc>
      </w:tr>
      <w:tr w:rsidR="00E57B58" w:rsidRPr="00874A06" w14:paraId="099DCC0F" w14:textId="77777777" w:rsidTr="00874A06">
        <w:trPr>
          <w:trHeight w:val="260"/>
          <w:jc w:val="center"/>
        </w:trPr>
        <w:tc>
          <w:tcPr>
            <w:tcW w:w="1400" w:type="dxa"/>
          </w:tcPr>
          <w:p w14:paraId="42B6E3F2" w14:textId="4BF0F33E" w:rsidR="00E57B58" w:rsidRPr="00874A06" w:rsidRDefault="00E57B58" w:rsidP="00E57B58">
            <w:pPr>
              <w:spacing w:after="0"/>
              <w:jc w:val="center"/>
              <w:rPr>
                <w:rFonts w:ascii="Calibri" w:hAnsi="Calibri"/>
                <w:sz w:val="20"/>
              </w:rPr>
            </w:pPr>
            <w:r>
              <w:rPr>
                <w:rFonts w:ascii="Calibri" w:hAnsi="Calibri"/>
                <w:sz w:val="20"/>
              </w:rPr>
              <w:t>2017</w:t>
            </w:r>
          </w:p>
        </w:tc>
        <w:tc>
          <w:tcPr>
            <w:tcW w:w="1350" w:type="dxa"/>
          </w:tcPr>
          <w:p w14:paraId="7D539A38" w14:textId="60D8493B" w:rsidR="00E57B58" w:rsidRPr="00874A06" w:rsidRDefault="00E57B58" w:rsidP="00E57B58">
            <w:pPr>
              <w:spacing w:after="0"/>
              <w:jc w:val="center"/>
              <w:rPr>
                <w:rFonts w:ascii="Calibri" w:hAnsi="Calibri"/>
                <w:sz w:val="20"/>
              </w:rPr>
            </w:pPr>
            <w:r>
              <w:rPr>
                <w:rFonts w:ascii="Calibri" w:hAnsi="Calibri"/>
                <w:sz w:val="20"/>
              </w:rPr>
              <w:t>2020-21</w:t>
            </w:r>
          </w:p>
        </w:tc>
        <w:tc>
          <w:tcPr>
            <w:tcW w:w="1350" w:type="dxa"/>
            <w:tcBorders>
              <w:bottom w:val="single" w:sz="4" w:space="0" w:color="auto"/>
            </w:tcBorders>
          </w:tcPr>
          <w:p w14:paraId="0B505859" w14:textId="3E10F7B1" w:rsidR="00E57B58" w:rsidRPr="00874A06" w:rsidRDefault="00D15344" w:rsidP="00E57B58">
            <w:pPr>
              <w:spacing w:after="0"/>
              <w:jc w:val="center"/>
              <w:rPr>
                <w:rFonts w:ascii="Calibri" w:hAnsi="Calibri"/>
                <w:sz w:val="20"/>
              </w:rPr>
            </w:pPr>
            <w:r>
              <w:t>8</w:t>
            </w:r>
          </w:p>
        </w:tc>
        <w:tc>
          <w:tcPr>
            <w:tcW w:w="1350" w:type="dxa"/>
            <w:tcBorders>
              <w:bottom w:val="single" w:sz="4" w:space="0" w:color="auto"/>
            </w:tcBorders>
          </w:tcPr>
          <w:p w14:paraId="245A0781" w14:textId="7970B50D" w:rsidR="00E57B58" w:rsidRPr="00874A06" w:rsidRDefault="00D15344" w:rsidP="00E57B58">
            <w:pPr>
              <w:spacing w:after="0"/>
              <w:jc w:val="center"/>
              <w:rPr>
                <w:rFonts w:ascii="Calibri" w:hAnsi="Calibri"/>
                <w:sz w:val="20"/>
              </w:rPr>
            </w:pPr>
            <w:r>
              <w:t>1</w:t>
            </w:r>
          </w:p>
        </w:tc>
        <w:tc>
          <w:tcPr>
            <w:tcW w:w="1350" w:type="dxa"/>
            <w:tcBorders>
              <w:bottom w:val="single" w:sz="4" w:space="0" w:color="auto"/>
            </w:tcBorders>
          </w:tcPr>
          <w:p w14:paraId="2CDEAA0B" w14:textId="409B2900" w:rsidR="00E57B58" w:rsidRPr="00874A06" w:rsidRDefault="00D15344" w:rsidP="00E57B58">
            <w:pPr>
              <w:spacing w:after="0"/>
              <w:jc w:val="center"/>
              <w:rPr>
                <w:rFonts w:ascii="Calibri" w:hAnsi="Calibri"/>
                <w:sz w:val="20"/>
              </w:rPr>
            </w:pPr>
            <w:r>
              <w:t>6</w:t>
            </w:r>
          </w:p>
        </w:tc>
        <w:tc>
          <w:tcPr>
            <w:tcW w:w="2483" w:type="dxa"/>
            <w:tcBorders>
              <w:top w:val="single" w:sz="4" w:space="0" w:color="auto"/>
              <w:left w:val="single" w:sz="12" w:space="0" w:color="auto"/>
              <w:bottom w:val="single" w:sz="12" w:space="0" w:color="auto"/>
              <w:right w:val="single" w:sz="12" w:space="0" w:color="auto"/>
            </w:tcBorders>
            <w:shd w:val="clear" w:color="auto" w:fill="auto"/>
          </w:tcPr>
          <w:p w14:paraId="752E3B17" w14:textId="1B2129C9" w:rsidR="00E57B58" w:rsidRPr="00874A06" w:rsidRDefault="00D15344" w:rsidP="00E57B58">
            <w:pPr>
              <w:spacing w:after="0"/>
              <w:jc w:val="center"/>
              <w:rPr>
                <w:rFonts w:ascii="Calibri" w:hAnsi="Calibri"/>
                <w:sz w:val="20"/>
              </w:rPr>
            </w:pPr>
            <w:r>
              <w:t>86%</w:t>
            </w:r>
          </w:p>
        </w:tc>
      </w:tr>
    </w:tbl>
    <w:p w14:paraId="5D85DC09" w14:textId="77777777" w:rsidR="00D11ACE" w:rsidRPr="00072413" w:rsidRDefault="00D11ACE" w:rsidP="00056BFE"/>
    <w:p w14:paraId="58730526" w14:textId="49F38AEF" w:rsidR="00056BFE" w:rsidRPr="00DD2508" w:rsidRDefault="00056BFE" w:rsidP="00056BFE">
      <w:pPr>
        <w:rPr>
          <w:rFonts w:ascii="Calibri" w:hAnsi="Calibri"/>
          <w:b/>
          <w:color w:val="000000"/>
          <w:szCs w:val="23"/>
        </w:rPr>
      </w:pPr>
    </w:p>
    <w:p w14:paraId="4F9961E3" w14:textId="4629950C" w:rsidR="00056BFE" w:rsidRPr="00977126" w:rsidRDefault="00056BFE" w:rsidP="00056BFE">
      <w:pPr>
        <w:pStyle w:val="Heading2"/>
      </w:pPr>
      <w:r w:rsidRPr="00977126">
        <w:t xml:space="preserve">Summary of the </w:t>
      </w:r>
      <w:r>
        <w:t>High School English Language Arts Goal</w:t>
      </w:r>
      <w:r w:rsidRPr="00466B8D">
        <w:t xml:space="preserve"> </w:t>
      </w:r>
    </w:p>
    <w:p w14:paraId="4A4D2E8F" w14:textId="77777777" w:rsidR="00056BFE" w:rsidRPr="00D473C8" w:rsidRDefault="00056BFE" w:rsidP="00056BFE">
      <w:r w:rsidRPr="00313CE8">
        <w:rPr>
          <w:highlight w:val="lightGray"/>
        </w:rPr>
        <w:t>Present a narrative providing an overview of which measures the school achieved, as well as an overall discussion of its attainment of this Accountability Plan goal.</w:t>
      </w:r>
    </w:p>
    <w:p w14:paraId="0E000FC6" w14:textId="77777777" w:rsidR="00056BFE" w:rsidRPr="00DD2508" w:rsidRDefault="00056BFE" w:rsidP="00056BFE">
      <w:pPr>
        <w:pStyle w:val="TableText"/>
      </w:pP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6482"/>
        <w:gridCol w:w="1602"/>
      </w:tblGrid>
      <w:tr w:rsidR="00056BFE" w:rsidRPr="00DD2508" w14:paraId="5278AF2C" w14:textId="77777777" w:rsidTr="002C1A58">
        <w:trPr>
          <w:jc w:val="center"/>
        </w:trPr>
        <w:tc>
          <w:tcPr>
            <w:tcW w:w="1258" w:type="dxa"/>
            <w:shd w:val="clear" w:color="auto" w:fill="auto"/>
            <w:vAlign w:val="center"/>
          </w:tcPr>
          <w:p w14:paraId="3369E104" w14:textId="77777777" w:rsidR="00056BFE" w:rsidRPr="00DE3E14" w:rsidRDefault="00056BFE" w:rsidP="002C1A58">
            <w:pPr>
              <w:pStyle w:val="TableText"/>
            </w:pPr>
            <w:r w:rsidRPr="00DE3E14">
              <w:t>Type</w:t>
            </w:r>
          </w:p>
        </w:tc>
        <w:tc>
          <w:tcPr>
            <w:tcW w:w="6482" w:type="dxa"/>
            <w:shd w:val="clear" w:color="auto" w:fill="auto"/>
            <w:vAlign w:val="center"/>
          </w:tcPr>
          <w:p w14:paraId="7FEA383B" w14:textId="77777777" w:rsidR="00056BFE" w:rsidRPr="00DE3E14" w:rsidRDefault="00056BFE" w:rsidP="002C1A58">
            <w:pPr>
              <w:pStyle w:val="TableText"/>
            </w:pPr>
            <w:r w:rsidRPr="00DE3E14">
              <w:t>Me</w:t>
            </w:r>
            <w:r>
              <w:t>asure</w:t>
            </w:r>
          </w:p>
        </w:tc>
        <w:tc>
          <w:tcPr>
            <w:tcW w:w="1602" w:type="dxa"/>
            <w:vAlign w:val="center"/>
          </w:tcPr>
          <w:p w14:paraId="577C3135" w14:textId="77777777" w:rsidR="00056BFE" w:rsidRPr="00DE3E14" w:rsidRDefault="00056BFE" w:rsidP="002C1A58">
            <w:pPr>
              <w:pStyle w:val="TableText"/>
            </w:pPr>
            <w:r w:rsidRPr="00DE3E14">
              <w:t>Outcome</w:t>
            </w:r>
          </w:p>
        </w:tc>
      </w:tr>
      <w:tr w:rsidR="00056BFE" w:rsidRPr="00DD2508" w14:paraId="42801FD0" w14:textId="77777777" w:rsidTr="002C1A58">
        <w:trPr>
          <w:jc w:val="center"/>
        </w:trPr>
        <w:tc>
          <w:tcPr>
            <w:tcW w:w="1258" w:type="dxa"/>
            <w:shd w:val="clear" w:color="auto" w:fill="auto"/>
            <w:vAlign w:val="center"/>
          </w:tcPr>
          <w:p w14:paraId="7AE4FA8E" w14:textId="77777777" w:rsidR="00056BFE" w:rsidRPr="00DE3E14" w:rsidRDefault="00056BFE" w:rsidP="002C1A58">
            <w:pPr>
              <w:pStyle w:val="TableText"/>
            </w:pPr>
            <w:r w:rsidRPr="00DE3E14">
              <w:t>Absolute</w:t>
            </w:r>
          </w:p>
        </w:tc>
        <w:tc>
          <w:tcPr>
            <w:tcW w:w="6482" w:type="dxa"/>
            <w:shd w:val="clear" w:color="auto" w:fill="auto"/>
            <w:vAlign w:val="center"/>
          </w:tcPr>
          <w:p w14:paraId="3D6D160B" w14:textId="13D7C63C" w:rsidR="00056BFE" w:rsidRPr="00466B8D" w:rsidRDefault="00056BFE">
            <w:pPr>
              <w:pStyle w:val="TableText"/>
              <w:jc w:val="left"/>
            </w:pPr>
            <w:r w:rsidRPr="00F855C6">
              <w:t xml:space="preserve">Each year, 65 percent of students in the high school Accountability Cohort will meet </w:t>
            </w:r>
            <w:r w:rsidR="00C7577A">
              <w:t>or exceed Common Core expectations</w:t>
            </w:r>
            <w:r w:rsidRPr="00F855C6">
              <w:t xml:space="preserve"> (currently scoring </w:t>
            </w:r>
            <w:r w:rsidR="00C7577A">
              <w:t>at or above Performance Level 4</w:t>
            </w:r>
            <w:r>
              <w:t xml:space="preserve"> on the Regents Exam in English Language Arts (Common Core)</w:t>
            </w:r>
            <w:r w:rsidRPr="00F855C6">
              <w:t>) by the completion of their fourth year in the cohort.</w:t>
            </w:r>
          </w:p>
        </w:tc>
        <w:tc>
          <w:tcPr>
            <w:tcW w:w="1602" w:type="dxa"/>
            <w:vAlign w:val="center"/>
          </w:tcPr>
          <w:p w14:paraId="1CF37299" w14:textId="3DCB33DD" w:rsidR="00056BFE" w:rsidRPr="00DE3E14" w:rsidRDefault="00D15344" w:rsidP="002C1A58">
            <w:pPr>
              <w:pStyle w:val="TableText"/>
              <w:rPr>
                <w:highlight w:val="green"/>
              </w:rPr>
            </w:pPr>
            <w:r w:rsidRPr="00D15344">
              <w:t xml:space="preserve">Not </w:t>
            </w:r>
            <w:proofErr w:type="spellStart"/>
            <w:r w:rsidR="00E57B58" w:rsidRPr="00D15344">
              <w:t>Acheived</w:t>
            </w:r>
            <w:proofErr w:type="spellEnd"/>
          </w:p>
        </w:tc>
      </w:tr>
      <w:tr w:rsidR="00D15344" w:rsidRPr="00DD2508" w14:paraId="1FE07AD9" w14:textId="77777777" w:rsidTr="002C1A58">
        <w:trPr>
          <w:jc w:val="center"/>
        </w:trPr>
        <w:tc>
          <w:tcPr>
            <w:tcW w:w="1258" w:type="dxa"/>
            <w:shd w:val="clear" w:color="auto" w:fill="auto"/>
            <w:vAlign w:val="center"/>
          </w:tcPr>
          <w:p w14:paraId="48514C4C" w14:textId="77777777" w:rsidR="00D15344" w:rsidRPr="00DE3E14" w:rsidRDefault="00D15344" w:rsidP="00D15344">
            <w:pPr>
              <w:pStyle w:val="TableText"/>
            </w:pPr>
            <w:r w:rsidRPr="00DE3E14">
              <w:t>Absolute</w:t>
            </w:r>
          </w:p>
          <w:p w14:paraId="71E8E25D" w14:textId="77777777" w:rsidR="00D15344" w:rsidRPr="00DE3E14" w:rsidRDefault="00D15344" w:rsidP="00D15344">
            <w:pPr>
              <w:pStyle w:val="TableText"/>
            </w:pPr>
          </w:p>
        </w:tc>
        <w:tc>
          <w:tcPr>
            <w:tcW w:w="6482" w:type="dxa"/>
            <w:shd w:val="clear" w:color="auto" w:fill="auto"/>
            <w:vAlign w:val="center"/>
          </w:tcPr>
          <w:p w14:paraId="0E40F310" w14:textId="36B6AD78" w:rsidR="00D15344" w:rsidRPr="00466B8D" w:rsidRDefault="00D15344" w:rsidP="00D15344">
            <w:pPr>
              <w:pStyle w:val="TableText"/>
              <w:jc w:val="left"/>
            </w:pPr>
            <w:r>
              <w:t>Each year, 80</w:t>
            </w:r>
            <w:r w:rsidRPr="00F855C6">
              <w:t xml:space="preserve"> percent of students in the high school Accountability Cohort will </w:t>
            </w:r>
            <w:r>
              <w:t>at least partially meet Common Core expectations</w:t>
            </w:r>
            <w:r w:rsidRPr="00F855C6">
              <w:t xml:space="preserve"> (currently scoring </w:t>
            </w:r>
            <w:r>
              <w:t>at or above Performance Level 3 on the Regents Exam in English Language Arts (Common Core)</w:t>
            </w:r>
            <w:r w:rsidRPr="00F855C6">
              <w:t>) by the completion of their fourth year in the cohort.</w:t>
            </w:r>
          </w:p>
        </w:tc>
        <w:tc>
          <w:tcPr>
            <w:tcW w:w="1602" w:type="dxa"/>
            <w:vAlign w:val="center"/>
          </w:tcPr>
          <w:p w14:paraId="6CB9683A" w14:textId="5DD7164F" w:rsidR="00D15344" w:rsidRPr="00DE3E14" w:rsidRDefault="00D15344" w:rsidP="00D15344">
            <w:pPr>
              <w:pStyle w:val="TableText"/>
              <w:rPr>
                <w:highlight w:val="green"/>
              </w:rPr>
            </w:pPr>
            <w:r w:rsidRPr="00D15344">
              <w:t xml:space="preserve">Not </w:t>
            </w:r>
            <w:proofErr w:type="spellStart"/>
            <w:r w:rsidRPr="00D15344">
              <w:t>Acheived</w:t>
            </w:r>
            <w:proofErr w:type="spellEnd"/>
          </w:p>
        </w:tc>
      </w:tr>
      <w:tr w:rsidR="00D15344" w:rsidRPr="00DD2508" w14:paraId="5E543C99" w14:textId="77777777" w:rsidTr="002C1A58">
        <w:trPr>
          <w:jc w:val="center"/>
        </w:trPr>
        <w:tc>
          <w:tcPr>
            <w:tcW w:w="1258" w:type="dxa"/>
            <w:shd w:val="clear" w:color="auto" w:fill="auto"/>
            <w:vAlign w:val="center"/>
          </w:tcPr>
          <w:p w14:paraId="01D5A164" w14:textId="77777777" w:rsidR="00D15344" w:rsidRPr="00DE3E14" w:rsidRDefault="00D15344" w:rsidP="00D15344">
            <w:pPr>
              <w:pStyle w:val="TableText"/>
            </w:pPr>
            <w:r w:rsidRPr="00DE3E14">
              <w:t>Absolute</w:t>
            </w:r>
          </w:p>
        </w:tc>
        <w:tc>
          <w:tcPr>
            <w:tcW w:w="6482" w:type="dxa"/>
            <w:shd w:val="clear" w:color="auto" w:fill="auto"/>
            <w:vAlign w:val="center"/>
          </w:tcPr>
          <w:p w14:paraId="7B9D2289" w14:textId="29985020" w:rsidR="00D15344" w:rsidRPr="00B32F66" w:rsidRDefault="00D15344" w:rsidP="00D15344">
            <w:pPr>
              <w:pStyle w:val="TableText"/>
              <w:jc w:val="left"/>
            </w:pPr>
            <w:r w:rsidRPr="00466B8D">
              <w:t xml:space="preserve">Each year, the Performance </w:t>
            </w:r>
            <w:r>
              <w:t>Index</w:t>
            </w:r>
            <w:r w:rsidRPr="00466B8D">
              <w:t xml:space="preserve"> (</w:t>
            </w:r>
            <w:r>
              <w:t>PI</w:t>
            </w:r>
            <w:r w:rsidRPr="00466B8D">
              <w:t xml:space="preserve">) on the Regents English exam of students completing their fourth year in the Accountability Cohort will meet the </w:t>
            </w:r>
            <w:r>
              <w:t>state Measure of Interim Progress</w:t>
            </w:r>
            <w:r w:rsidRPr="00466B8D">
              <w:t xml:space="preserve"> (</w:t>
            </w:r>
            <w:r>
              <w:t>MIP</w:t>
            </w:r>
            <w:r w:rsidRPr="00466B8D">
              <w:t xml:space="preserve">) set forth in the state’s </w:t>
            </w:r>
            <w:r>
              <w:t>ESSA</w:t>
            </w:r>
            <w:r w:rsidRPr="00466B8D">
              <w:t xml:space="preserve"> accountability system.</w:t>
            </w:r>
            <w:r>
              <w:t xml:space="preserve"> </w:t>
            </w:r>
          </w:p>
        </w:tc>
        <w:tc>
          <w:tcPr>
            <w:tcW w:w="1602" w:type="dxa"/>
            <w:vAlign w:val="center"/>
          </w:tcPr>
          <w:p w14:paraId="5642DE3A" w14:textId="192B9334" w:rsidR="00D15344" w:rsidRPr="00F3049D" w:rsidRDefault="00D15344" w:rsidP="00D15344">
            <w:pPr>
              <w:pStyle w:val="TableText"/>
            </w:pPr>
            <w:r w:rsidRPr="00F3049D">
              <w:t>N/A</w:t>
            </w:r>
          </w:p>
        </w:tc>
      </w:tr>
      <w:tr w:rsidR="00D15344" w:rsidRPr="00DD2508" w14:paraId="51226CDC" w14:textId="77777777" w:rsidTr="002C1A58">
        <w:trPr>
          <w:jc w:val="center"/>
        </w:trPr>
        <w:tc>
          <w:tcPr>
            <w:tcW w:w="1258" w:type="dxa"/>
            <w:shd w:val="clear" w:color="auto" w:fill="auto"/>
            <w:vAlign w:val="center"/>
          </w:tcPr>
          <w:p w14:paraId="4974C271" w14:textId="1765A31B" w:rsidR="00D15344" w:rsidRPr="00DE3E14" w:rsidRDefault="00D15344" w:rsidP="00D15344">
            <w:pPr>
              <w:pStyle w:val="TableText"/>
            </w:pPr>
            <w:r>
              <w:t>Comparative</w:t>
            </w:r>
          </w:p>
        </w:tc>
        <w:tc>
          <w:tcPr>
            <w:tcW w:w="6482" w:type="dxa"/>
            <w:shd w:val="clear" w:color="auto" w:fill="auto"/>
            <w:vAlign w:val="center"/>
          </w:tcPr>
          <w:p w14:paraId="1F544657" w14:textId="60F6A41A" w:rsidR="00D15344" w:rsidRPr="00466B8D" w:rsidRDefault="00D15344" w:rsidP="00D15344">
            <w:pPr>
              <w:pStyle w:val="TableText"/>
              <w:jc w:val="left"/>
            </w:pPr>
            <w:r>
              <w:t>Each year, the percentage of students in the Total Cohort meeting or exceeding Common Core expectations on the Regents Exam in English Language Arts (Common Core) will exceed the percentage of comparable students from the district meeting or exceeding Common Core expectations.</w:t>
            </w:r>
          </w:p>
        </w:tc>
        <w:tc>
          <w:tcPr>
            <w:tcW w:w="1602" w:type="dxa"/>
            <w:vAlign w:val="center"/>
          </w:tcPr>
          <w:p w14:paraId="7F1B308C" w14:textId="2500DB3F" w:rsidR="00D15344" w:rsidRPr="00DE3E14" w:rsidRDefault="00D15344" w:rsidP="00D15344">
            <w:pPr>
              <w:pStyle w:val="TableText"/>
              <w:rPr>
                <w:highlight w:val="green"/>
              </w:rPr>
            </w:pPr>
            <w:r w:rsidRPr="00F3049D">
              <w:t>N/A</w:t>
            </w:r>
          </w:p>
        </w:tc>
      </w:tr>
      <w:tr w:rsidR="00D15344" w:rsidRPr="00DD2508" w14:paraId="698FC11F" w14:textId="77777777" w:rsidTr="002C1A58">
        <w:trPr>
          <w:jc w:val="center"/>
        </w:trPr>
        <w:tc>
          <w:tcPr>
            <w:tcW w:w="1258" w:type="dxa"/>
            <w:shd w:val="clear" w:color="auto" w:fill="auto"/>
            <w:vAlign w:val="center"/>
          </w:tcPr>
          <w:p w14:paraId="3E83B852" w14:textId="47EF5BEE" w:rsidR="00D15344" w:rsidRPr="00DE3E14" w:rsidRDefault="00D15344" w:rsidP="00D15344">
            <w:pPr>
              <w:pStyle w:val="TableText"/>
            </w:pPr>
            <w:r>
              <w:t>Comparative</w:t>
            </w:r>
          </w:p>
        </w:tc>
        <w:tc>
          <w:tcPr>
            <w:tcW w:w="6482" w:type="dxa"/>
            <w:shd w:val="clear" w:color="auto" w:fill="auto"/>
            <w:vAlign w:val="center"/>
          </w:tcPr>
          <w:p w14:paraId="5E42F4E2" w14:textId="7EACE624" w:rsidR="00D15344" w:rsidRPr="00466B8D" w:rsidRDefault="00D15344" w:rsidP="00D15344">
            <w:pPr>
              <w:pStyle w:val="TableText"/>
              <w:jc w:val="left"/>
            </w:pPr>
            <w:r>
              <w:t>Each year, the percentage of students in the Total Cohort partially meeting Common Core expectations on the Regents Exam in English Language Arts (Common Core) will exceed the percentage of comparable students in the district at least partially meeting Common Core expectations.</w:t>
            </w:r>
          </w:p>
        </w:tc>
        <w:tc>
          <w:tcPr>
            <w:tcW w:w="1602" w:type="dxa"/>
            <w:vAlign w:val="center"/>
          </w:tcPr>
          <w:p w14:paraId="49B96CCD" w14:textId="51BC9AE1" w:rsidR="00D15344" w:rsidRPr="00DE3E14" w:rsidRDefault="00D15344" w:rsidP="00D15344">
            <w:pPr>
              <w:pStyle w:val="TableText"/>
              <w:rPr>
                <w:highlight w:val="green"/>
              </w:rPr>
            </w:pPr>
            <w:r w:rsidRPr="00F3049D">
              <w:t>N/A</w:t>
            </w:r>
          </w:p>
        </w:tc>
      </w:tr>
      <w:tr w:rsidR="00D15344" w:rsidRPr="00DD2508" w14:paraId="7661397B" w14:textId="77777777" w:rsidTr="002C1A58">
        <w:trPr>
          <w:jc w:val="center"/>
        </w:trPr>
        <w:tc>
          <w:tcPr>
            <w:tcW w:w="1258" w:type="dxa"/>
            <w:shd w:val="clear" w:color="auto" w:fill="auto"/>
            <w:vAlign w:val="center"/>
          </w:tcPr>
          <w:p w14:paraId="60A59824" w14:textId="77777777" w:rsidR="00D15344" w:rsidRPr="00DE3E14" w:rsidRDefault="00D15344" w:rsidP="00D15344">
            <w:pPr>
              <w:pStyle w:val="TableText"/>
            </w:pPr>
            <w:r>
              <w:t>Comparative</w:t>
            </w:r>
          </w:p>
        </w:tc>
        <w:tc>
          <w:tcPr>
            <w:tcW w:w="6482" w:type="dxa"/>
            <w:shd w:val="clear" w:color="auto" w:fill="auto"/>
            <w:vAlign w:val="center"/>
          </w:tcPr>
          <w:p w14:paraId="4BCA7FC2" w14:textId="79FDCBD0" w:rsidR="00D15344" w:rsidRPr="00466B8D" w:rsidRDefault="00D15344" w:rsidP="00D15344">
            <w:pPr>
              <w:pStyle w:val="TableText"/>
              <w:jc w:val="left"/>
            </w:pPr>
            <w:r w:rsidRPr="00E02A17">
              <w:t xml:space="preserve">Each year, the Performance </w:t>
            </w:r>
            <w:r>
              <w:t>Index</w:t>
            </w:r>
            <w:r w:rsidRPr="00E02A17">
              <w:t xml:space="preserve"> (</w:t>
            </w:r>
            <w:r>
              <w:t>PI</w:t>
            </w:r>
            <w:r w:rsidRPr="00E02A17">
              <w:t>) in Regents English of students in the fourth year of their high school Accountability Cohort will exceed th</w:t>
            </w:r>
            <w:r>
              <w:t xml:space="preserve">at </w:t>
            </w:r>
            <w:r w:rsidRPr="00E02A17">
              <w:t xml:space="preserve">of comparable students from the </w:t>
            </w:r>
            <w:r>
              <w:t xml:space="preserve">school district of comparison.  </w:t>
            </w:r>
          </w:p>
        </w:tc>
        <w:tc>
          <w:tcPr>
            <w:tcW w:w="1602" w:type="dxa"/>
            <w:vAlign w:val="center"/>
          </w:tcPr>
          <w:p w14:paraId="329417C9" w14:textId="6D670F7D" w:rsidR="00D15344" w:rsidRPr="00DE3E14" w:rsidRDefault="00D15344" w:rsidP="00D15344">
            <w:pPr>
              <w:pStyle w:val="TableText"/>
              <w:rPr>
                <w:highlight w:val="green"/>
              </w:rPr>
            </w:pPr>
            <w:r w:rsidRPr="00F3049D">
              <w:t>N/A</w:t>
            </w:r>
          </w:p>
        </w:tc>
      </w:tr>
      <w:tr w:rsidR="00D15344" w:rsidRPr="00DD2508" w14:paraId="18E4939C" w14:textId="77777777" w:rsidTr="002C1A58">
        <w:trPr>
          <w:jc w:val="center"/>
        </w:trPr>
        <w:tc>
          <w:tcPr>
            <w:tcW w:w="1258" w:type="dxa"/>
            <w:shd w:val="clear" w:color="auto" w:fill="auto"/>
            <w:vAlign w:val="center"/>
          </w:tcPr>
          <w:p w14:paraId="35617268" w14:textId="0A6F7196" w:rsidR="00D15344" w:rsidRDefault="00D15344" w:rsidP="00D15344">
            <w:pPr>
              <w:pStyle w:val="TableText"/>
            </w:pPr>
            <w:r>
              <w:t>Growth</w:t>
            </w:r>
          </w:p>
        </w:tc>
        <w:tc>
          <w:tcPr>
            <w:tcW w:w="6482" w:type="dxa"/>
            <w:shd w:val="clear" w:color="auto" w:fill="auto"/>
            <w:vAlign w:val="center"/>
          </w:tcPr>
          <w:p w14:paraId="766EC264" w14:textId="151AEAE0" w:rsidR="00D15344" w:rsidRPr="00E02A17" w:rsidRDefault="00D15344" w:rsidP="00D15344">
            <w:pPr>
              <w:pStyle w:val="TableText"/>
              <w:jc w:val="left"/>
            </w:pPr>
            <w:r>
              <w:t>Each year, 50</w:t>
            </w:r>
            <w:r w:rsidRPr="00F855C6">
              <w:t xml:space="preserve"> percent of students in the high school Accountability Cohort who did not score profic</w:t>
            </w:r>
            <w:r>
              <w:t>ient on their New York State 8</w:t>
            </w:r>
            <w:r w:rsidRPr="00684173">
              <w:rPr>
                <w:vertAlign w:val="superscript"/>
              </w:rPr>
              <w:t>th</w:t>
            </w:r>
            <w:r w:rsidRPr="00F855C6">
              <w:t xml:space="preserve"> grade English l</w:t>
            </w:r>
            <w:r>
              <w:t xml:space="preserve">anguage arts exam will meet or exceed Common Core expectations </w:t>
            </w:r>
            <w:r w:rsidRPr="00F855C6">
              <w:t xml:space="preserve">(currently scoring </w:t>
            </w:r>
            <w:r>
              <w:t>at or above Performance Level 4 on the Regents Exam in English Language Arts (Common Core)</w:t>
            </w:r>
            <w:r w:rsidRPr="00F855C6">
              <w:t>) by the completion of their fourth year in the cohort.</w:t>
            </w:r>
          </w:p>
        </w:tc>
        <w:tc>
          <w:tcPr>
            <w:tcW w:w="1602" w:type="dxa"/>
            <w:vAlign w:val="center"/>
          </w:tcPr>
          <w:p w14:paraId="12246287" w14:textId="44B3D5F8" w:rsidR="00D15344" w:rsidRPr="00DE3E14" w:rsidRDefault="00D15344" w:rsidP="00D15344">
            <w:pPr>
              <w:pStyle w:val="TableText"/>
              <w:rPr>
                <w:highlight w:val="green"/>
              </w:rPr>
            </w:pPr>
            <w:r w:rsidRPr="00D15344">
              <w:t xml:space="preserve">Not </w:t>
            </w:r>
            <w:proofErr w:type="spellStart"/>
            <w:r w:rsidRPr="00D15344">
              <w:t>Acheived</w:t>
            </w:r>
            <w:proofErr w:type="spellEnd"/>
          </w:p>
        </w:tc>
      </w:tr>
      <w:tr w:rsidR="00D15344" w:rsidRPr="00DD2508" w14:paraId="7D4D2E97" w14:textId="77777777" w:rsidTr="002C1A58">
        <w:trPr>
          <w:jc w:val="center"/>
        </w:trPr>
        <w:tc>
          <w:tcPr>
            <w:tcW w:w="1258" w:type="dxa"/>
            <w:shd w:val="clear" w:color="auto" w:fill="auto"/>
            <w:vAlign w:val="center"/>
          </w:tcPr>
          <w:p w14:paraId="55C6AE6D" w14:textId="36082943" w:rsidR="00D15344" w:rsidRDefault="00D15344" w:rsidP="00D15344">
            <w:pPr>
              <w:pStyle w:val="TableText"/>
            </w:pPr>
            <w:r>
              <w:t>Growth</w:t>
            </w:r>
          </w:p>
        </w:tc>
        <w:tc>
          <w:tcPr>
            <w:tcW w:w="6482" w:type="dxa"/>
            <w:shd w:val="clear" w:color="auto" w:fill="auto"/>
            <w:vAlign w:val="center"/>
          </w:tcPr>
          <w:p w14:paraId="421E6A62" w14:textId="24CBB816" w:rsidR="00D15344" w:rsidRPr="00E02A17" w:rsidRDefault="00D15344" w:rsidP="00D15344">
            <w:pPr>
              <w:pStyle w:val="TableText"/>
              <w:jc w:val="left"/>
            </w:pPr>
            <w:r>
              <w:t>Each year, 75</w:t>
            </w:r>
            <w:r w:rsidRPr="00F855C6">
              <w:t xml:space="preserve"> percent of students in the high school Accountability Cohort who did not score profic</w:t>
            </w:r>
            <w:r>
              <w:t>ient on their New York State 8</w:t>
            </w:r>
            <w:r w:rsidRPr="00684173">
              <w:rPr>
                <w:vertAlign w:val="superscript"/>
              </w:rPr>
              <w:t>th</w:t>
            </w:r>
            <w:r w:rsidRPr="00F855C6">
              <w:t xml:space="preserve"> grade English language arts exam </w:t>
            </w:r>
            <w:r>
              <w:t xml:space="preserve">will at least partially meet Common Core expectations </w:t>
            </w:r>
            <w:r w:rsidRPr="00F855C6">
              <w:t xml:space="preserve">(currently scoring </w:t>
            </w:r>
            <w:r>
              <w:t>at least Performance Level 3 on the Regents Exam in English Language Arts (Common Core)</w:t>
            </w:r>
            <w:r w:rsidRPr="00F855C6">
              <w:t>) by the completion of their fourth year in the cohort.</w:t>
            </w:r>
          </w:p>
        </w:tc>
        <w:tc>
          <w:tcPr>
            <w:tcW w:w="1602" w:type="dxa"/>
            <w:vAlign w:val="center"/>
          </w:tcPr>
          <w:p w14:paraId="23E402D3" w14:textId="1659F40B" w:rsidR="00D15344" w:rsidRPr="00DE3E14" w:rsidRDefault="00D15344" w:rsidP="00D15344">
            <w:pPr>
              <w:pStyle w:val="TableText"/>
              <w:rPr>
                <w:highlight w:val="green"/>
              </w:rPr>
            </w:pPr>
            <w:r>
              <w:rPr>
                <w:highlight w:val="green"/>
              </w:rPr>
              <w:t>Achieved</w:t>
            </w:r>
          </w:p>
        </w:tc>
      </w:tr>
    </w:tbl>
    <w:p w14:paraId="0AE71E1F" w14:textId="77777777" w:rsidR="00056BFE" w:rsidRPr="00DD2508" w:rsidRDefault="00056BFE" w:rsidP="00056BFE">
      <w:pPr>
        <w:rPr>
          <w:rFonts w:ascii="Calibri" w:hAnsi="Calibri"/>
          <w:color w:val="000000"/>
          <w:szCs w:val="23"/>
        </w:rPr>
      </w:pPr>
    </w:p>
    <w:p w14:paraId="5F7B373E" w14:textId="77777777" w:rsidR="00056BFE" w:rsidRPr="00DD2508" w:rsidRDefault="00056BFE" w:rsidP="00056BFE">
      <w:pPr>
        <w:pStyle w:val="Heading2"/>
      </w:pPr>
      <w:r w:rsidRPr="00DD2508">
        <w:t>Action Plan</w:t>
      </w:r>
    </w:p>
    <w:p w14:paraId="25EF3409" w14:textId="77777777" w:rsidR="0089684F" w:rsidRPr="00E57B58" w:rsidRDefault="0089684F" w:rsidP="00A70F9C">
      <w:pPr>
        <w:numPr>
          <w:ilvl w:val="0"/>
          <w:numId w:val="24"/>
        </w:numPr>
        <w:rPr>
          <w:rFonts w:ascii="Calibri" w:hAnsi="Calibri"/>
        </w:rPr>
      </w:pPr>
      <w:bookmarkStart w:id="4" w:name="Science"/>
      <w:r w:rsidRPr="00E57B58">
        <w:rPr>
          <w:rFonts w:ascii="Calibri" w:hAnsi="Calibri"/>
        </w:rPr>
        <w:t xml:space="preserve">The high school instructional leadership team will continue to review teacher lesson plans, observe classroom </w:t>
      </w:r>
      <w:r w:rsidRPr="0089684F">
        <w:rPr>
          <w:rFonts w:ascii="Calibri" w:hAnsi="Calibri"/>
        </w:rPr>
        <w:t>instruction,</w:t>
      </w:r>
      <w:r w:rsidRPr="00E57B58">
        <w:rPr>
          <w:rFonts w:ascii="Calibri" w:hAnsi="Calibri"/>
        </w:rPr>
        <w:t xml:space="preserve"> and provide feedback on instruction.  </w:t>
      </w:r>
    </w:p>
    <w:p w14:paraId="64AC08F2" w14:textId="77777777" w:rsidR="0089684F" w:rsidRPr="00E57B58" w:rsidRDefault="0089684F" w:rsidP="00A70F9C">
      <w:pPr>
        <w:numPr>
          <w:ilvl w:val="0"/>
          <w:numId w:val="24"/>
        </w:numPr>
        <w:rPr>
          <w:rFonts w:ascii="Calibri" w:hAnsi="Calibri"/>
        </w:rPr>
      </w:pPr>
      <w:r w:rsidRPr="00E57B58">
        <w:rPr>
          <w:rFonts w:ascii="Calibri" w:hAnsi="Calibri"/>
        </w:rPr>
        <w:t>The school’s leadership team will be responsible for identifying areas for growth and providing an extensive professional development program that meets the needs of both the school and individual teachers</w:t>
      </w:r>
    </w:p>
    <w:p w14:paraId="36E0174A" w14:textId="77777777" w:rsidR="0089684F" w:rsidRPr="00E57B58" w:rsidRDefault="0089684F" w:rsidP="00A70F9C">
      <w:pPr>
        <w:numPr>
          <w:ilvl w:val="0"/>
          <w:numId w:val="24"/>
        </w:numPr>
        <w:rPr>
          <w:rFonts w:ascii="Calibri" w:hAnsi="Calibri"/>
        </w:rPr>
      </w:pPr>
      <w:r w:rsidRPr="00E57B58">
        <w:rPr>
          <w:rFonts w:ascii="Calibri" w:hAnsi="Calibri"/>
        </w:rPr>
        <w:t>The school’s leadership team will continue to review the effectiveness of the school’s curriculum and make necessary revisions to increase student achievement.  </w:t>
      </w:r>
    </w:p>
    <w:p w14:paraId="4DEA3086" w14:textId="77777777" w:rsidR="0089684F" w:rsidRPr="00E57B58" w:rsidRDefault="0089684F" w:rsidP="00A70F9C">
      <w:pPr>
        <w:numPr>
          <w:ilvl w:val="0"/>
          <w:numId w:val="24"/>
        </w:numPr>
        <w:rPr>
          <w:rFonts w:ascii="Calibri" w:hAnsi="Calibri"/>
        </w:rPr>
      </w:pPr>
      <w:r w:rsidRPr="00E57B58">
        <w:rPr>
          <w:rFonts w:ascii="Calibri" w:hAnsi="Calibri"/>
        </w:rPr>
        <w:t>School leaders will continue to work with master teachers at the school to research and develop curriculum modifications that will ensure increased levels of student achievement and will continuously monitor the effectiveness of those modifications.  </w:t>
      </w:r>
    </w:p>
    <w:p w14:paraId="2C5458D3" w14:textId="77777777" w:rsidR="0089684F" w:rsidRPr="00E57B58" w:rsidRDefault="0089684F" w:rsidP="00A70F9C">
      <w:pPr>
        <w:numPr>
          <w:ilvl w:val="0"/>
          <w:numId w:val="24"/>
        </w:numPr>
        <w:rPr>
          <w:rFonts w:ascii="Calibri" w:hAnsi="Calibri"/>
        </w:rPr>
      </w:pPr>
      <w:r w:rsidRPr="00E57B58">
        <w:rPr>
          <w:rFonts w:ascii="Calibri" w:hAnsi="Calibri"/>
        </w:rPr>
        <w:t>The school will continue to offer Regents/AP/SAT preparation beginning in the 9th grade and continuing through all four grades</w:t>
      </w:r>
      <w:r w:rsidRPr="0089684F">
        <w:rPr>
          <w:rFonts w:ascii="Calibri" w:hAnsi="Calibri"/>
        </w:rPr>
        <w:t>.</w:t>
      </w:r>
    </w:p>
    <w:p w14:paraId="3AE06FD1" w14:textId="77777777" w:rsidR="0089684F" w:rsidRPr="00E57B58" w:rsidRDefault="0089684F" w:rsidP="00A70F9C">
      <w:pPr>
        <w:numPr>
          <w:ilvl w:val="0"/>
          <w:numId w:val="24"/>
        </w:numPr>
        <w:rPr>
          <w:rFonts w:ascii="Calibri" w:hAnsi="Calibri"/>
        </w:rPr>
      </w:pPr>
      <w:r w:rsidRPr="00E57B58">
        <w:rPr>
          <w:rFonts w:ascii="Calibri" w:hAnsi="Calibri"/>
        </w:rPr>
        <w:t>The school will continue to provide professional development before the school year, during the school year, and following the school year, during which teachers can review and discuss results.</w:t>
      </w:r>
    </w:p>
    <w:p w14:paraId="4490C904" w14:textId="261E8776" w:rsidR="00056BFE" w:rsidRDefault="00EB48F9" w:rsidP="00056BFE">
      <w:pPr>
        <w:pStyle w:val="Heading1"/>
      </w:pPr>
      <w:r>
        <w:t xml:space="preserve">GOAL </w:t>
      </w:r>
      <w:r w:rsidR="00887F40">
        <w:t>4</w:t>
      </w:r>
      <w:r>
        <w:t xml:space="preserve">: </w:t>
      </w:r>
      <w:r w:rsidR="00056BFE">
        <w:t>MATHEMATICS</w:t>
      </w:r>
    </w:p>
    <w:p w14:paraId="36043339" w14:textId="02351782" w:rsidR="00657B15" w:rsidRPr="00EF1F08" w:rsidRDefault="00657B15" w:rsidP="00EF1F08">
      <w:pPr>
        <w:pStyle w:val="Heading2"/>
        <w:rPr>
          <w:sz w:val="30"/>
          <w:szCs w:val="30"/>
        </w:rPr>
      </w:pPr>
      <w:r w:rsidRPr="00525629">
        <w:rPr>
          <w:rStyle w:val="Heading1Char"/>
          <w:bCs/>
          <w:caps/>
          <w:color w:val="365F91"/>
          <w:sz w:val="30"/>
          <w:szCs w:val="30"/>
        </w:rPr>
        <w:t>Elementary Mathematics</w:t>
      </w:r>
    </w:p>
    <w:p w14:paraId="5A2DE2C7" w14:textId="15D39BFD" w:rsidR="00657B15" w:rsidRPr="00DD2508" w:rsidRDefault="00657B15" w:rsidP="00657B15">
      <w:pPr>
        <w:pStyle w:val="GoalTitle"/>
      </w:pPr>
      <w:r w:rsidRPr="00DD2508">
        <w:t xml:space="preserve">Goal </w:t>
      </w:r>
      <w:r>
        <w:t>4</w:t>
      </w:r>
      <w:r w:rsidRPr="00DD2508">
        <w:t xml:space="preserve">: </w:t>
      </w:r>
      <w:r>
        <w:t>Mathematics</w:t>
      </w:r>
    </w:p>
    <w:p w14:paraId="2D61DAAA" w14:textId="569D0C3C" w:rsidR="00657B15" w:rsidRDefault="00657B15" w:rsidP="00657B15">
      <w:pPr>
        <w:pStyle w:val="Heading2"/>
      </w:pPr>
      <w:r w:rsidRPr="003D00FB">
        <w:t>Background</w:t>
      </w:r>
    </w:p>
    <w:p w14:paraId="11063813" w14:textId="0B85AB21" w:rsidR="0089684F" w:rsidRPr="0089684F" w:rsidRDefault="0089684F" w:rsidP="0089684F">
      <w:r w:rsidRPr="0089684F">
        <w:t xml:space="preserve">Troy Prep’s curriculum is developed with the goal of maximizing student academic achievement through intentional standards-driven teaching and the systematic use of objective performance data to continually inform decision making.  To this end, Troy Prep middle school created a scope and sequence for math and divided the year into units, each culminating in a formal assessment.  During the </w:t>
      </w:r>
      <w:r>
        <w:t>2020-2021</w:t>
      </w:r>
      <w:r w:rsidRPr="0089684F">
        <w:t xml:space="preserve"> school year, Troy Prep continued to develop its scopes, sequences, and assessments in alignment with the Common Core Learning Standards.</w:t>
      </w:r>
    </w:p>
    <w:p w14:paraId="36A1E727" w14:textId="77777777" w:rsidR="0089684F" w:rsidRPr="0089684F" w:rsidRDefault="0089684F" w:rsidP="0089684F">
      <w:r w:rsidRPr="0089684F">
        <w:t>Partnering with Uncommon Schools, Troy Prep designed yearly assessments in math, aligned to state standards and to the school’s scope and sequence.  Starting in August, teachers and administrators develop curricular strategy, unit plans and daily lessons based upon the scope and sequence.  At the close of each unit, an assessment is administered, graded and data produced so that teachers and administrators develop action plans based upon objective, standards-driven data. The principal and leadership team work closely with teachers at every step of this process, giving feedback on daily lesson plans, curriculum, action plans and the implementation of these plans.</w:t>
      </w:r>
    </w:p>
    <w:p w14:paraId="7C2D8A1F" w14:textId="77777777" w:rsidR="0089684F" w:rsidRPr="0089684F" w:rsidRDefault="0089684F" w:rsidP="0089684F">
      <w:r w:rsidRPr="0089684F">
        <w:t xml:space="preserve">Troy Prep elementary school’s mathematics program emphasizes both strong computational procedures and problem-solving skills. The math program at Troy Prep takes arithmetic concepts </w:t>
      </w:r>
      <w:r w:rsidRPr="0089684F">
        <w:lastRenderedPageBreak/>
        <w:t xml:space="preserve">and breaks them down to concrete, step-by-step approaches toward solving problems.  At Troy Prep, math instruction incorporates a rigorous balance between mechanics and problem solving.  </w:t>
      </w:r>
    </w:p>
    <w:p w14:paraId="7A18C7FC" w14:textId="63A661D4" w:rsidR="0089684F" w:rsidRPr="0089684F" w:rsidRDefault="0089684F" w:rsidP="0089684F">
      <w:r w:rsidRPr="0089684F">
        <w:t xml:space="preserve">In grades K-2, there is one 55-minute block of math a day and in grades 3-4, there is a 95-minute block that focuses on number sense, number systems, and problem-solving. During this block, students chant, act out, and model math with activities and math manipulatives. In the afternoon in grades K-2 students are provided with an additional 20 minute “Math Meeting” where concepts from earlier lessons are reinforced and retaught when necessary. Grades 5-8 have two-hour blocks of math Monday-Thursday. </w:t>
      </w:r>
      <w:r>
        <w:t xml:space="preserve"> During the 2020-2021 school year, Troy Prep continued Math instruction through remote learning until the beginning of October 2020. When hybrid learning launched, students who were either remote or in person received the same lessons with the same assignments. When students were remote, they engaged in instruction from their Math teachers via Zoom. Students had assignments that were due through Google Classroom.</w:t>
      </w:r>
    </w:p>
    <w:p w14:paraId="23BD1126" w14:textId="501285F3" w:rsidR="0089684F" w:rsidRPr="0089684F" w:rsidRDefault="0089684F" w:rsidP="0089684F">
      <w:r w:rsidRPr="0089684F">
        <w:t xml:space="preserve">Every year we provide our teachers with an intense three-week training program where we instruct teaching and student behavior management techniques and strategies to employ in their classrooms and throughout the school.  We achieve complete consistency throughout the school </w:t>
      </w:r>
      <w:proofErr w:type="gramStart"/>
      <w:r w:rsidRPr="0089684F">
        <w:t>with regard to</w:t>
      </w:r>
      <w:proofErr w:type="gramEnd"/>
      <w:r w:rsidRPr="0089684F">
        <w:t xml:space="preserve"> behavior and academic standards.</w:t>
      </w:r>
      <w:r>
        <w:t xml:space="preserve"> During the 2020-2021 school year, these trainings were provided remotely with an emphasis on remote instruction to help our students succeed.</w:t>
      </w:r>
    </w:p>
    <w:p w14:paraId="2747A95C" w14:textId="77777777" w:rsidR="0089684F" w:rsidRPr="0089684F" w:rsidRDefault="0089684F" w:rsidP="0089684F">
      <w:r w:rsidRPr="0089684F">
        <w:t>Additionally, all staff members meet each Friday to review the past week’s progress, refine teaching practice, and finalize preparations for the coming week.  Teachers are regularly observed teaching by the school leadership and receive constant feedback for improvement.</w:t>
      </w:r>
    </w:p>
    <w:p w14:paraId="2B1BF243" w14:textId="55DD017C" w:rsidR="00751171" w:rsidRPr="00D421C8" w:rsidRDefault="00751171" w:rsidP="00751171">
      <w:r>
        <w:t>To reverse the COVID-related learning loss in Math, Uncommon Schools and Troy Prep have new pillars of the 2021-2022 instructional model which incorporates additional focuses on Math instruction. This includes the opportunity to strengthen and deepen key mathematical practices. Troy Prep will also strategically embed small group instruction into our K-8 instructional models in order to meet every student where they are.  Troy Prep’s assessment and response to data will be streamlined to regularly gather data and effectively reteach while maximizing instructional time.  There will be an additional focus on Middle School Math.</w:t>
      </w:r>
    </w:p>
    <w:p w14:paraId="61EB453E" w14:textId="77777777" w:rsidR="0089684F" w:rsidRPr="0089684F" w:rsidRDefault="0089684F" w:rsidP="0089684F"/>
    <w:p w14:paraId="2B9B8D9D" w14:textId="77777777" w:rsidR="00657B15" w:rsidRDefault="00657B15" w:rsidP="00657B15">
      <w:pPr>
        <w:pStyle w:val="Heading2"/>
      </w:pPr>
      <w:r w:rsidRPr="7D51821A">
        <w:rPr>
          <w:rFonts w:ascii="Calibri" w:eastAsia="Calibri" w:hAnsi="Calibri" w:cs="Calibri"/>
          <w:bCs w:val="0"/>
          <w:color w:val="365F91" w:themeColor="accent1" w:themeShade="BF"/>
          <w:szCs w:val="28"/>
        </w:rPr>
        <w:t>Method</w:t>
      </w:r>
    </w:p>
    <w:p w14:paraId="61463F22" w14:textId="77777777" w:rsidR="0089684F" w:rsidRPr="009932FD" w:rsidRDefault="0089684F" w:rsidP="0089684F">
      <w:pPr>
        <w:spacing w:after="0"/>
        <w:rPr>
          <w:rFonts w:ascii="Times New Roman" w:hAnsi="Times New Roman"/>
          <w:color w:val="auto"/>
          <w:sz w:val="24"/>
          <w:szCs w:val="24"/>
        </w:rPr>
      </w:pPr>
      <w:r w:rsidRPr="009932FD">
        <w:rPr>
          <w:rFonts w:ascii="Calibri" w:hAnsi="Calibri" w:cs="Calibri"/>
          <w:color w:val="404040"/>
          <w:szCs w:val="23"/>
        </w:rPr>
        <w:t>Troy Prep typically uses data from the following assessments to ensure student proficiency in Mathematics: </w:t>
      </w:r>
    </w:p>
    <w:p w14:paraId="5EF0D736" w14:textId="77777777" w:rsidR="0089684F" w:rsidRPr="009932FD" w:rsidRDefault="0089684F" w:rsidP="00A70F9C">
      <w:pPr>
        <w:numPr>
          <w:ilvl w:val="0"/>
          <w:numId w:val="25"/>
        </w:numPr>
        <w:spacing w:after="0"/>
        <w:textAlignment w:val="baseline"/>
        <w:rPr>
          <w:rFonts w:ascii="Arial" w:hAnsi="Arial" w:cs="Arial"/>
          <w:color w:val="404040"/>
          <w:szCs w:val="23"/>
        </w:rPr>
      </w:pPr>
      <w:r w:rsidRPr="009932FD">
        <w:rPr>
          <w:rFonts w:ascii="Calibri" w:hAnsi="Calibri" w:cs="Calibri"/>
          <w:color w:val="404040"/>
          <w:szCs w:val="23"/>
        </w:rPr>
        <w:t>Criterion-referenced New York State exams in Mathematics</w:t>
      </w:r>
    </w:p>
    <w:p w14:paraId="587D26FB" w14:textId="77777777" w:rsidR="0089684F" w:rsidRPr="009932FD" w:rsidRDefault="0089684F" w:rsidP="00A70F9C">
      <w:pPr>
        <w:numPr>
          <w:ilvl w:val="0"/>
          <w:numId w:val="26"/>
        </w:numPr>
        <w:spacing w:after="0"/>
        <w:textAlignment w:val="baseline"/>
        <w:rPr>
          <w:rFonts w:ascii="Arial" w:hAnsi="Arial" w:cs="Arial"/>
          <w:color w:val="404040"/>
          <w:szCs w:val="23"/>
        </w:rPr>
      </w:pPr>
      <w:r w:rsidRPr="009932FD">
        <w:rPr>
          <w:rFonts w:ascii="Calibri" w:hAnsi="Calibri" w:cs="Calibri"/>
          <w:color w:val="404040"/>
          <w:szCs w:val="23"/>
        </w:rPr>
        <w:t>Internally developed Interim Assessments in Mathematics</w:t>
      </w:r>
    </w:p>
    <w:p w14:paraId="544D4865" w14:textId="77777777" w:rsidR="0089684F" w:rsidRPr="009932FD" w:rsidRDefault="0089684F" w:rsidP="00A70F9C">
      <w:pPr>
        <w:numPr>
          <w:ilvl w:val="0"/>
          <w:numId w:val="26"/>
        </w:numPr>
        <w:spacing w:after="0"/>
        <w:textAlignment w:val="baseline"/>
        <w:rPr>
          <w:rFonts w:ascii="Arial" w:hAnsi="Arial" w:cs="Arial"/>
          <w:color w:val="404040"/>
          <w:szCs w:val="23"/>
        </w:rPr>
      </w:pPr>
      <w:r w:rsidRPr="009932FD">
        <w:rPr>
          <w:rFonts w:ascii="Calibri" w:hAnsi="Calibri" w:cs="Calibri"/>
          <w:color w:val="404040"/>
          <w:szCs w:val="23"/>
        </w:rPr>
        <w:t>Internally developed Final Examination in Mathematics</w:t>
      </w:r>
    </w:p>
    <w:p w14:paraId="33DF2308" w14:textId="77777777" w:rsidR="0089684F" w:rsidRPr="009932FD" w:rsidRDefault="0089684F" w:rsidP="0089684F">
      <w:pPr>
        <w:spacing w:after="0"/>
        <w:rPr>
          <w:rFonts w:ascii="Times New Roman" w:hAnsi="Times New Roman"/>
          <w:color w:val="auto"/>
          <w:sz w:val="24"/>
          <w:szCs w:val="24"/>
        </w:rPr>
      </w:pPr>
    </w:p>
    <w:p w14:paraId="124FC9AB" w14:textId="2E59EB4C" w:rsidR="0089684F" w:rsidRPr="009932FD" w:rsidRDefault="0089684F" w:rsidP="0089684F">
      <w:pPr>
        <w:spacing w:after="0"/>
        <w:rPr>
          <w:rFonts w:ascii="Times New Roman" w:hAnsi="Times New Roman"/>
          <w:color w:val="auto"/>
          <w:sz w:val="24"/>
          <w:szCs w:val="24"/>
        </w:rPr>
      </w:pPr>
      <w:r w:rsidRPr="009932FD">
        <w:rPr>
          <w:rFonts w:ascii="Calibri" w:hAnsi="Calibri" w:cs="Calibri"/>
          <w:color w:val="404040"/>
          <w:szCs w:val="23"/>
        </w:rPr>
        <w:t xml:space="preserve">During the </w:t>
      </w:r>
      <w:r>
        <w:rPr>
          <w:rFonts w:ascii="Calibri" w:hAnsi="Calibri" w:cs="Calibri"/>
          <w:color w:val="404040"/>
          <w:szCs w:val="23"/>
        </w:rPr>
        <w:t>20-21</w:t>
      </w:r>
      <w:r w:rsidRPr="009932FD">
        <w:rPr>
          <w:rFonts w:ascii="Calibri" w:hAnsi="Calibri" w:cs="Calibri"/>
          <w:color w:val="404040"/>
          <w:szCs w:val="23"/>
        </w:rPr>
        <w:t xml:space="preserve"> academic year, Troy Prep was only able to use Internally developed Interim Assessments in Mathematics due to the COVID pandemic and shift to remote learning in mid-</w:t>
      </w:r>
      <w:proofErr w:type="gramStart"/>
      <w:r w:rsidRPr="009932FD">
        <w:rPr>
          <w:rFonts w:ascii="Calibri" w:hAnsi="Calibri" w:cs="Calibri"/>
          <w:color w:val="404040"/>
          <w:szCs w:val="23"/>
        </w:rPr>
        <w:t>March</w:t>
      </w:r>
      <w:r>
        <w:rPr>
          <w:rFonts w:ascii="Calibri" w:hAnsi="Calibri" w:cs="Calibri"/>
          <w:color w:val="404040"/>
          <w:szCs w:val="23"/>
        </w:rPr>
        <w:t xml:space="preserve"> of 2019, and</w:t>
      </w:r>
      <w:proofErr w:type="gramEnd"/>
      <w:r>
        <w:rPr>
          <w:rFonts w:ascii="Calibri" w:hAnsi="Calibri" w:cs="Calibri"/>
          <w:color w:val="404040"/>
          <w:szCs w:val="23"/>
        </w:rPr>
        <w:t xml:space="preserve"> shifted to optional hybrid learning in 20-21</w:t>
      </w:r>
      <w:r w:rsidRPr="009932FD">
        <w:rPr>
          <w:rFonts w:ascii="Calibri" w:hAnsi="Calibri" w:cs="Calibri"/>
          <w:color w:val="404040"/>
          <w:szCs w:val="23"/>
        </w:rPr>
        <w:t xml:space="preserve">.  Troy Prep administered </w:t>
      </w:r>
      <w:r>
        <w:rPr>
          <w:rFonts w:ascii="Calibri" w:hAnsi="Calibri" w:cs="Calibri"/>
          <w:color w:val="404040"/>
          <w:szCs w:val="23"/>
        </w:rPr>
        <w:t>2</w:t>
      </w:r>
      <w:r w:rsidRPr="009932FD">
        <w:rPr>
          <w:rFonts w:ascii="Calibri" w:hAnsi="Calibri" w:cs="Calibri"/>
          <w:color w:val="404040"/>
          <w:szCs w:val="23"/>
        </w:rPr>
        <w:t xml:space="preserve"> internally developed and aligned Interim Assessments</w:t>
      </w:r>
      <w:r>
        <w:rPr>
          <w:rFonts w:ascii="Calibri" w:hAnsi="Calibri" w:cs="Calibri"/>
          <w:color w:val="404040"/>
          <w:szCs w:val="23"/>
        </w:rPr>
        <w:t xml:space="preserve"> to both Elementary School students and Middle School students</w:t>
      </w:r>
      <w:r w:rsidRPr="009932FD">
        <w:rPr>
          <w:rFonts w:ascii="Calibri" w:hAnsi="Calibri" w:cs="Calibri"/>
          <w:color w:val="404040"/>
          <w:szCs w:val="23"/>
        </w:rPr>
        <w:t xml:space="preserve">. These assessments were created to reflect the school’s scope and sequence in Math, and to mirror the style and scope of the New York State Math exams.  The assessments focused </w:t>
      </w:r>
      <w:r w:rsidRPr="009932FD">
        <w:rPr>
          <w:rFonts w:ascii="Calibri" w:hAnsi="Calibri" w:cs="Calibri"/>
          <w:color w:val="404040"/>
          <w:szCs w:val="23"/>
        </w:rPr>
        <w:lastRenderedPageBreak/>
        <w:t>primarily on the most recently covered standards, with a smaller focus on cumulative skills and standards covered in previous units.</w:t>
      </w:r>
    </w:p>
    <w:p w14:paraId="19F85DD8" w14:textId="77777777" w:rsidR="0089684F" w:rsidRPr="009932FD" w:rsidRDefault="0089684F" w:rsidP="0089684F">
      <w:pPr>
        <w:spacing w:after="0"/>
        <w:rPr>
          <w:rFonts w:ascii="Times New Roman" w:hAnsi="Times New Roman"/>
          <w:color w:val="auto"/>
          <w:sz w:val="24"/>
          <w:szCs w:val="24"/>
        </w:rPr>
      </w:pPr>
    </w:p>
    <w:p w14:paraId="6834EE33" w14:textId="1BF0AF1C" w:rsidR="0089684F" w:rsidRPr="009932FD" w:rsidRDefault="0089684F" w:rsidP="0089684F">
      <w:pPr>
        <w:spacing w:after="0"/>
        <w:rPr>
          <w:rFonts w:ascii="Times New Roman" w:hAnsi="Times New Roman"/>
          <w:color w:val="auto"/>
          <w:sz w:val="24"/>
          <w:szCs w:val="24"/>
        </w:rPr>
      </w:pPr>
      <w:r w:rsidRPr="009932FD">
        <w:rPr>
          <w:rFonts w:ascii="Calibri" w:hAnsi="Calibri" w:cs="Calibri"/>
          <w:color w:val="404040"/>
          <w:szCs w:val="23"/>
        </w:rPr>
        <w:t xml:space="preserve">After the tests were administered, teachers graded each exam and entered individual performance data into a shared template for detailed test analysis.  With the individual student, whole class, and whole grade data, teachers analyzed the data and developed strategic plans to re-teach specific standards to individuals, small groups, and classes </w:t>
      </w:r>
      <w:r>
        <w:rPr>
          <w:rFonts w:ascii="Calibri" w:hAnsi="Calibri" w:cs="Calibri"/>
          <w:color w:val="404040"/>
          <w:szCs w:val="23"/>
        </w:rPr>
        <w:t>whether the students were in-person during hybrid learning or entirely remote.</w:t>
      </w:r>
    </w:p>
    <w:p w14:paraId="51A30659" w14:textId="77777777" w:rsidR="0089684F" w:rsidRPr="009932FD" w:rsidRDefault="0089684F" w:rsidP="0089684F">
      <w:pPr>
        <w:spacing w:after="0"/>
        <w:rPr>
          <w:rFonts w:ascii="Times New Roman" w:hAnsi="Times New Roman"/>
          <w:color w:val="auto"/>
          <w:sz w:val="24"/>
          <w:szCs w:val="24"/>
        </w:rPr>
      </w:pPr>
    </w:p>
    <w:p w14:paraId="76376CC7" w14:textId="4CFF28F7" w:rsidR="0089684F" w:rsidRDefault="0089684F" w:rsidP="0089684F">
      <w:pPr>
        <w:spacing w:after="0"/>
        <w:rPr>
          <w:rFonts w:ascii="Calibri" w:hAnsi="Calibri" w:cs="Calibri"/>
          <w:color w:val="404040"/>
          <w:szCs w:val="23"/>
        </w:rPr>
      </w:pPr>
      <w:r w:rsidRPr="009932FD">
        <w:rPr>
          <w:rFonts w:ascii="Calibri" w:hAnsi="Calibri" w:cs="Calibri"/>
          <w:color w:val="404040"/>
          <w:szCs w:val="23"/>
        </w:rPr>
        <w:t xml:space="preserve">During remote learning </w:t>
      </w:r>
      <w:r>
        <w:rPr>
          <w:rFonts w:ascii="Calibri" w:hAnsi="Calibri" w:cs="Calibri"/>
          <w:color w:val="404040"/>
          <w:szCs w:val="23"/>
        </w:rPr>
        <w:t>that continued through the beginning of October, 2020</w:t>
      </w:r>
      <w:r w:rsidRPr="009932FD">
        <w:rPr>
          <w:rFonts w:ascii="Calibri" w:hAnsi="Calibri" w:cs="Calibri"/>
          <w:color w:val="404040"/>
          <w:szCs w:val="23"/>
        </w:rPr>
        <w:t>, Troy Prep continued to have consistent Math instruction where scholars in Grades K-8 completed asynchronous learning by watching a video pre-recorded by one of our veteran Math teachers and completing a written task generating a work product at least 2 days per week.  Teachers provided weekly feedback on submitted written assignments.  Scholars also were able to attend optional live remote instruction.  Live remote instruction was data driven based on trends from the previous week’s lesson.  Teachers determined the objective and tailored the lesson based on trends from the written assignments submitted.</w:t>
      </w:r>
      <w:r>
        <w:rPr>
          <w:rFonts w:ascii="Calibri" w:hAnsi="Calibri" w:cs="Calibri"/>
          <w:color w:val="404040"/>
          <w:szCs w:val="23"/>
        </w:rPr>
        <w:t xml:space="preserve"> </w:t>
      </w:r>
    </w:p>
    <w:p w14:paraId="6A8A0D4A" w14:textId="237E80DF" w:rsidR="0089684F" w:rsidRDefault="0089684F" w:rsidP="00EF1F08">
      <w:pPr>
        <w:rPr>
          <w:rFonts w:ascii="Calibri" w:eastAsia="Calibri" w:hAnsi="Calibri" w:cs="Calibri"/>
          <w:szCs w:val="23"/>
        </w:rPr>
      </w:pPr>
      <w:r>
        <w:rPr>
          <w:rFonts w:ascii="Calibri" w:eastAsia="Calibri" w:hAnsi="Calibri" w:cs="Calibri"/>
          <w:szCs w:val="23"/>
        </w:rPr>
        <w:br/>
        <w:t xml:space="preserve">Troy Prep shifted to Hybrid learning in the beginning of </w:t>
      </w:r>
      <w:proofErr w:type="gramStart"/>
      <w:r>
        <w:rPr>
          <w:rFonts w:ascii="Calibri" w:eastAsia="Calibri" w:hAnsi="Calibri" w:cs="Calibri"/>
          <w:szCs w:val="23"/>
        </w:rPr>
        <w:t>October,</w:t>
      </w:r>
      <w:proofErr w:type="gramEnd"/>
      <w:r>
        <w:rPr>
          <w:rFonts w:ascii="Calibri" w:eastAsia="Calibri" w:hAnsi="Calibri" w:cs="Calibri"/>
          <w:szCs w:val="23"/>
        </w:rPr>
        <w:t xml:space="preserve"> 2020 where limited class sizes attended in-person learning through a hybrid schedule. This consisted of students attending in-person learning at least twice a week, but as much as four times a week.  Approximately 40% of our Middle and Elementary School students continued remote learning through the entire 2020-2021 school year.  These students continued to receive the same instruction as those who were attending in-person learning through Zoom.  Students received instruction through their classroom teacher through Zoom with deliverables for all students due in Google Classroom. </w:t>
      </w:r>
    </w:p>
    <w:p w14:paraId="271C4180" w14:textId="128745B6" w:rsidR="00EF1F08" w:rsidRPr="00535E12" w:rsidRDefault="00EF1F08" w:rsidP="00EF1F08">
      <w:pPr>
        <w:rPr>
          <w:rFonts w:ascii="Calibri" w:eastAsia="Calibri" w:hAnsi="Calibri" w:cs="Calibri"/>
          <w:szCs w:val="23"/>
        </w:rPr>
      </w:pPr>
      <w:r w:rsidRPr="00535E12">
        <w:rPr>
          <w:rFonts w:ascii="Calibri" w:eastAsia="Calibri" w:hAnsi="Calibri" w:cs="Calibri"/>
          <w:szCs w:val="23"/>
        </w:rPr>
        <w:t>During 2020-21, the school(s) primarily used</w:t>
      </w:r>
      <w:r>
        <w:rPr>
          <w:rFonts w:ascii="Calibri" w:eastAsia="Calibri" w:hAnsi="Calibri" w:cs="Calibri"/>
          <w:szCs w:val="23"/>
        </w:rPr>
        <w:t xml:space="preserve"> the following exam to assess</w:t>
      </w:r>
      <w:r w:rsidRPr="00535E12">
        <w:rPr>
          <w:rFonts w:ascii="Calibri" w:eastAsia="Calibri" w:hAnsi="Calibri" w:cs="Calibri"/>
          <w:szCs w:val="23"/>
        </w:rPr>
        <w:t xml:space="preserve"> student growth and achievement</w:t>
      </w:r>
      <w:r>
        <w:rPr>
          <w:rFonts w:ascii="Calibri" w:eastAsia="Calibri" w:hAnsi="Calibri" w:cs="Calibri"/>
          <w:szCs w:val="23"/>
        </w:rPr>
        <w:t xml:space="preserve"> in mathematics</w:t>
      </w:r>
      <w:r w:rsidRPr="00535E12">
        <w:rPr>
          <w:rFonts w:ascii="Calibri" w:eastAsia="Calibri" w:hAnsi="Calibri" w:cs="Calibri"/>
          <w:szCs w:val="23"/>
        </w:rPr>
        <w:t xml:space="preserve">:  </w:t>
      </w:r>
      <w:sdt>
        <w:sdtPr>
          <w:rPr>
            <w:rFonts w:ascii="Calibri" w:eastAsia="Calibri" w:hAnsi="Calibri" w:cs="Calibri"/>
            <w:sz w:val="28"/>
            <w:szCs w:val="28"/>
          </w:rPr>
          <w:tag w:val="select one exam"/>
          <w:id w:val="449438893"/>
          <w:placeholder>
            <w:docPart w:val="A695C7B385B649BBAC89DA109D153831"/>
          </w:placeholder>
          <w:dropDownList>
            <w:listItem w:value="Choose assessment type"/>
            <w:listItem w:displayText="NWEA MAP" w:value="NWEA MAP"/>
            <w:listItem w:displayText="i-Ready" w:value="i-Ready"/>
            <w:listItem w:displayText="STAR" w:value="STAR"/>
            <w:listItem w:displayText="ANET" w:value="ANET"/>
            <w:listItem w:displayText="Internally developed" w:value="Internally developed"/>
            <w:listItem w:displayText="Curriculum based" w:value="Curriculum based"/>
            <w:listItem w:displayText="Other" w:value="Other"/>
          </w:dropDownList>
        </w:sdtPr>
        <w:sdtContent>
          <w:r w:rsidR="0089684F">
            <w:rPr>
              <w:rFonts w:ascii="Calibri" w:eastAsia="Calibri" w:hAnsi="Calibri" w:cs="Calibri"/>
              <w:sz w:val="28"/>
              <w:szCs w:val="28"/>
            </w:rPr>
            <w:t>Internally developed</w:t>
          </w:r>
        </w:sdtContent>
      </w:sdt>
      <w:r w:rsidRPr="00535E12">
        <w:rPr>
          <w:rFonts w:ascii="Calibri" w:eastAsia="Calibri" w:hAnsi="Calibri" w:cs="Calibri"/>
          <w:szCs w:val="23"/>
        </w:rPr>
        <w:t xml:space="preserve"> </w:t>
      </w:r>
    </w:p>
    <w:p w14:paraId="21454190" w14:textId="77777777" w:rsidR="00657B15" w:rsidRDefault="00657B15" w:rsidP="00657B15">
      <w:pPr>
        <w:pStyle w:val="Heading2"/>
      </w:pPr>
      <w:r w:rsidRPr="7D51821A">
        <w:rPr>
          <w:rFonts w:ascii="Calibri" w:eastAsia="Calibri" w:hAnsi="Calibri" w:cs="Calibri"/>
          <w:bCs w:val="0"/>
          <w:color w:val="365F91" w:themeColor="accent1" w:themeShade="BF"/>
          <w:szCs w:val="28"/>
        </w:rPr>
        <w:t>Results and evaluation</w:t>
      </w:r>
    </w:p>
    <w:p w14:paraId="4F3AABE3" w14:textId="35AF6E55" w:rsidR="00657B15" w:rsidRDefault="00C510AC" w:rsidP="00657B15">
      <w:pPr>
        <w:rPr>
          <w:rFonts w:ascii="Calibri" w:eastAsia="Calibri" w:hAnsi="Calibri" w:cs="Calibri"/>
          <w:szCs w:val="23"/>
        </w:rPr>
      </w:pPr>
      <w:r>
        <w:rPr>
          <w:rFonts w:ascii="Calibri" w:eastAsia="Calibri" w:hAnsi="Calibri" w:cs="Calibri"/>
          <w:szCs w:val="23"/>
        </w:rPr>
        <w:t xml:space="preserve">The below is data </w:t>
      </w:r>
      <w:r w:rsidRPr="00C510AC">
        <w:rPr>
          <w:rFonts w:ascii="Calibri" w:eastAsia="Calibri" w:hAnsi="Calibri" w:cs="Calibri"/>
          <w:szCs w:val="23"/>
        </w:rPr>
        <w:t xml:space="preserve">from the </w:t>
      </w:r>
      <w:r>
        <w:rPr>
          <w:rFonts w:ascii="Calibri" w:eastAsia="Calibri" w:hAnsi="Calibri" w:cs="Calibri"/>
          <w:szCs w:val="23"/>
        </w:rPr>
        <w:t xml:space="preserve">most recent </w:t>
      </w:r>
      <w:r w:rsidRPr="00C510AC">
        <w:rPr>
          <w:rFonts w:ascii="Calibri" w:eastAsia="Calibri" w:hAnsi="Calibri" w:cs="Calibri"/>
          <w:szCs w:val="23"/>
        </w:rPr>
        <w:t>Interim Assessments administered in 20</w:t>
      </w:r>
      <w:r>
        <w:rPr>
          <w:rFonts w:ascii="Calibri" w:eastAsia="Calibri" w:hAnsi="Calibri" w:cs="Calibri"/>
          <w:szCs w:val="23"/>
        </w:rPr>
        <w:t>20</w:t>
      </w:r>
      <w:r w:rsidRPr="00C510AC">
        <w:rPr>
          <w:rFonts w:ascii="Calibri" w:eastAsia="Calibri" w:hAnsi="Calibri" w:cs="Calibri"/>
          <w:szCs w:val="23"/>
        </w:rPr>
        <w:t>-202</w:t>
      </w:r>
      <w:r>
        <w:rPr>
          <w:rFonts w:ascii="Calibri" w:eastAsia="Calibri" w:hAnsi="Calibri" w:cs="Calibri"/>
          <w:szCs w:val="23"/>
        </w:rPr>
        <w:t>1</w:t>
      </w:r>
      <w:r w:rsidRPr="00C510AC">
        <w:rPr>
          <w:rFonts w:ascii="Calibri" w:eastAsia="Calibri" w:hAnsi="Calibri" w:cs="Calibri"/>
          <w:szCs w:val="23"/>
        </w:rPr>
        <w:t xml:space="preserve">, we are making progress towards our goals. We will continue to work towards a higher percentage of students meeting this metric for School Year 2020-2021. </w:t>
      </w:r>
      <w:r w:rsidR="001306C0">
        <w:rPr>
          <w:rFonts w:ascii="Calibri" w:eastAsia="Calibri" w:hAnsi="Calibri" w:cs="Calibri"/>
          <w:szCs w:val="23"/>
        </w:rPr>
        <w:t>Both our Elementary and Middle School students took 2 interim assessments during the 2020-21 school year.</w:t>
      </w:r>
      <w:r w:rsidRPr="00C510AC">
        <w:rPr>
          <w:rFonts w:ascii="Calibri" w:eastAsia="Calibri" w:hAnsi="Calibri" w:cs="Calibri"/>
          <w:szCs w:val="23"/>
        </w:rPr>
        <w:t xml:space="preserve">  The chart below represents the percentage of students who are advanced or proficient on their </w:t>
      </w:r>
      <w:r w:rsidR="001306C0">
        <w:rPr>
          <w:rFonts w:ascii="Calibri" w:eastAsia="Calibri" w:hAnsi="Calibri" w:cs="Calibri"/>
          <w:szCs w:val="23"/>
        </w:rPr>
        <w:t xml:space="preserve">most recent </w:t>
      </w:r>
      <w:r w:rsidRPr="00C510AC">
        <w:rPr>
          <w:rFonts w:ascii="Calibri" w:eastAsia="Calibri" w:hAnsi="Calibri" w:cs="Calibri"/>
          <w:szCs w:val="23"/>
        </w:rPr>
        <w:t xml:space="preserve">interim assessment. We are particularly impressed with our </w:t>
      </w:r>
      <w:r w:rsidR="001306C0">
        <w:rPr>
          <w:rFonts w:ascii="Calibri" w:eastAsia="Calibri" w:hAnsi="Calibri" w:cs="Calibri"/>
          <w:szCs w:val="23"/>
        </w:rPr>
        <w:t>5</w:t>
      </w:r>
      <w:r w:rsidRPr="00C510AC">
        <w:rPr>
          <w:rFonts w:ascii="Calibri" w:eastAsia="Calibri" w:hAnsi="Calibri" w:cs="Calibri"/>
          <w:szCs w:val="23"/>
        </w:rPr>
        <w:t xml:space="preserve">th and </w:t>
      </w:r>
      <w:r w:rsidR="001306C0">
        <w:rPr>
          <w:rFonts w:ascii="Calibri" w:eastAsia="Calibri" w:hAnsi="Calibri" w:cs="Calibri"/>
          <w:szCs w:val="23"/>
        </w:rPr>
        <w:t>8</w:t>
      </w:r>
      <w:r w:rsidRPr="00C510AC">
        <w:rPr>
          <w:rFonts w:ascii="Calibri" w:eastAsia="Calibri" w:hAnsi="Calibri" w:cs="Calibri"/>
          <w:szCs w:val="23"/>
        </w:rPr>
        <w:t>th grade cohorts.</w:t>
      </w:r>
      <w:r w:rsidR="001306C0">
        <w:rPr>
          <w:rFonts w:ascii="Calibri" w:eastAsia="Calibri" w:hAnsi="Calibri" w:cs="Calibri"/>
          <w:szCs w:val="23"/>
        </w:rPr>
        <w:t xml:space="preserve"> </w:t>
      </w:r>
    </w:p>
    <w:p w14:paraId="5008F0C9" w14:textId="77777777" w:rsidR="00383E3F" w:rsidRDefault="00383E3F" w:rsidP="00657B15">
      <w:pPr>
        <w:rPr>
          <w:rFonts w:ascii="Calibri" w:eastAsia="Calibri" w:hAnsi="Calibri" w:cs="Calibri"/>
          <w:b/>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1477"/>
        <w:gridCol w:w="1350"/>
        <w:gridCol w:w="1223"/>
        <w:gridCol w:w="1350"/>
      </w:tblGrid>
      <w:tr w:rsidR="00C510AC" w:rsidRPr="009D7D97" w14:paraId="21B7CB92" w14:textId="77777777" w:rsidTr="00226147">
        <w:trPr>
          <w:cantSplit/>
          <w:trHeight w:val="611"/>
          <w:jc w:val="center"/>
        </w:trPr>
        <w:tc>
          <w:tcPr>
            <w:tcW w:w="827" w:type="dxa"/>
            <w:vMerge w:val="restart"/>
            <w:vAlign w:val="center"/>
          </w:tcPr>
          <w:p w14:paraId="79677F68"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Grades</w:t>
            </w:r>
          </w:p>
        </w:tc>
        <w:tc>
          <w:tcPr>
            <w:tcW w:w="2827" w:type="dxa"/>
            <w:gridSpan w:val="2"/>
            <w:vAlign w:val="center"/>
          </w:tcPr>
          <w:p w14:paraId="128FB2D8" w14:textId="1D5D1850"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All Students</w:t>
            </w:r>
          </w:p>
        </w:tc>
        <w:tc>
          <w:tcPr>
            <w:tcW w:w="2573" w:type="dxa"/>
            <w:gridSpan w:val="2"/>
            <w:vAlign w:val="center"/>
          </w:tcPr>
          <w:p w14:paraId="2DCCB7E6"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Enrolled in at least their Second Year</w:t>
            </w:r>
          </w:p>
        </w:tc>
      </w:tr>
      <w:tr w:rsidR="00C510AC" w:rsidRPr="009D7D97" w14:paraId="7536A82A" w14:textId="77777777" w:rsidTr="00226147">
        <w:trPr>
          <w:cantSplit/>
          <w:trHeight w:val="611"/>
          <w:jc w:val="center"/>
        </w:trPr>
        <w:tc>
          <w:tcPr>
            <w:tcW w:w="827" w:type="dxa"/>
            <w:vMerge/>
            <w:vAlign w:val="center"/>
          </w:tcPr>
          <w:p w14:paraId="230971CA" w14:textId="77777777" w:rsidR="00C510AC" w:rsidRPr="009D7D97" w:rsidRDefault="00C510AC" w:rsidP="00226147">
            <w:pPr>
              <w:spacing w:after="0"/>
              <w:jc w:val="center"/>
              <w:rPr>
                <w:rFonts w:ascii="Calibri" w:hAnsi="Calibri"/>
                <w:color w:val="404040"/>
                <w:sz w:val="20"/>
              </w:rPr>
            </w:pPr>
          </w:p>
        </w:tc>
        <w:tc>
          <w:tcPr>
            <w:tcW w:w="1477" w:type="dxa"/>
            <w:vAlign w:val="center"/>
          </w:tcPr>
          <w:p w14:paraId="3C5F0C61"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Percent Proficient</w:t>
            </w:r>
            <w:r w:rsidRPr="009D7D97">
              <w:rPr>
                <w:rFonts w:ascii="Calibri" w:hAnsi="Calibri"/>
                <w:color w:val="404040"/>
                <w:sz w:val="20"/>
                <w:vertAlign w:val="superscript"/>
              </w:rPr>
              <w:footnoteReference w:id="4"/>
            </w:r>
          </w:p>
        </w:tc>
        <w:tc>
          <w:tcPr>
            <w:tcW w:w="1350" w:type="dxa"/>
            <w:vAlign w:val="center"/>
          </w:tcPr>
          <w:p w14:paraId="256AAF58"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Number</w:t>
            </w:r>
          </w:p>
          <w:p w14:paraId="08D58F19"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 xml:space="preserve">Tested </w:t>
            </w:r>
          </w:p>
        </w:tc>
        <w:tc>
          <w:tcPr>
            <w:tcW w:w="1223" w:type="dxa"/>
            <w:vAlign w:val="center"/>
          </w:tcPr>
          <w:p w14:paraId="03DF7A8B"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Percent Proficient</w:t>
            </w:r>
          </w:p>
        </w:tc>
        <w:tc>
          <w:tcPr>
            <w:tcW w:w="1350" w:type="dxa"/>
            <w:vAlign w:val="center"/>
          </w:tcPr>
          <w:p w14:paraId="2F6CCC69"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Number</w:t>
            </w:r>
          </w:p>
          <w:p w14:paraId="7BEAAE89"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 xml:space="preserve">Tested </w:t>
            </w:r>
          </w:p>
        </w:tc>
      </w:tr>
      <w:tr w:rsidR="00C510AC" w:rsidRPr="009D7D97" w14:paraId="54ED4FFC" w14:textId="77777777" w:rsidTr="00226147">
        <w:trPr>
          <w:cantSplit/>
          <w:trHeight w:val="305"/>
          <w:jc w:val="center"/>
        </w:trPr>
        <w:tc>
          <w:tcPr>
            <w:tcW w:w="827" w:type="dxa"/>
            <w:tcBorders>
              <w:bottom w:val="single" w:sz="4" w:space="0" w:color="auto"/>
            </w:tcBorders>
            <w:vAlign w:val="center"/>
          </w:tcPr>
          <w:p w14:paraId="4CDE50C3"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lastRenderedPageBreak/>
              <w:t>3</w:t>
            </w:r>
          </w:p>
        </w:tc>
        <w:tc>
          <w:tcPr>
            <w:tcW w:w="1477" w:type="dxa"/>
            <w:tcBorders>
              <w:bottom w:val="single" w:sz="4" w:space="0" w:color="auto"/>
            </w:tcBorders>
            <w:vAlign w:val="center"/>
          </w:tcPr>
          <w:p w14:paraId="07CD2C46" w14:textId="531FE003" w:rsidR="00C510AC" w:rsidRPr="009D7D97" w:rsidRDefault="00EB4871" w:rsidP="00226147">
            <w:pPr>
              <w:spacing w:after="0"/>
              <w:jc w:val="center"/>
              <w:rPr>
                <w:rFonts w:ascii="Calibri" w:hAnsi="Calibri"/>
                <w:color w:val="404040"/>
                <w:sz w:val="20"/>
              </w:rPr>
            </w:pPr>
            <w:r>
              <w:rPr>
                <w:rFonts w:ascii="Calibri" w:hAnsi="Calibri"/>
                <w:color w:val="404040"/>
                <w:sz w:val="20"/>
              </w:rPr>
              <w:t>38%</w:t>
            </w:r>
          </w:p>
        </w:tc>
        <w:tc>
          <w:tcPr>
            <w:tcW w:w="1350" w:type="dxa"/>
            <w:vAlign w:val="center"/>
          </w:tcPr>
          <w:p w14:paraId="65282E54" w14:textId="571DFC54" w:rsidR="00C510AC" w:rsidRPr="009D7D97" w:rsidRDefault="00EB4871" w:rsidP="00226147">
            <w:pPr>
              <w:spacing w:after="0"/>
              <w:jc w:val="center"/>
              <w:rPr>
                <w:rFonts w:ascii="Calibri" w:hAnsi="Calibri"/>
                <w:color w:val="404040"/>
                <w:sz w:val="20"/>
              </w:rPr>
            </w:pPr>
            <w:r>
              <w:rPr>
                <w:rFonts w:ascii="Calibri" w:hAnsi="Calibri"/>
                <w:color w:val="404040"/>
                <w:sz w:val="20"/>
              </w:rPr>
              <w:t>56</w:t>
            </w:r>
          </w:p>
        </w:tc>
        <w:tc>
          <w:tcPr>
            <w:tcW w:w="1223" w:type="dxa"/>
            <w:vAlign w:val="center"/>
          </w:tcPr>
          <w:p w14:paraId="51862F7F" w14:textId="4471ACB2" w:rsidR="00C510AC" w:rsidRPr="009D7D97" w:rsidRDefault="00EB4871" w:rsidP="00226147">
            <w:pPr>
              <w:spacing w:after="0"/>
              <w:jc w:val="center"/>
              <w:rPr>
                <w:rFonts w:ascii="Calibri" w:hAnsi="Calibri"/>
                <w:color w:val="404040"/>
                <w:sz w:val="20"/>
              </w:rPr>
            </w:pPr>
            <w:r>
              <w:rPr>
                <w:rFonts w:ascii="Calibri" w:hAnsi="Calibri"/>
                <w:color w:val="404040"/>
                <w:sz w:val="20"/>
              </w:rPr>
              <w:t>39%</w:t>
            </w:r>
          </w:p>
        </w:tc>
        <w:tc>
          <w:tcPr>
            <w:tcW w:w="1350" w:type="dxa"/>
            <w:tcBorders>
              <w:bottom w:val="single" w:sz="4" w:space="0" w:color="auto"/>
            </w:tcBorders>
            <w:vAlign w:val="center"/>
          </w:tcPr>
          <w:p w14:paraId="23D8F2F4" w14:textId="46F0E7D8" w:rsidR="00C510AC" w:rsidRPr="009D7D97" w:rsidRDefault="00EB4871" w:rsidP="00226147">
            <w:pPr>
              <w:spacing w:after="0"/>
              <w:jc w:val="center"/>
              <w:rPr>
                <w:rFonts w:ascii="Calibri" w:hAnsi="Calibri"/>
                <w:color w:val="404040"/>
                <w:sz w:val="20"/>
              </w:rPr>
            </w:pPr>
            <w:r>
              <w:rPr>
                <w:rFonts w:ascii="Calibri" w:hAnsi="Calibri"/>
                <w:color w:val="404040"/>
                <w:sz w:val="20"/>
              </w:rPr>
              <w:t>51</w:t>
            </w:r>
          </w:p>
        </w:tc>
      </w:tr>
      <w:tr w:rsidR="00C510AC" w:rsidRPr="009D7D97" w14:paraId="5AAE2EFD" w14:textId="77777777" w:rsidTr="00226147">
        <w:trPr>
          <w:cantSplit/>
          <w:trHeight w:val="260"/>
          <w:jc w:val="center"/>
        </w:trPr>
        <w:tc>
          <w:tcPr>
            <w:tcW w:w="827" w:type="dxa"/>
            <w:tcBorders>
              <w:bottom w:val="single" w:sz="4" w:space="0" w:color="auto"/>
            </w:tcBorders>
            <w:vAlign w:val="center"/>
          </w:tcPr>
          <w:p w14:paraId="2F224C1E"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4</w:t>
            </w:r>
          </w:p>
        </w:tc>
        <w:tc>
          <w:tcPr>
            <w:tcW w:w="1477" w:type="dxa"/>
            <w:tcBorders>
              <w:bottom w:val="single" w:sz="4" w:space="0" w:color="auto"/>
            </w:tcBorders>
            <w:vAlign w:val="center"/>
          </w:tcPr>
          <w:p w14:paraId="51CEDF02" w14:textId="7CB0A6F5" w:rsidR="00C510AC" w:rsidRPr="009D7D97" w:rsidRDefault="00EB4871" w:rsidP="00226147">
            <w:pPr>
              <w:spacing w:after="0"/>
              <w:jc w:val="center"/>
              <w:rPr>
                <w:rFonts w:ascii="Calibri" w:hAnsi="Calibri"/>
                <w:color w:val="404040"/>
                <w:sz w:val="20"/>
              </w:rPr>
            </w:pPr>
            <w:r>
              <w:rPr>
                <w:rFonts w:ascii="Calibri" w:hAnsi="Calibri"/>
                <w:color w:val="404040"/>
                <w:sz w:val="20"/>
              </w:rPr>
              <w:t>39%</w:t>
            </w:r>
          </w:p>
        </w:tc>
        <w:tc>
          <w:tcPr>
            <w:tcW w:w="1350" w:type="dxa"/>
            <w:vAlign w:val="center"/>
          </w:tcPr>
          <w:p w14:paraId="084E2DD7" w14:textId="54A454A3" w:rsidR="00C510AC" w:rsidRPr="009D7D97" w:rsidRDefault="00EB4871" w:rsidP="00226147">
            <w:pPr>
              <w:spacing w:after="0"/>
              <w:jc w:val="center"/>
              <w:rPr>
                <w:rFonts w:ascii="Calibri" w:hAnsi="Calibri"/>
                <w:color w:val="404040"/>
                <w:sz w:val="20"/>
              </w:rPr>
            </w:pPr>
            <w:r>
              <w:rPr>
                <w:rFonts w:ascii="Calibri" w:hAnsi="Calibri"/>
                <w:color w:val="404040"/>
                <w:sz w:val="20"/>
              </w:rPr>
              <w:t>59</w:t>
            </w:r>
          </w:p>
        </w:tc>
        <w:tc>
          <w:tcPr>
            <w:tcW w:w="1223" w:type="dxa"/>
            <w:vAlign w:val="center"/>
          </w:tcPr>
          <w:p w14:paraId="3A4149FA" w14:textId="15ABBEFF" w:rsidR="00C510AC" w:rsidRPr="009D7D97" w:rsidRDefault="001306C0" w:rsidP="00226147">
            <w:pPr>
              <w:spacing w:after="0"/>
              <w:jc w:val="center"/>
              <w:rPr>
                <w:rFonts w:ascii="Calibri" w:hAnsi="Calibri"/>
                <w:color w:val="404040"/>
                <w:sz w:val="20"/>
              </w:rPr>
            </w:pPr>
            <w:r>
              <w:rPr>
                <w:rFonts w:ascii="Calibri" w:hAnsi="Calibri"/>
                <w:color w:val="404040"/>
                <w:sz w:val="20"/>
              </w:rPr>
              <w:t>39%</w:t>
            </w:r>
          </w:p>
        </w:tc>
        <w:tc>
          <w:tcPr>
            <w:tcW w:w="1350" w:type="dxa"/>
            <w:tcBorders>
              <w:bottom w:val="single" w:sz="4" w:space="0" w:color="auto"/>
            </w:tcBorders>
            <w:vAlign w:val="center"/>
          </w:tcPr>
          <w:p w14:paraId="75BFD07D" w14:textId="0086BB90" w:rsidR="00C510AC" w:rsidRPr="009D7D97" w:rsidRDefault="001306C0" w:rsidP="00226147">
            <w:pPr>
              <w:spacing w:after="0"/>
              <w:jc w:val="center"/>
              <w:rPr>
                <w:rFonts w:ascii="Calibri" w:hAnsi="Calibri"/>
                <w:color w:val="404040"/>
                <w:sz w:val="20"/>
              </w:rPr>
            </w:pPr>
            <w:r>
              <w:rPr>
                <w:rFonts w:ascii="Calibri" w:hAnsi="Calibri"/>
                <w:color w:val="404040"/>
                <w:sz w:val="20"/>
              </w:rPr>
              <w:t>57</w:t>
            </w:r>
          </w:p>
        </w:tc>
      </w:tr>
      <w:tr w:rsidR="00C510AC" w:rsidRPr="009D7D97" w14:paraId="284E4239" w14:textId="77777777" w:rsidTr="00226147">
        <w:trPr>
          <w:cantSplit/>
          <w:trHeight w:val="260"/>
          <w:jc w:val="center"/>
        </w:trPr>
        <w:tc>
          <w:tcPr>
            <w:tcW w:w="827" w:type="dxa"/>
            <w:tcBorders>
              <w:bottom w:val="single" w:sz="4" w:space="0" w:color="auto"/>
            </w:tcBorders>
            <w:vAlign w:val="center"/>
          </w:tcPr>
          <w:p w14:paraId="674D892F"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5</w:t>
            </w:r>
          </w:p>
        </w:tc>
        <w:tc>
          <w:tcPr>
            <w:tcW w:w="1477" w:type="dxa"/>
            <w:tcBorders>
              <w:bottom w:val="single" w:sz="4" w:space="0" w:color="auto"/>
            </w:tcBorders>
            <w:vAlign w:val="center"/>
          </w:tcPr>
          <w:p w14:paraId="2494B1C8" w14:textId="69B0FB49" w:rsidR="00C510AC" w:rsidRPr="009D7D97" w:rsidRDefault="00C510AC" w:rsidP="00226147">
            <w:pPr>
              <w:spacing w:after="0"/>
              <w:jc w:val="center"/>
              <w:rPr>
                <w:rFonts w:ascii="Calibri" w:hAnsi="Calibri"/>
                <w:color w:val="404040"/>
                <w:sz w:val="20"/>
              </w:rPr>
            </w:pPr>
            <w:r>
              <w:rPr>
                <w:rFonts w:ascii="Calibri" w:hAnsi="Calibri"/>
                <w:color w:val="404040"/>
                <w:sz w:val="20"/>
              </w:rPr>
              <w:t>59%</w:t>
            </w:r>
          </w:p>
        </w:tc>
        <w:tc>
          <w:tcPr>
            <w:tcW w:w="1350" w:type="dxa"/>
            <w:vAlign w:val="center"/>
          </w:tcPr>
          <w:p w14:paraId="77751A19" w14:textId="7D6945DE" w:rsidR="00C510AC" w:rsidRPr="009D7D97" w:rsidRDefault="00C510AC" w:rsidP="00226147">
            <w:pPr>
              <w:spacing w:after="0"/>
              <w:jc w:val="center"/>
              <w:rPr>
                <w:rFonts w:ascii="Calibri" w:hAnsi="Calibri"/>
                <w:color w:val="404040"/>
                <w:sz w:val="20"/>
              </w:rPr>
            </w:pPr>
            <w:r>
              <w:rPr>
                <w:rFonts w:ascii="Calibri" w:hAnsi="Calibri"/>
                <w:color w:val="404040"/>
                <w:sz w:val="20"/>
              </w:rPr>
              <w:t>63</w:t>
            </w:r>
          </w:p>
        </w:tc>
        <w:tc>
          <w:tcPr>
            <w:tcW w:w="1223" w:type="dxa"/>
            <w:vAlign w:val="center"/>
          </w:tcPr>
          <w:p w14:paraId="6277261E" w14:textId="5C7EA13B" w:rsidR="00C510AC" w:rsidRPr="009D7D97" w:rsidRDefault="00383E3F" w:rsidP="00226147">
            <w:pPr>
              <w:spacing w:after="0"/>
              <w:jc w:val="center"/>
              <w:rPr>
                <w:rFonts w:ascii="Calibri" w:hAnsi="Calibri"/>
                <w:color w:val="404040"/>
                <w:sz w:val="20"/>
              </w:rPr>
            </w:pPr>
            <w:r>
              <w:rPr>
                <w:rFonts w:ascii="Calibri" w:hAnsi="Calibri"/>
                <w:color w:val="404040"/>
                <w:sz w:val="20"/>
              </w:rPr>
              <w:t>60%</w:t>
            </w:r>
          </w:p>
        </w:tc>
        <w:tc>
          <w:tcPr>
            <w:tcW w:w="1350" w:type="dxa"/>
            <w:tcBorders>
              <w:bottom w:val="single" w:sz="4" w:space="0" w:color="auto"/>
            </w:tcBorders>
            <w:vAlign w:val="center"/>
          </w:tcPr>
          <w:p w14:paraId="0FFE429D" w14:textId="19477A4F" w:rsidR="00C510AC" w:rsidRPr="009D7D97" w:rsidRDefault="00383E3F" w:rsidP="00226147">
            <w:pPr>
              <w:spacing w:after="0"/>
              <w:jc w:val="center"/>
              <w:rPr>
                <w:rFonts w:ascii="Calibri" w:hAnsi="Calibri"/>
                <w:color w:val="404040"/>
                <w:sz w:val="20"/>
              </w:rPr>
            </w:pPr>
            <w:r>
              <w:rPr>
                <w:rFonts w:ascii="Calibri" w:hAnsi="Calibri"/>
                <w:color w:val="404040"/>
                <w:sz w:val="20"/>
              </w:rPr>
              <w:t>58</w:t>
            </w:r>
          </w:p>
        </w:tc>
      </w:tr>
      <w:tr w:rsidR="00C510AC" w:rsidRPr="009D7D97" w14:paraId="4E0503B1" w14:textId="77777777" w:rsidTr="00226147">
        <w:trPr>
          <w:cantSplit/>
          <w:trHeight w:val="260"/>
          <w:jc w:val="center"/>
        </w:trPr>
        <w:tc>
          <w:tcPr>
            <w:tcW w:w="827" w:type="dxa"/>
            <w:tcBorders>
              <w:bottom w:val="single" w:sz="4" w:space="0" w:color="auto"/>
            </w:tcBorders>
            <w:vAlign w:val="center"/>
          </w:tcPr>
          <w:p w14:paraId="5D4F5F98"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6</w:t>
            </w:r>
          </w:p>
        </w:tc>
        <w:tc>
          <w:tcPr>
            <w:tcW w:w="1477" w:type="dxa"/>
            <w:tcBorders>
              <w:bottom w:val="single" w:sz="4" w:space="0" w:color="auto"/>
            </w:tcBorders>
            <w:vAlign w:val="center"/>
          </w:tcPr>
          <w:p w14:paraId="491330B8" w14:textId="44DED948" w:rsidR="00C510AC" w:rsidRPr="009D7D97" w:rsidRDefault="00C510AC" w:rsidP="00226147">
            <w:pPr>
              <w:spacing w:after="0"/>
              <w:jc w:val="center"/>
              <w:rPr>
                <w:rFonts w:ascii="Calibri" w:hAnsi="Calibri"/>
                <w:color w:val="404040"/>
                <w:sz w:val="20"/>
              </w:rPr>
            </w:pPr>
            <w:r>
              <w:rPr>
                <w:rFonts w:ascii="Calibri" w:hAnsi="Calibri"/>
                <w:color w:val="404040"/>
                <w:sz w:val="20"/>
              </w:rPr>
              <w:t>45%</w:t>
            </w:r>
          </w:p>
        </w:tc>
        <w:tc>
          <w:tcPr>
            <w:tcW w:w="1350" w:type="dxa"/>
            <w:vAlign w:val="center"/>
          </w:tcPr>
          <w:p w14:paraId="0040EF45" w14:textId="02844B31" w:rsidR="00C510AC" w:rsidRPr="009D7D97" w:rsidRDefault="00C510AC" w:rsidP="00226147">
            <w:pPr>
              <w:spacing w:after="0"/>
              <w:jc w:val="center"/>
              <w:rPr>
                <w:rFonts w:ascii="Calibri" w:hAnsi="Calibri"/>
                <w:color w:val="404040"/>
                <w:sz w:val="20"/>
              </w:rPr>
            </w:pPr>
            <w:r>
              <w:rPr>
                <w:rFonts w:ascii="Calibri" w:hAnsi="Calibri"/>
                <w:color w:val="404040"/>
                <w:sz w:val="20"/>
              </w:rPr>
              <w:t>62</w:t>
            </w:r>
          </w:p>
        </w:tc>
        <w:tc>
          <w:tcPr>
            <w:tcW w:w="1223" w:type="dxa"/>
            <w:vAlign w:val="center"/>
          </w:tcPr>
          <w:p w14:paraId="5627D72C" w14:textId="46B6549F" w:rsidR="00C510AC" w:rsidRPr="009D7D97" w:rsidRDefault="00383E3F" w:rsidP="00226147">
            <w:pPr>
              <w:spacing w:after="0"/>
              <w:jc w:val="center"/>
              <w:rPr>
                <w:rFonts w:ascii="Calibri" w:hAnsi="Calibri"/>
                <w:color w:val="404040"/>
                <w:sz w:val="20"/>
              </w:rPr>
            </w:pPr>
            <w:r>
              <w:rPr>
                <w:rFonts w:ascii="Calibri" w:hAnsi="Calibri"/>
                <w:color w:val="404040"/>
                <w:sz w:val="20"/>
              </w:rPr>
              <w:t>50%</w:t>
            </w:r>
          </w:p>
        </w:tc>
        <w:tc>
          <w:tcPr>
            <w:tcW w:w="1350" w:type="dxa"/>
            <w:tcBorders>
              <w:bottom w:val="single" w:sz="4" w:space="0" w:color="auto"/>
            </w:tcBorders>
            <w:vAlign w:val="center"/>
          </w:tcPr>
          <w:p w14:paraId="51769A29" w14:textId="3FE62B44" w:rsidR="00C510AC" w:rsidRPr="009D7D97" w:rsidRDefault="00383E3F" w:rsidP="00226147">
            <w:pPr>
              <w:spacing w:after="0"/>
              <w:jc w:val="center"/>
              <w:rPr>
                <w:rFonts w:ascii="Calibri" w:hAnsi="Calibri"/>
                <w:color w:val="404040"/>
                <w:sz w:val="20"/>
              </w:rPr>
            </w:pPr>
            <w:r>
              <w:rPr>
                <w:rFonts w:ascii="Calibri" w:hAnsi="Calibri"/>
                <w:color w:val="404040"/>
                <w:sz w:val="20"/>
              </w:rPr>
              <w:t>52</w:t>
            </w:r>
          </w:p>
        </w:tc>
      </w:tr>
      <w:tr w:rsidR="00C510AC" w:rsidRPr="009D7D97" w14:paraId="54CCFDE5" w14:textId="77777777" w:rsidTr="00226147">
        <w:trPr>
          <w:cantSplit/>
          <w:trHeight w:val="260"/>
          <w:jc w:val="center"/>
        </w:trPr>
        <w:tc>
          <w:tcPr>
            <w:tcW w:w="827" w:type="dxa"/>
            <w:tcBorders>
              <w:bottom w:val="single" w:sz="4" w:space="0" w:color="auto"/>
            </w:tcBorders>
            <w:vAlign w:val="center"/>
          </w:tcPr>
          <w:p w14:paraId="316B6D40"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7</w:t>
            </w:r>
          </w:p>
        </w:tc>
        <w:tc>
          <w:tcPr>
            <w:tcW w:w="1477" w:type="dxa"/>
            <w:tcBorders>
              <w:bottom w:val="single" w:sz="4" w:space="0" w:color="auto"/>
            </w:tcBorders>
            <w:vAlign w:val="center"/>
          </w:tcPr>
          <w:p w14:paraId="014B02D3" w14:textId="4A8586D1" w:rsidR="00C510AC" w:rsidRPr="009D7D97" w:rsidRDefault="00C510AC" w:rsidP="00226147">
            <w:pPr>
              <w:spacing w:after="0"/>
              <w:jc w:val="center"/>
              <w:rPr>
                <w:rFonts w:ascii="Calibri" w:hAnsi="Calibri"/>
                <w:color w:val="404040"/>
                <w:sz w:val="20"/>
              </w:rPr>
            </w:pPr>
            <w:r>
              <w:rPr>
                <w:rFonts w:ascii="Calibri" w:hAnsi="Calibri"/>
                <w:color w:val="404040"/>
                <w:sz w:val="20"/>
              </w:rPr>
              <w:t>52%</w:t>
            </w:r>
          </w:p>
        </w:tc>
        <w:tc>
          <w:tcPr>
            <w:tcW w:w="1350" w:type="dxa"/>
            <w:vAlign w:val="center"/>
          </w:tcPr>
          <w:p w14:paraId="35B81293" w14:textId="058CF3FB" w:rsidR="00C510AC" w:rsidRPr="009D7D97" w:rsidRDefault="00C510AC" w:rsidP="00226147">
            <w:pPr>
              <w:spacing w:after="0"/>
              <w:jc w:val="center"/>
              <w:rPr>
                <w:rFonts w:ascii="Calibri" w:hAnsi="Calibri"/>
                <w:color w:val="404040"/>
                <w:sz w:val="20"/>
              </w:rPr>
            </w:pPr>
            <w:r>
              <w:rPr>
                <w:rFonts w:ascii="Calibri" w:hAnsi="Calibri"/>
                <w:color w:val="404040"/>
                <w:sz w:val="20"/>
              </w:rPr>
              <w:t>54</w:t>
            </w:r>
          </w:p>
        </w:tc>
        <w:tc>
          <w:tcPr>
            <w:tcW w:w="1223" w:type="dxa"/>
            <w:vAlign w:val="center"/>
          </w:tcPr>
          <w:p w14:paraId="71AD5489" w14:textId="4B497196" w:rsidR="00C510AC" w:rsidRPr="009D7D97" w:rsidRDefault="00383E3F" w:rsidP="00226147">
            <w:pPr>
              <w:spacing w:after="0"/>
              <w:jc w:val="center"/>
              <w:rPr>
                <w:rFonts w:ascii="Calibri" w:hAnsi="Calibri"/>
                <w:color w:val="404040"/>
                <w:sz w:val="20"/>
              </w:rPr>
            </w:pPr>
            <w:r>
              <w:rPr>
                <w:rFonts w:ascii="Calibri" w:hAnsi="Calibri"/>
                <w:color w:val="404040"/>
                <w:sz w:val="20"/>
              </w:rPr>
              <w:t>51%</w:t>
            </w:r>
          </w:p>
        </w:tc>
        <w:tc>
          <w:tcPr>
            <w:tcW w:w="1350" w:type="dxa"/>
            <w:tcBorders>
              <w:bottom w:val="single" w:sz="4" w:space="0" w:color="auto"/>
            </w:tcBorders>
            <w:vAlign w:val="center"/>
          </w:tcPr>
          <w:p w14:paraId="21910DD9" w14:textId="5A0ADA63" w:rsidR="00C510AC" w:rsidRPr="009D7D97" w:rsidRDefault="00383E3F" w:rsidP="00226147">
            <w:pPr>
              <w:spacing w:after="0"/>
              <w:jc w:val="center"/>
              <w:rPr>
                <w:rFonts w:ascii="Calibri" w:hAnsi="Calibri"/>
                <w:color w:val="404040"/>
                <w:sz w:val="20"/>
              </w:rPr>
            </w:pPr>
            <w:r>
              <w:rPr>
                <w:rFonts w:ascii="Calibri" w:hAnsi="Calibri"/>
                <w:color w:val="404040"/>
                <w:sz w:val="20"/>
              </w:rPr>
              <w:t>47</w:t>
            </w:r>
          </w:p>
        </w:tc>
      </w:tr>
      <w:tr w:rsidR="00C510AC" w:rsidRPr="009D7D97" w14:paraId="0F8FE2EA" w14:textId="77777777" w:rsidTr="00226147">
        <w:trPr>
          <w:cantSplit/>
          <w:trHeight w:val="260"/>
          <w:jc w:val="center"/>
        </w:trPr>
        <w:tc>
          <w:tcPr>
            <w:tcW w:w="827" w:type="dxa"/>
            <w:tcBorders>
              <w:bottom w:val="double" w:sz="4" w:space="0" w:color="auto"/>
            </w:tcBorders>
            <w:vAlign w:val="center"/>
          </w:tcPr>
          <w:p w14:paraId="57351FA5"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8</w:t>
            </w:r>
          </w:p>
        </w:tc>
        <w:tc>
          <w:tcPr>
            <w:tcW w:w="1477" w:type="dxa"/>
            <w:tcBorders>
              <w:bottom w:val="double" w:sz="4" w:space="0" w:color="auto"/>
            </w:tcBorders>
            <w:vAlign w:val="center"/>
          </w:tcPr>
          <w:p w14:paraId="2C0BD489" w14:textId="46F5408B" w:rsidR="00C510AC" w:rsidRPr="009D7D97" w:rsidRDefault="00C510AC" w:rsidP="00226147">
            <w:pPr>
              <w:spacing w:after="0"/>
              <w:jc w:val="center"/>
              <w:rPr>
                <w:rFonts w:ascii="Calibri" w:hAnsi="Calibri"/>
                <w:color w:val="404040"/>
                <w:sz w:val="20"/>
              </w:rPr>
            </w:pPr>
            <w:r>
              <w:rPr>
                <w:rFonts w:ascii="Calibri" w:hAnsi="Calibri"/>
                <w:color w:val="404040"/>
                <w:sz w:val="20"/>
              </w:rPr>
              <w:t>54%</w:t>
            </w:r>
          </w:p>
        </w:tc>
        <w:tc>
          <w:tcPr>
            <w:tcW w:w="1350" w:type="dxa"/>
            <w:tcBorders>
              <w:bottom w:val="double" w:sz="4" w:space="0" w:color="auto"/>
            </w:tcBorders>
            <w:vAlign w:val="center"/>
          </w:tcPr>
          <w:p w14:paraId="5CE54C35" w14:textId="2A9314C3" w:rsidR="00C510AC" w:rsidRPr="009D7D97" w:rsidRDefault="00C510AC" w:rsidP="00226147">
            <w:pPr>
              <w:spacing w:after="0"/>
              <w:jc w:val="center"/>
              <w:rPr>
                <w:rFonts w:ascii="Calibri" w:hAnsi="Calibri"/>
                <w:color w:val="404040"/>
                <w:sz w:val="20"/>
              </w:rPr>
            </w:pPr>
            <w:r>
              <w:rPr>
                <w:rFonts w:ascii="Calibri" w:hAnsi="Calibri"/>
                <w:color w:val="404040"/>
                <w:sz w:val="20"/>
              </w:rPr>
              <w:t>56</w:t>
            </w:r>
          </w:p>
        </w:tc>
        <w:tc>
          <w:tcPr>
            <w:tcW w:w="1223" w:type="dxa"/>
            <w:tcBorders>
              <w:bottom w:val="double" w:sz="4" w:space="0" w:color="auto"/>
            </w:tcBorders>
            <w:vAlign w:val="center"/>
          </w:tcPr>
          <w:p w14:paraId="63A96F2F" w14:textId="4995F04E" w:rsidR="00C510AC" w:rsidRPr="009D7D97" w:rsidRDefault="00EB4871" w:rsidP="00226147">
            <w:pPr>
              <w:spacing w:after="0"/>
              <w:jc w:val="center"/>
              <w:rPr>
                <w:rFonts w:ascii="Calibri" w:hAnsi="Calibri"/>
                <w:color w:val="404040"/>
                <w:sz w:val="20"/>
              </w:rPr>
            </w:pPr>
            <w:r>
              <w:rPr>
                <w:rFonts w:ascii="Calibri" w:hAnsi="Calibri"/>
                <w:color w:val="404040"/>
                <w:sz w:val="20"/>
              </w:rPr>
              <w:t>57%</w:t>
            </w:r>
          </w:p>
        </w:tc>
        <w:tc>
          <w:tcPr>
            <w:tcW w:w="1350" w:type="dxa"/>
            <w:tcBorders>
              <w:bottom w:val="double" w:sz="4" w:space="0" w:color="auto"/>
            </w:tcBorders>
            <w:vAlign w:val="center"/>
          </w:tcPr>
          <w:p w14:paraId="761B476C" w14:textId="2190F471" w:rsidR="00C510AC" w:rsidRPr="009D7D97" w:rsidRDefault="00EB4871" w:rsidP="00226147">
            <w:pPr>
              <w:spacing w:after="0"/>
              <w:jc w:val="center"/>
              <w:rPr>
                <w:rFonts w:ascii="Calibri" w:hAnsi="Calibri"/>
                <w:color w:val="404040"/>
                <w:sz w:val="20"/>
              </w:rPr>
            </w:pPr>
            <w:r>
              <w:rPr>
                <w:rFonts w:ascii="Calibri" w:hAnsi="Calibri"/>
                <w:color w:val="404040"/>
                <w:sz w:val="20"/>
              </w:rPr>
              <w:t>51</w:t>
            </w:r>
          </w:p>
        </w:tc>
      </w:tr>
      <w:tr w:rsidR="00C510AC" w:rsidRPr="009D7D97" w14:paraId="59800F97" w14:textId="77777777" w:rsidTr="00226147">
        <w:trPr>
          <w:cantSplit/>
          <w:trHeight w:val="240"/>
          <w:jc w:val="center"/>
        </w:trPr>
        <w:tc>
          <w:tcPr>
            <w:tcW w:w="827" w:type="dxa"/>
            <w:tcBorders>
              <w:top w:val="double" w:sz="4" w:space="0" w:color="auto"/>
              <w:bottom w:val="single" w:sz="4" w:space="0" w:color="auto"/>
            </w:tcBorders>
            <w:vAlign w:val="center"/>
          </w:tcPr>
          <w:p w14:paraId="1E00D50C" w14:textId="77777777" w:rsidR="00C510AC" w:rsidRPr="009D7D97" w:rsidRDefault="00C510AC" w:rsidP="00226147">
            <w:pPr>
              <w:spacing w:after="0"/>
              <w:jc w:val="center"/>
              <w:rPr>
                <w:rFonts w:ascii="Calibri" w:hAnsi="Calibri"/>
                <w:color w:val="404040"/>
                <w:sz w:val="20"/>
              </w:rPr>
            </w:pPr>
            <w:r w:rsidRPr="009D7D97">
              <w:rPr>
                <w:rFonts w:ascii="Calibri" w:hAnsi="Calibri"/>
                <w:color w:val="404040"/>
                <w:sz w:val="20"/>
              </w:rPr>
              <w:t xml:space="preserve">All </w:t>
            </w:r>
          </w:p>
        </w:tc>
        <w:tc>
          <w:tcPr>
            <w:tcW w:w="1477" w:type="dxa"/>
            <w:tcBorders>
              <w:top w:val="double" w:sz="4" w:space="0" w:color="auto"/>
              <w:bottom w:val="single" w:sz="4" w:space="0" w:color="auto"/>
            </w:tcBorders>
            <w:vAlign w:val="center"/>
          </w:tcPr>
          <w:p w14:paraId="20F9DD04" w14:textId="6152D500" w:rsidR="00C510AC" w:rsidRPr="009D7D97" w:rsidRDefault="001306C0" w:rsidP="00226147">
            <w:pPr>
              <w:spacing w:after="0"/>
              <w:jc w:val="center"/>
              <w:rPr>
                <w:rFonts w:ascii="Calibri" w:hAnsi="Calibri"/>
                <w:color w:val="404040"/>
                <w:sz w:val="20"/>
              </w:rPr>
            </w:pPr>
            <w:r>
              <w:rPr>
                <w:rFonts w:ascii="Calibri" w:hAnsi="Calibri"/>
                <w:color w:val="404040"/>
                <w:sz w:val="20"/>
              </w:rPr>
              <w:t>48%</w:t>
            </w:r>
          </w:p>
        </w:tc>
        <w:tc>
          <w:tcPr>
            <w:tcW w:w="1350" w:type="dxa"/>
            <w:tcBorders>
              <w:top w:val="double" w:sz="4" w:space="0" w:color="auto"/>
              <w:bottom w:val="single" w:sz="4" w:space="0" w:color="auto"/>
            </w:tcBorders>
            <w:vAlign w:val="center"/>
          </w:tcPr>
          <w:p w14:paraId="2CA0AA03" w14:textId="077C498E" w:rsidR="00C510AC" w:rsidRPr="009D7D97" w:rsidRDefault="001306C0" w:rsidP="00226147">
            <w:pPr>
              <w:spacing w:after="0"/>
              <w:jc w:val="center"/>
              <w:rPr>
                <w:rFonts w:ascii="Calibri" w:hAnsi="Calibri"/>
                <w:color w:val="404040"/>
                <w:sz w:val="20"/>
              </w:rPr>
            </w:pPr>
            <w:r>
              <w:rPr>
                <w:rFonts w:ascii="Calibri" w:hAnsi="Calibri"/>
                <w:color w:val="404040"/>
                <w:sz w:val="20"/>
              </w:rPr>
              <w:t>350</w:t>
            </w:r>
          </w:p>
        </w:tc>
        <w:tc>
          <w:tcPr>
            <w:tcW w:w="1223" w:type="dxa"/>
            <w:tcBorders>
              <w:top w:val="double" w:sz="4" w:space="0" w:color="auto"/>
              <w:bottom w:val="single" w:sz="4" w:space="0" w:color="auto"/>
            </w:tcBorders>
            <w:vAlign w:val="center"/>
          </w:tcPr>
          <w:p w14:paraId="2AA6FA7A" w14:textId="7C94FE7E" w:rsidR="00C510AC" w:rsidRPr="009D7D97" w:rsidRDefault="001306C0" w:rsidP="00226147">
            <w:pPr>
              <w:spacing w:after="0"/>
              <w:jc w:val="center"/>
              <w:rPr>
                <w:rFonts w:ascii="Calibri" w:hAnsi="Calibri"/>
                <w:color w:val="404040"/>
                <w:sz w:val="20"/>
              </w:rPr>
            </w:pPr>
            <w:r>
              <w:rPr>
                <w:rFonts w:ascii="Calibri" w:hAnsi="Calibri"/>
                <w:color w:val="404040"/>
                <w:sz w:val="20"/>
              </w:rPr>
              <w:t>49%</w:t>
            </w:r>
          </w:p>
        </w:tc>
        <w:tc>
          <w:tcPr>
            <w:tcW w:w="1350" w:type="dxa"/>
            <w:tcBorders>
              <w:top w:val="double" w:sz="4" w:space="0" w:color="auto"/>
              <w:bottom w:val="single" w:sz="4" w:space="0" w:color="auto"/>
            </w:tcBorders>
            <w:vAlign w:val="center"/>
          </w:tcPr>
          <w:p w14:paraId="62E3D570" w14:textId="1C4CE10A" w:rsidR="00C510AC" w:rsidRPr="009D7D97" w:rsidRDefault="001306C0" w:rsidP="00226147">
            <w:pPr>
              <w:spacing w:after="0"/>
              <w:jc w:val="center"/>
              <w:rPr>
                <w:rFonts w:ascii="Calibri" w:hAnsi="Calibri"/>
                <w:color w:val="404040"/>
                <w:sz w:val="20"/>
              </w:rPr>
            </w:pPr>
            <w:r>
              <w:rPr>
                <w:rFonts w:ascii="Calibri" w:hAnsi="Calibri"/>
                <w:color w:val="404040"/>
                <w:sz w:val="20"/>
              </w:rPr>
              <w:t>316</w:t>
            </w:r>
          </w:p>
        </w:tc>
      </w:tr>
    </w:tbl>
    <w:p w14:paraId="13CD45A0" w14:textId="77777777" w:rsidR="00C510AC" w:rsidRDefault="00C510AC" w:rsidP="00657B15"/>
    <w:p w14:paraId="18E10134" w14:textId="77777777" w:rsidR="00657B15" w:rsidRDefault="00657B15" w:rsidP="00657B15">
      <w:pPr>
        <w:pStyle w:val="Heading2"/>
      </w:pPr>
      <w:r w:rsidRPr="7D51821A">
        <w:rPr>
          <w:rFonts w:ascii="Calibri" w:eastAsia="Calibri" w:hAnsi="Calibri" w:cs="Calibri"/>
          <w:bCs w:val="0"/>
          <w:color w:val="365F91" w:themeColor="accent1" w:themeShade="BF"/>
          <w:szCs w:val="28"/>
        </w:rPr>
        <w:t>Additional Evidence</w:t>
      </w:r>
    </w:p>
    <w:p w14:paraId="6C205344" w14:textId="77777777" w:rsidR="001306C0" w:rsidRPr="009E3FD3" w:rsidRDefault="001306C0" w:rsidP="001306C0">
      <w:pPr>
        <w:shd w:val="clear" w:color="auto" w:fill="8DB3E2"/>
        <w:spacing w:after="0"/>
        <w:jc w:val="center"/>
        <w:rPr>
          <w:rFonts w:ascii="Times New Roman" w:hAnsi="Times New Roman"/>
          <w:color w:val="auto"/>
          <w:sz w:val="24"/>
          <w:szCs w:val="24"/>
        </w:rPr>
      </w:pPr>
      <w:r w:rsidRPr="009E3FD3">
        <w:rPr>
          <w:rFonts w:ascii="Calibri" w:hAnsi="Calibri" w:cs="Calibri"/>
          <w:color w:val="FFFFFF"/>
          <w:szCs w:val="23"/>
        </w:rPr>
        <w:t>Performance on a Regents Mathematics Exam</w:t>
      </w:r>
    </w:p>
    <w:p w14:paraId="2F275B5A" w14:textId="77777777" w:rsidR="001306C0" w:rsidRPr="009E3FD3" w:rsidRDefault="001306C0" w:rsidP="001306C0">
      <w:pPr>
        <w:shd w:val="clear" w:color="auto" w:fill="8DB3E2"/>
        <w:spacing w:after="0"/>
        <w:jc w:val="center"/>
        <w:rPr>
          <w:rFonts w:ascii="Times New Roman" w:hAnsi="Times New Roman"/>
          <w:color w:val="auto"/>
          <w:sz w:val="24"/>
          <w:szCs w:val="24"/>
        </w:rPr>
      </w:pPr>
      <w:r w:rsidRPr="009E3FD3">
        <w:rPr>
          <w:rFonts w:ascii="Calibri" w:hAnsi="Calibri" w:cs="Calibri"/>
          <w:color w:val="FFFFFF"/>
          <w:szCs w:val="23"/>
        </w:rPr>
        <w:t>Of 8</w:t>
      </w:r>
      <w:r w:rsidRPr="009E3FD3">
        <w:rPr>
          <w:rFonts w:ascii="Calibri" w:hAnsi="Calibri" w:cs="Calibri"/>
          <w:color w:val="FFFFFF"/>
          <w:sz w:val="14"/>
          <w:szCs w:val="14"/>
          <w:vertAlign w:val="superscript"/>
        </w:rPr>
        <w:t>th</w:t>
      </w:r>
      <w:r w:rsidRPr="009E3FD3">
        <w:rPr>
          <w:rFonts w:ascii="Calibri" w:hAnsi="Calibri" w:cs="Calibri"/>
          <w:color w:val="FFFFFF"/>
          <w:szCs w:val="23"/>
        </w:rPr>
        <w:t xml:space="preserve"> Grade All Students by Year</w:t>
      </w:r>
    </w:p>
    <w:p w14:paraId="13E86B15" w14:textId="77777777" w:rsidR="001306C0" w:rsidRPr="009E3FD3" w:rsidRDefault="001306C0" w:rsidP="001306C0">
      <w:pPr>
        <w:spacing w:after="0"/>
        <w:rPr>
          <w:rFonts w:ascii="Times New Roman" w:hAnsi="Times New Roman"/>
          <w:color w:val="auto"/>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27"/>
        <w:gridCol w:w="1103"/>
        <w:gridCol w:w="1413"/>
        <w:gridCol w:w="1626"/>
        <w:gridCol w:w="899"/>
      </w:tblGrid>
      <w:tr w:rsidR="001306C0" w:rsidRPr="009E3FD3" w14:paraId="45131B7E" w14:textId="77777777" w:rsidTr="00226147">
        <w:trPr>
          <w:trHeight w:val="6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0C0DF" w14:textId="77777777" w:rsidR="001306C0" w:rsidRPr="009E3FD3" w:rsidRDefault="001306C0" w:rsidP="00226147">
            <w:pPr>
              <w:spacing w:after="0"/>
              <w:rPr>
                <w:rFonts w:ascii="Times New Roman" w:hAnsi="Times New Roman"/>
                <w:color w:val="auto"/>
                <w:sz w:val="24"/>
                <w:szCs w:val="24"/>
              </w:rPr>
            </w:pPr>
          </w:p>
          <w:p w14:paraId="58D40659"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046E48"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793DB"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Regents Exam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BFE7EA"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Percent</w:t>
            </w:r>
          </w:p>
          <w:p w14:paraId="7030CE0D"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Passing with a 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5DC4F5"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Number</w:t>
            </w:r>
          </w:p>
          <w:p w14:paraId="7759A4C5"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Tested </w:t>
            </w:r>
          </w:p>
        </w:tc>
      </w:tr>
      <w:tr w:rsidR="001306C0" w:rsidRPr="009E3FD3" w14:paraId="6EA365D9" w14:textId="77777777" w:rsidTr="00226147">
        <w:trPr>
          <w:trHeight w:val="2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12896B"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E7CC7"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75ACE5"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Algebra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6956C" w14:textId="77777777" w:rsidR="001306C0" w:rsidRPr="009E3FD3" w:rsidRDefault="001306C0" w:rsidP="00226147">
            <w:pPr>
              <w:spacing w:after="0"/>
              <w:jc w:val="center"/>
              <w:rPr>
                <w:rFonts w:ascii="Times New Roman" w:hAnsi="Times New Roman"/>
                <w:color w:val="auto"/>
                <w:sz w:val="24"/>
                <w:szCs w:val="24"/>
              </w:rPr>
            </w:pPr>
            <w:r>
              <w:rPr>
                <w:rFonts w:ascii="Calibri" w:hAnsi="Calibri" w:cs="Calibri"/>
                <w:color w:val="404040"/>
                <w:sz w:val="20"/>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F2DF8"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89</w:t>
            </w:r>
          </w:p>
        </w:tc>
      </w:tr>
      <w:tr w:rsidR="001306C0" w:rsidRPr="009E3FD3" w14:paraId="3F86FB26" w14:textId="77777777" w:rsidTr="0022614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71F42"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C6F056"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EC00C"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Algebra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1A7E07" w14:textId="77777777" w:rsidR="001306C0" w:rsidRPr="009E3FD3" w:rsidRDefault="001306C0" w:rsidP="00226147">
            <w:pPr>
              <w:spacing w:after="0"/>
              <w:jc w:val="center"/>
              <w:rPr>
                <w:rFonts w:ascii="Times New Roman" w:hAnsi="Times New Roman"/>
                <w:color w:val="auto"/>
                <w:sz w:val="24"/>
                <w:szCs w:val="24"/>
              </w:rPr>
            </w:pPr>
            <w:r>
              <w:rPr>
                <w:rFonts w:ascii="Calibri" w:hAnsi="Calibri" w:cs="Calibri"/>
                <w:color w:val="404040"/>
                <w:sz w:val="20"/>
              </w:rPr>
              <w:t>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19B13" w14:textId="77777777" w:rsidR="001306C0" w:rsidRPr="009E3FD3" w:rsidRDefault="001306C0" w:rsidP="00226147">
            <w:pPr>
              <w:spacing w:after="0"/>
              <w:jc w:val="center"/>
              <w:rPr>
                <w:rFonts w:ascii="Times New Roman" w:hAnsi="Times New Roman"/>
                <w:color w:val="auto"/>
                <w:sz w:val="24"/>
                <w:szCs w:val="24"/>
              </w:rPr>
            </w:pPr>
            <w:r w:rsidRPr="009E3FD3">
              <w:rPr>
                <w:rFonts w:ascii="Calibri" w:hAnsi="Calibri" w:cs="Calibri"/>
                <w:color w:val="404040"/>
                <w:sz w:val="20"/>
              </w:rPr>
              <w:t>86</w:t>
            </w:r>
          </w:p>
        </w:tc>
      </w:tr>
      <w:tr w:rsidR="001306C0" w:rsidRPr="009E3FD3" w14:paraId="4ADC24F1" w14:textId="77777777" w:rsidTr="00226147">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175ED" w14:textId="192E9EBA" w:rsidR="001306C0" w:rsidRPr="009E3FD3" w:rsidRDefault="001306C0" w:rsidP="001306C0">
            <w:pPr>
              <w:spacing w:after="0"/>
              <w:jc w:val="center"/>
              <w:rPr>
                <w:rFonts w:ascii="Calibri" w:hAnsi="Calibri" w:cs="Calibri"/>
                <w:color w:val="404040"/>
                <w:sz w:val="20"/>
              </w:rPr>
            </w:pPr>
            <w:r w:rsidRPr="009E3FD3">
              <w:rPr>
                <w:rFonts w:ascii="Calibri" w:hAnsi="Calibri" w:cs="Calibri"/>
                <w:color w:val="404040"/>
                <w:sz w:val="2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5D02D" w14:textId="2C8C1260" w:rsidR="001306C0" w:rsidRPr="009E3FD3" w:rsidRDefault="001306C0" w:rsidP="001306C0">
            <w:pPr>
              <w:spacing w:after="0"/>
              <w:jc w:val="center"/>
              <w:rPr>
                <w:rFonts w:ascii="Calibri" w:hAnsi="Calibri" w:cs="Calibri"/>
                <w:color w:val="404040"/>
                <w:sz w:val="20"/>
              </w:rPr>
            </w:pPr>
            <w:r w:rsidRPr="009E3FD3">
              <w:rPr>
                <w:rFonts w:ascii="Calibri" w:hAnsi="Calibri" w:cs="Calibri"/>
                <w:color w:val="404040"/>
                <w:sz w:val="20"/>
              </w:rPr>
              <w:t>2019-2020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A02855" w14:textId="14A9A752" w:rsidR="001306C0" w:rsidRDefault="001306C0" w:rsidP="001306C0">
            <w:pPr>
              <w:spacing w:after="0"/>
              <w:jc w:val="center"/>
              <w:rPr>
                <w:rFonts w:ascii="Calibri" w:hAnsi="Calibri" w:cs="Calibri"/>
                <w:color w:val="404040"/>
                <w:sz w:val="20"/>
              </w:rPr>
            </w:pPr>
            <w:r>
              <w:rPr>
                <w:rFonts w:ascii="Calibri" w:hAnsi="Calibri" w:cs="Calibri"/>
                <w:color w:val="404040"/>
                <w:sz w:val="20"/>
              </w:rPr>
              <w:t>Algebra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384ADA" w14:textId="4B84C257" w:rsidR="001306C0" w:rsidRPr="008850D2" w:rsidRDefault="001306C0" w:rsidP="001306C0">
            <w:pPr>
              <w:spacing w:after="0"/>
              <w:jc w:val="center"/>
              <w:rPr>
                <w:rFonts w:ascii="Calibri" w:hAnsi="Calibri" w:cs="Calibri"/>
                <w:color w:val="404040"/>
                <w:sz w:val="20"/>
              </w:rPr>
            </w:pPr>
            <w:r w:rsidRPr="008850D2">
              <w:rPr>
                <w:rFonts w:ascii="Calibri" w:hAnsi="Calibri" w:cs="Calibri"/>
                <w:color w:val="404040"/>
                <w:sz w:val="20"/>
              </w:rPr>
              <w:t>66% Exempt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9C5E58" w14:textId="3F205D5F" w:rsidR="001306C0" w:rsidRPr="008850D2" w:rsidRDefault="001306C0" w:rsidP="001306C0">
            <w:pPr>
              <w:spacing w:after="0"/>
              <w:jc w:val="center"/>
              <w:rPr>
                <w:rFonts w:ascii="Calibri" w:hAnsi="Calibri" w:cs="Calibri"/>
                <w:color w:val="404040"/>
                <w:sz w:val="20"/>
              </w:rPr>
            </w:pPr>
            <w:r w:rsidRPr="008850D2">
              <w:rPr>
                <w:rFonts w:ascii="Calibri" w:hAnsi="Calibri" w:cs="Calibri"/>
                <w:color w:val="404040"/>
                <w:sz w:val="20"/>
              </w:rPr>
              <w:t>59</w:t>
            </w:r>
          </w:p>
        </w:tc>
      </w:tr>
      <w:tr w:rsidR="001306C0" w:rsidRPr="009E3FD3" w14:paraId="1200865C" w14:textId="77777777" w:rsidTr="001306C0">
        <w:trPr>
          <w:trHeight w:val="2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5DB314" w14:textId="57AAD037" w:rsidR="001306C0" w:rsidRPr="009E3FD3" w:rsidRDefault="001306C0" w:rsidP="001306C0">
            <w:pPr>
              <w:spacing w:after="0"/>
              <w:jc w:val="center"/>
              <w:rPr>
                <w:rFonts w:ascii="Times New Roman" w:hAnsi="Times New Roman"/>
                <w:color w:val="auto"/>
                <w:sz w:val="24"/>
                <w:szCs w:val="24"/>
              </w:rPr>
            </w:pPr>
            <w:r>
              <w:rPr>
                <w:rFonts w:ascii="Times New Roman" w:hAnsi="Times New Roman"/>
                <w:color w:val="auto"/>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ABCAAC" w14:textId="2282D353" w:rsidR="001306C0" w:rsidRPr="009E3FD3" w:rsidRDefault="001306C0" w:rsidP="001306C0">
            <w:pPr>
              <w:spacing w:after="0"/>
              <w:jc w:val="center"/>
              <w:rPr>
                <w:rFonts w:ascii="Calibri" w:hAnsi="Calibri" w:cs="Calibri"/>
                <w:color w:val="404040"/>
                <w:sz w:val="20"/>
              </w:rPr>
            </w:pPr>
            <w:r>
              <w:rPr>
                <w:rFonts w:ascii="Calibri" w:hAnsi="Calibri" w:cs="Calibri"/>
                <w:color w:val="404040"/>
                <w:sz w:val="20"/>
              </w:rPr>
              <w:t>2020-21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8B2278" w14:textId="68DA4909" w:rsidR="001306C0" w:rsidRPr="009E3FD3" w:rsidRDefault="001306C0" w:rsidP="001306C0">
            <w:pPr>
              <w:spacing w:after="0"/>
              <w:jc w:val="center"/>
              <w:rPr>
                <w:rFonts w:ascii="Calibri" w:hAnsi="Calibri" w:cs="Calibri"/>
                <w:color w:val="404040"/>
                <w:sz w:val="20"/>
              </w:rPr>
            </w:pPr>
            <w:r>
              <w:rPr>
                <w:rFonts w:ascii="Calibri" w:hAnsi="Calibri" w:cs="Calibri"/>
                <w:color w:val="404040"/>
                <w:sz w:val="20"/>
              </w:rPr>
              <w:t>Algebra 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B62457" w14:textId="6B7EB86A" w:rsidR="001306C0" w:rsidRPr="009E3FD3" w:rsidRDefault="001306C0" w:rsidP="001306C0">
            <w:pPr>
              <w:spacing w:after="0"/>
              <w:jc w:val="center"/>
              <w:rPr>
                <w:rFonts w:ascii="Calibri" w:hAnsi="Calibri" w:cs="Calibri"/>
                <w:color w:val="404040"/>
                <w:sz w:val="20"/>
              </w:rPr>
            </w:pPr>
            <w:r>
              <w:rPr>
                <w:rFonts w:ascii="Calibri" w:hAnsi="Calibri" w:cs="Calibri"/>
                <w:color w:val="404040"/>
                <w:sz w:val="20"/>
              </w:rPr>
              <w:t>48% Exempt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9D1A23" w14:textId="77414FA0" w:rsidR="001306C0" w:rsidRPr="009E3FD3" w:rsidRDefault="001306C0" w:rsidP="001306C0">
            <w:pPr>
              <w:spacing w:after="0"/>
              <w:jc w:val="center"/>
              <w:rPr>
                <w:rFonts w:ascii="Calibri" w:hAnsi="Calibri" w:cs="Calibri"/>
                <w:color w:val="404040"/>
                <w:sz w:val="20"/>
              </w:rPr>
            </w:pPr>
            <w:r>
              <w:rPr>
                <w:rFonts w:ascii="Calibri" w:hAnsi="Calibri" w:cs="Calibri"/>
                <w:color w:val="404040"/>
                <w:sz w:val="20"/>
              </w:rPr>
              <w:t>60</w:t>
            </w:r>
          </w:p>
        </w:tc>
      </w:tr>
    </w:tbl>
    <w:p w14:paraId="553AD97D" w14:textId="77777777" w:rsidR="001306C0" w:rsidRDefault="001306C0" w:rsidP="001306C0">
      <w:pPr>
        <w:rPr>
          <w:rFonts w:ascii="Calibri" w:hAnsi="Calibri" w:cs="Calibri"/>
          <w:color w:val="404040"/>
          <w:szCs w:val="23"/>
        </w:rPr>
      </w:pPr>
    </w:p>
    <w:p w14:paraId="51C1DFB4" w14:textId="7789C843" w:rsidR="001306C0" w:rsidRPr="009E3FD3" w:rsidRDefault="001306C0" w:rsidP="001306C0">
      <w:pPr>
        <w:rPr>
          <w:rFonts w:ascii="Calibri" w:hAnsi="Calibri" w:cs="Calibri"/>
          <w:color w:val="404040"/>
          <w:szCs w:val="23"/>
        </w:rPr>
      </w:pPr>
      <w:r w:rsidRPr="009E3FD3">
        <w:rPr>
          <w:rFonts w:ascii="Calibri" w:hAnsi="Calibri" w:cs="Calibri"/>
          <w:color w:val="404040"/>
          <w:szCs w:val="23"/>
        </w:rPr>
        <w:t xml:space="preserve">The chart above represents the percentage of Troy Prep’s 8th grade cohort who passed the Algebra 1 regents with a score of 65. From our 2019-2020 8th grade cohort, </w:t>
      </w:r>
      <w:r>
        <w:rPr>
          <w:rFonts w:ascii="Calibri" w:hAnsi="Calibri" w:cs="Calibri"/>
          <w:color w:val="404040"/>
          <w:szCs w:val="23"/>
        </w:rPr>
        <w:t>66</w:t>
      </w:r>
      <w:r w:rsidRPr="009E3FD3">
        <w:rPr>
          <w:rFonts w:ascii="Calibri" w:hAnsi="Calibri" w:cs="Calibri"/>
          <w:color w:val="404040"/>
          <w:szCs w:val="23"/>
        </w:rPr>
        <w:t xml:space="preserve">% </w:t>
      </w:r>
      <w:r>
        <w:rPr>
          <w:rFonts w:ascii="Calibri" w:hAnsi="Calibri" w:cs="Calibri"/>
          <w:color w:val="404040"/>
          <w:szCs w:val="23"/>
        </w:rPr>
        <w:t>of Troy Prep 8</w:t>
      </w:r>
      <w:r w:rsidRPr="008850D2">
        <w:rPr>
          <w:rFonts w:ascii="Calibri" w:hAnsi="Calibri" w:cs="Calibri"/>
          <w:color w:val="404040"/>
          <w:szCs w:val="23"/>
          <w:vertAlign w:val="superscript"/>
        </w:rPr>
        <w:t>th</w:t>
      </w:r>
      <w:r>
        <w:rPr>
          <w:rFonts w:ascii="Calibri" w:hAnsi="Calibri" w:cs="Calibri"/>
          <w:color w:val="404040"/>
          <w:szCs w:val="23"/>
        </w:rPr>
        <w:t xml:space="preserve"> grade students</w:t>
      </w:r>
      <w:r w:rsidRPr="009E3FD3">
        <w:rPr>
          <w:rFonts w:ascii="Calibri" w:hAnsi="Calibri" w:cs="Calibri"/>
          <w:color w:val="404040"/>
          <w:szCs w:val="23"/>
        </w:rPr>
        <w:t xml:space="preserve"> </w:t>
      </w:r>
      <w:r>
        <w:rPr>
          <w:rFonts w:ascii="Calibri" w:hAnsi="Calibri" w:cs="Calibri"/>
          <w:color w:val="404040"/>
          <w:szCs w:val="23"/>
        </w:rPr>
        <w:t>were exempt from the 2019-2020 Algebra I Regents Exam.</w:t>
      </w:r>
      <w:r w:rsidRPr="009E3FD3">
        <w:rPr>
          <w:rFonts w:ascii="Calibri" w:hAnsi="Calibri" w:cs="Calibri"/>
          <w:color w:val="404040"/>
          <w:szCs w:val="23"/>
        </w:rPr>
        <w:t xml:space="preserve">  </w:t>
      </w:r>
      <w:r>
        <w:rPr>
          <w:rFonts w:ascii="Calibri" w:hAnsi="Calibri" w:cs="Calibri"/>
          <w:color w:val="404040"/>
          <w:szCs w:val="23"/>
        </w:rPr>
        <w:t>From our 2020-21 8</w:t>
      </w:r>
      <w:r w:rsidRPr="001306C0">
        <w:rPr>
          <w:rFonts w:ascii="Calibri" w:hAnsi="Calibri" w:cs="Calibri"/>
          <w:color w:val="404040"/>
          <w:szCs w:val="23"/>
          <w:vertAlign w:val="superscript"/>
        </w:rPr>
        <w:t>th</w:t>
      </w:r>
      <w:r>
        <w:rPr>
          <w:rFonts w:ascii="Calibri" w:hAnsi="Calibri" w:cs="Calibri"/>
          <w:color w:val="404040"/>
          <w:szCs w:val="23"/>
        </w:rPr>
        <w:t xml:space="preserve"> grade cohort, 48% of students were exempt from the 2020-21 Algebra I Regents Exam.</w:t>
      </w:r>
    </w:p>
    <w:p w14:paraId="62FD876E" w14:textId="77777777" w:rsidR="00657B15" w:rsidRDefault="00657B15" w:rsidP="00657B15">
      <w:pPr>
        <w:rPr>
          <w:rFonts w:ascii="Calibri" w:hAnsi="Calibri"/>
          <w:b/>
          <w:color w:val="000000"/>
          <w:szCs w:val="23"/>
          <w:u w:val="single"/>
        </w:rPr>
      </w:pPr>
    </w:p>
    <w:p w14:paraId="334168AB" w14:textId="79109870" w:rsidR="00657B15" w:rsidRDefault="00657B15" w:rsidP="00657B15">
      <w:pPr>
        <w:rPr>
          <w:rFonts w:ascii="Calibri" w:hAnsi="Calibri"/>
          <w:b/>
          <w:color w:val="000000"/>
          <w:szCs w:val="23"/>
          <w:u w:val="single"/>
        </w:rPr>
      </w:pPr>
    </w:p>
    <w:p w14:paraId="6F593C90" w14:textId="025B87C7" w:rsidR="00657B15" w:rsidRPr="00977126" w:rsidRDefault="00657B15" w:rsidP="00657B15">
      <w:pPr>
        <w:pStyle w:val="Heading2"/>
      </w:pPr>
      <w:r w:rsidRPr="00977126">
        <w:t xml:space="preserve">Summary of the </w:t>
      </w:r>
      <w:r>
        <w:t xml:space="preserve">Elementary </w:t>
      </w:r>
      <w:r w:rsidR="00EF1F08">
        <w:t xml:space="preserve">AND MIDDLE </w:t>
      </w:r>
      <w:r>
        <w:t>Mathematics</w:t>
      </w:r>
      <w:r w:rsidRPr="00977126">
        <w:t xml:space="preserve"> Goal</w:t>
      </w:r>
    </w:p>
    <w:p w14:paraId="13C33905" w14:textId="77F26FC2" w:rsidR="001306C0" w:rsidRPr="002B4E45" w:rsidRDefault="001306C0" w:rsidP="001306C0">
      <w:r>
        <w:t>Troy Prep did not achieve the goal of having an average of 75% of all tested students score proficient on the most recent interim assessment.  Troy Prep averaged 48% of students scored advanced or proficient on their most recent interim assessment, with 49% of students in their second year scoring advanced or proficient.</w:t>
      </w:r>
    </w:p>
    <w:p w14:paraId="29582D0C" w14:textId="77777777" w:rsidR="00657B15" w:rsidRPr="007610B2" w:rsidRDefault="00657B15" w:rsidP="00657B15">
      <w:pPr>
        <w:pStyle w:val="Heading2"/>
      </w:pPr>
      <w:r w:rsidRPr="007610B2">
        <w:t>Action Plan</w:t>
      </w:r>
    </w:p>
    <w:p w14:paraId="7C36F4FA" w14:textId="7FD7A0E5" w:rsidR="001306C0" w:rsidRDefault="001306C0" w:rsidP="001306C0">
      <w:r>
        <w:t xml:space="preserve">Troy Prep has not met its math accountability goals for school year 2020-21, as well as taken a step back compared to its previous performance. </w:t>
      </w:r>
    </w:p>
    <w:p w14:paraId="636118B3" w14:textId="01F855B1" w:rsidR="001306C0" w:rsidRDefault="001306C0" w:rsidP="001306C0">
      <w:r>
        <w:t xml:space="preserve">Over the course of the past school year, Uncommon Schools has made continuous changes to its program in order to ensure that its curriculum, schedule, and instruction best support student learning in math, while accommodating and shifting to Remote Learning. Changes include: switching from Saxon math to a Math Investigations-based curriculum to better align to NYS Learning Standards rooted in conceptual math;  revising math lessons so that student activities more closely align to the objective; revising scope and sequences to ensure that math meetings in grades K-3 and fact practices in grades 5-7 are focused solely on reviewing difficult-to-master </w:t>
      </w:r>
      <w:r>
        <w:lastRenderedPageBreak/>
        <w:t xml:space="preserve">material throughout the school year; revising quarterly Interim Assessments to ensure that each NYS Learning Standard is taught, assessed and ultimately mastered; and, finally, prioritizing differentiated teacher development. </w:t>
      </w:r>
    </w:p>
    <w:p w14:paraId="1EFD6ADD" w14:textId="77777777" w:rsidR="001306C0" w:rsidRDefault="001306C0" w:rsidP="001306C0"/>
    <w:p w14:paraId="7C3F9401" w14:textId="233B014D" w:rsidR="00657B15" w:rsidRDefault="001306C0" w:rsidP="001306C0">
      <w:r>
        <w:t>As mentioned before, we continue to strive for our students to get individualized feedback in both Math and ELA. We know with real-time feedback and continued independent practice, students will be able to refine their skills in both Math and ELA. During Remote and Hybrid learning, we strive to continue to provide both real-time feedback and consistent feedback on written work submissions via teacher- led sessions on Zoom and comprehensive feedback on graded assignments.  As a network, we plan to continue to implement a small group instruction into the day for four months starting in January and ending in May</w:t>
      </w:r>
      <w:r w:rsidR="00E17F29">
        <w:t>, resuming in the 2021-22 school year</w:t>
      </w:r>
      <w:r>
        <w:t>. There, students and staff emphasize the importance of preparation and practice with alternating blocks of ELA &amp; Math Monday – Thursday, giving real-time feedback to students on their work throughout the block. Our Curriculum Assessment Team collect this data and work with our principals and Assistant Superintendents to implement data-driven worksheets based on where our students needed the most practice.</w:t>
      </w:r>
    </w:p>
    <w:p w14:paraId="29ADB6FF" w14:textId="274CD095" w:rsidR="00E17F29" w:rsidRPr="00657B15" w:rsidRDefault="00E17F29" w:rsidP="001306C0">
      <w:r>
        <w:t>We will continue to make these changes, revising scop and sequences as well as provide real-time feedback in-person as we shift back during the 2021-2022 school year. We feel that our students will benefit from returning to in-person learning and resuming the small group instruction for our students.</w:t>
      </w:r>
    </w:p>
    <w:p w14:paraId="2AEB7492" w14:textId="21A9F998" w:rsidR="00A00530" w:rsidRPr="00525629" w:rsidRDefault="00A00530" w:rsidP="00525629">
      <w:pPr>
        <w:pStyle w:val="Heading2"/>
      </w:pPr>
      <w:r w:rsidRPr="00525629">
        <w:rPr>
          <w:rStyle w:val="Heading1Char"/>
          <w:bCs/>
          <w:caps/>
          <w:color w:val="365F91"/>
          <w:sz w:val="28"/>
          <w:szCs w:val="26"/>
        </w:rPr>
        <w:t xml:space="preserve">High School </w:t>
      </w:r>
      <w:r w:rsidR="00036406" w:rsidRPr="00525629">
        <w:rPr>
          <w:rStyle w:val="Heading1Char"/>
          <w:bCs/>
          <w:caps/>
          <w:color w:val="365F91"/>
          <w:sz w:val="28"/>
          <w:szCs w:val="26"/>
        </w:rPr>
        <w:t>M</w:t>
      </w:r>
      <w:r w:rsidRPr="00525629">
        <w:rPr>
          <w:rStyle w:val="Heading1Char"/>
          <w:bCs/>
          <w:caps/>
          <w:color w:val="365F91"/>
          <w:sz w:val="28"/>
          <w:szCs w:val="26"/>
        </w:rPr>
        <w:t>athematics</w:t>
      </w:r>
    </w:p>
    <w:p w14:paraId="591111EE" w14:textId="7DAB050F" w:rsidR="009502D1" w:rsidRPr="00871E55" w:rsidRDefault="009502D1" w:rsidP="009502D1">
      <w:pPr>
        <w:rPr>
          <w:rFonts w:ascii="Calibri" w:hAnsi="Calibri"/>
          <w:b/>
          <w:szCs w:val="23"/>
        </w:rPr>
      </w:pPr>
    </w:p>
    <w:p w14:paraId="7EE9C155" w14:textId="5898D0E5" w:rsidR="009502D1" w:rsidRPr="00DC7695" w:rsidRDefault="009502D1" w:rsidP="009502D1">
      <w:pPr>
        <w:pStyle w:val="MeasureTitle"/>
      </w:pPr>
      <w:r w:rsidRPr="00DD2508">
        <w:t>Goa</w:t>
      </w:r>
      <w:r w:rsidR="00887F40">
        <w:t>l 4</w:t>
      </w:r>
      <w:r w:rsidRPr="00DD2508">
        <w:t>: Absolute Measure</w:t>
      </w:r>
    </w:p>
    <w:p w14:paraId="68AACCF7" w14:textId="492B91FD" w:rsidR="009502D1" w:rsidRDefault="009502D1" w:rsidP="009502D1">
      <w:pPr>
        <w:pStyle w:val="MeasureText"/>
      </w:pPr>
      <w:r w:rsidRPr="001077F3">
        <w:t xml:space="preserve">Each year, 65 percent of students in the high school Accountability Cohort will </w:t>
      </w:r>
      <w:r>
        <w:t>exceed Common Core expectations</w:t>
      </w:r>
      <w:r w:rsidRPr="001077F3">
        <w:t xml:space="preserve"> (currently scoring </w:t>
      </w:r>
      <w:r>
        <w:t>at or above Performance Level 4 on a Regents mathematics exam</w:t>
      </w:r>
      <w:r w:rsidRPr="001077F3">
        <w:t>) by the completion of their fourth year in the cohort.</w:t>
      </w:r>
    </w:p>
    <w:p w14:paraId="7B861FEE" w14:textId="77777777" w:rsidR="009502D1" w:rsidRPr="00DD2508" w:rsidRDefault="009502D1" w:rsidP="009502D1">
      <w:pPr>
        <w:pStyle w:val="Heading2"/>
      </w:pPr>
      <w:r w:rsidRPr="00DD2508">
        <w:t>Method</w:t>
      </w:r>
    </w:p>
    <w:p w14:paraId="6383E57F" w14:textId="68CB8777" w:rsidR="009502D1" w:rsidRDefault="009502D1" w:rsidP="009502D1">
      <w:r w:rsidRPr="00DD2508">
        <w:t xml:space="preserve">The school administered </w:t>
      </w:r>
      <w:r>
        <w:t xml:space="preserve">the Regents mathematics exam(s) </w:t>
      </w:r>
      <w:r w:rsidRPr="00DD2508">
        <w:t>that s</w:t>
      </w:r>
      <w:r w:rsidR="0077346A">
        <w:t>tudents must pass to graduate</w:t>
      </w:r>
      <w:r>
        <w:t xml:space="preserve">.  </w:t>
      </w:r>
      <w:r w:rsidRPr="000929FD">
        <w:t xml:space="preserve">The State Education Department </w:t>
      </w:r>
      <w:r>
        <w:t xml:space="preserve">currently </w:t>
      </w:r>
      <w:r w:rsidRPr="000929FD">
        <w:t xml:space="preserve">defines </w:t>
      </w:r>
      <w:r>
        <w:t>the college and career readiness standard as scoring at or above Performance Level 4 (meeting Common Core expectations) on any Regents Common Core mathematics exams.</w:t>
      </w:r>
      <w:r w:rsidRPr="000929FD">
        <w:t xml:space="preserve">  </w:t>
      </w:r>
      <w:r w:rsidRPr="00DD2508">
        <w:t xml:space="preserve">This measure examines the percent of the Accountability Cohort that </w:t>
      </w:r>
      <w:r>
        <w:t>achieved at least Performance Level 4 by the</w:t>
      </w:r>
      <w:r w:rsidRPr="00DD2508">
        <w:t xml:space="preserve"> completion of their fourth year in the cohort.  </w:t>
      </w:r>
    </w:p>
    <w:p w14:paraId="4C083D99" w14:textId="77777777" w:rsidR="008B5C21" w:rsidRDefault="008B5C21" w:rsidP="008B5C21">
      <w:pPr>
        <w:rPr>
          <w:b/>
          <w:bCs/>
        </w:rPr>
      </w:pPr>
      <w:r w:rsidRPr="57F71D55">
        <w:rPr>
          <w:b/>
          <w:bCs/>
        </w:rPr>
        <w:t>Due to the state’s cancellat</w:t>
      </w:r>
      <w:r>
        <w:rPr>
          <w:b/>
          <w:bCs/>
        </w:rPr>
        <w:t>ion of multiple</w:t>
      </w:r>
      <w:r w:rsidRPr="57F71D55">
        <w:rPr>
          <w:b/>
          <w:bCs/>
        </w:rPr>
        <w:t xml:space="preserve"> administrations of the Regents</w:t>
      </w:r>
      <w:r>
        <w:rPr>
          <w:b/>
          <w:bCs/>
        </w:rPr>
        <w:t xml:space="preserve"> exams in 2019-20 and 2020-21, some students in the 2017</w:t>
      </w:r>
      <w:r w:rsidRPr="57F71D55">
        <w:rPr>
          <w:b/>
          <w:bCs/>
        </w:rPr>
        <w:t xml:space="preserve"> Cohort who had not previously sat for </w:t>
      </w:r>
      <w:r>
        <w:rPr>
          <w:b/>
          <w:bCs/>
        </w:rPr>
        <w:t>any mathematics</w:t>
      </w:r>
      <w:r w:rsidRPr="57F71D55">
        <w:rPr>
          <w:b/>
          <w:bCs/>
        </w:rPr>
        <w:t xml:space="preserve"> exa</w:t>
      </w:r>
      <w:r>
        <w:rPr>
          <w:b/>
          <w:bCs/>
        </w:rPr>
        <w:t xml:space="preserve">m but were scheduled to sit for one during a cancellation </w:t>
      </w:r>
      <w:r w:rsidRPr="57F71D55">
        <w:rPr>
          <w:b/>
          <w:bCs/>
        </w:rPr>
        <w:t>would be exempted from the graduation requirement.  As such, the school should report both the number of students who were exempted from the exam</w:t>
      </w:r>
      <w:r>
        <w:rPr>
          <w:b/>
          <w:bCs/>
        </w:rPr>
        <w:t xml:space="preserve"> requirement</w:t>
      </w:r>
      <w:r w:rsidRPr="57F71D55">
        <w:rPr>
          <w:b/>
          <w:bCs/>
        </w:rPr>
        <w:t xml:space="preserve"> as well as the percentage of students achieving at least Level 4 among the students who sat for </w:t>
      </w:r>
      <w:r>
        <w:rPr>
          <w:b/>
          <w:bCs/>
        </w:rPr>
        <w:t>any</w:t>
      </w:r>
      <w:r w:rsidRPr="57F71D55">
        <w:rPr>
          <w:b/>
          <w:bCs/>
        </w:rPr>
        <w:t xml:space="preserve"> exam.</w:t>
      </w:r>
    </w:p>
    <w:p w14:paraId="6318CC20" w14:textId="77777777" w:rsidR="0077346A" w:rsidRDefault="0077346A" w:rsidP="009502D1"/>
    <w:p w14:paraId="560812AD" w14:textId="77777777" w:rsidR="009502D1" w:rsidRPr="00DD2508" w:rsidRDefault="009502D1" w:rsidP="009502D1">
      <w:pPr>
        <w:pStyle w:val="Heading2"/>
      </w:pPr>
      <w:r w:rsidRPr="00347C7D">
        <w:lastRenderedPageBreak/>
        <w:t>Results and Evaluation</w:t>
      </w:r>
    </w:p>
    <w:p w14:paraId="6F7F994F" w14:textId="1F9641F0" w:rsidR="00E17F29" w:rsidRPr="00E17F29" w:rsidRDefault="00E17F29" w:rsidP="00E17F29">
      <w:pPr>
        <w:rPr>
          <w:rFonts w:ascii="Calibri" w:hAnsi="Calibri"/>
          <w:szCs w:val="23"/>
        </w:rPr>
      </w:pPr>
      <w:r w:rsidRPr="00E17F29">
        <w:rPr>
          <w:rFonts w:ascii="Calibri" w:hAnsi="Calibri"/>
          <w:szCs w:val="23"/>
        </w:rPr>
        <w:t>Of the 201</w:t>
      </w:r>
      <w:r>
        <w:rPr>
          <w:rFonts w:ascii="Calibri" w:hAnsi="Calibri"/>
          <w:szCs w:val="23"/>
        </w:rPr>
        <w:t>7</w:t>
      </w:r>
      <w:r w:rsidRPr="00E17F29">
        <w:rPr>
          <w:rFonts w:ascii="Calibri" w:hAnsi="Calibri"/>
          <w:szCs w:val="23"/>
        </w:rPr>
        <w:t xml:space="preserve"> cohort, </w:t>
      </w:r>
      <w:r w:rsidR="00A22746">
        <w:rPr>
          <w:rFonts w:ascii="Calibri" w:hAnsi="Calibri"/>
          <w:szCs w:val="23"/>
        </w:rPr>
        <w:t>87</w:t>
      </w:r>
      <w:r w:rsidRPr="00E17F29">
        <w:rPr>
          <w:rFonts w:ascii="Calibri" w:hAnsi="Calibri"/>
          <w:szCs w:val="23"/>
        </w:rPr>
        <w:t xml:space="preserve">% of students have passed at Mathematics Regents with Performance Level of 4 </w:t>
      </w:r>
      <w:r w:rsidR="00A22746">
        <w:rPr>
          <w:rFonts w:ascii="Calibri" w:hAnsi="Calibri"/>
          <w:szCs w:val="23"/>
        </w:rPr>
        <w:t xml:space="preserve">and 10 students </w:t>
      </w:r>
      <w:r w:rsidRPr="00E17F29">
        <w:rPr>
          <w:rFonts w:ascii="Calibri" w:hAnsi="Calibri"/>
          <w:szCs w:val="23"/>
        </w:rPr>
        <w:t xml:space="preserve">have been exempt from the exam by their fourth year. </w:t>
      </w:r>
      <w:r>
        <w:rPr>
          <w:rFonts w:ascii="Calibri" w:hAnsi="Calibri"/>
          <w:szCs w:val="23"/>
        </w:rPr>
        <w:t>We did not have any students sit for the 2021 Regents Exam.</w:t>
      </w:r>
      <w:r w:rsidR="008315B6">
        <w:rPr>
          <w:rFonts w:ascii="Calibri" w:hAnsi="Calibri"/>
          <w:szCs w:val="23"/>
        </w:rPr>
        <w:t xml:space="preserve"> Of the 2018 cohort, 13 students were exempt from the Mathematics regents, and 82% of students achieving a level 4. Of the 2019 cohort, 23 students were exempt from the Mathematics regents and 69% receiving a level 4. Of the 2020 cohort, 43 students were exempt from the Mathematics regents and this cohort never sat for an examination.</w:t>
      </w:r>
    </w:p>
    <w:p w14:paraId="299A5D9A" w14:textId="779365B0" w:rsidR="009502D1" w:rsidRDefault="009502D1" w:rsidP="00E17F29">
      <w:pPr>
        <w:rPr>
          <w:rFonts w:ascii="Calibri" w:hAnsi="Calibri"/>
          <w:szCs w:val="23"/>
        </w:rPr>
      </w:pPr>
    </w:p>
    <w:p w14:paraId="2205A9AD" w14:textId="5ED0AABD" w:rsidR="009502D1" w:rsidRDefault="009502D1" w:rsidP="009502D1">
      <w:pPr>
        <w:pStyle w:val="TableHeader"/>
      </w:pPr>
      <w:r>
        <w:t xml:space="preserve">Percent Scoring at Least Level 4 on </w:t>
      </w:r>
      <w:r w:rsidR="00FF78FC">
        <w:t xml:space="preserve">a </w:t>
      </w:r>
      <w:r>
        <w:t xml:space="preserve">Regents </w:t>
      </w:r>
      <w:r w:rsidR="00FF78FC">
        <w:t>Mathematics</w:t>
      </w:r>
      <w:r>
        <w:t xml:space="preserve"> Common Core Exam</w:t>
      </w:r>
    </w:p>
    <w:p w14:paraId="4E4B0553" w14:textId="7A9564B9" w:rsidR="009502D1" w:rsidRPr="00DD2508" w:rsidRDefault="009502D1" w:rsidP="009502D1">
      <w:pPr>
        <w:pStyle w:val="TableHeader"/>
      </w:pPr>
      <w:r w:rsidRPr="00DD2508">
        <w:t>by Fourth Year Accountability Cohort</w:t>
      </w:r>
    </w:p>
    <w:tbl>
      <w:tblPr>
        <w:tblW w:w="7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950"/>
        <w:gridCol w:w="910"/>
        <w:gridCol w:w="1160"/>
        <w:gridCol w:w="1260"/>
        <w:gridCol w:w="2023"/>
      </w:tblGrid>
      <w:tr w:rsidR="00A305B0" w:rsidRPr="00DD2508" w14:paraId="0C9F132A" w14:textId="77777777" w:rsidTr="0098460C">
        <w:trPr>
          <w:trHeight w:val="758"/>
          <w:jc w:val="center"/>
        </w:trPr>
        <w:tc>
          <w:tcPr>
            <w:tcW w:w="845" w:type="dxa"/>
            <w:shd w:val="clear" w:color="auto" w:fill="auto"/>
            <w:vAlign w:val="center"/>
          </w:tcPr>
          <w:p w14:paraId="51095196" w14:textId="77777777" w:rsidR="00A305B0" w:rsidRPr="00DE3E14" w:rsidRDefault="00A305B0" w:rsidP="0098460C">
            <w:pPr>
              <w:pStyle w:val="TableText"/>
            </w:pPr>
            <w:r>
              <w:t xml:space="preserve">Cohort </w:t>
            </w:r>
          </w:p>
        </w:tc>
        <w:tc>
          <w:tcPr>
            <w:tcW w:w="950" w:type="dxa"/>
          </w:tcPr>
          <w:p w14:paraId="6D8BB62A" w14:textId="77777777" w:rsidR="00A305B0" w:rsidRDefault="00A305B0" w:rsidP="0098460C">
            <w:pPr>
              <w:pStyle w:val="TableText"/>
            </w:pPr>
          </w:p>
          <w:p w14:paraId="23D85ED3" w14:textId="77777777" w:rsidR="00A305B0" w:rsidRDefault="00A305B0" w:rsidP="0098460C">
            <w:pPr>
              <w:pStyle w:val="TableText"/>
            </w:pPr>
            <w:r>
              <w:t xml:space="preserve">Fourth </w:t>
            </w:r>
          </w:p>
          <w:p w14:paraId="3EBA77FB" w14:textId="77777777" w:rsidR="00A305B0" w:rsidRPr="00DE3E14" w:rsidRDefault="00A305B0" w:rsidP="0098460C">
            <w:pPr>
              <w:pStyle w:val="TableText"/>
            </w:pPr>
            <w:r>
              <w:t>Year</w:t>
            </w:r>
          </w:p>
        </w:tc>
        <w:tc>
          <w:tcPr>
            <w:tcW w:w="910" w:type="dxa"/>
            <w:vAlign w:val="center"/>
          </w:tcPr>
          <w:p w14:paraId="12999BEC" w14:textId="77777777" w:rsidR="00A305B0" w:rsidRPr="00DE3E14" w:rsidRDefault="00A305B0" w:rsidP="0098460C">
            <w:pPr>
              <w:pStyle w:val="TableText"/>
            </w:pPr>
            <w:r>
              <w:t>Number in Cohort</w:t>
            </w:r>
            <w:r>
              <w:br/>
              <w:t>(a)</w:t>
            </w:r>
          </w:p>
        </w:tc>
        <w:tc>
          <w:tcPr>
            <w:tcW w:w="1160" w:type="dxa"/>
            <w:vAlign w:val="center"/>
          </w:tcPr>
          <w:p w14:paraId="29FF6801" w14:textId="77777777" w:rsidR="00A305B0" w:rsidRDefault="00A305B0" w:rsidP="0098460C">
            <w:pPr>
              <w:pStyle w:val="TableText"/>
            </w:pPr>
            <w:r>
              <w:t>Number exempted with No Valid Score (b)</w:t>
            </w:r>
          </w:p>
        </w:tc>
        <w:tc>
          <w:tcPr>
            <w:tcW w:w="1260" w:type="dxa"/>
            <w:vAlign w:val="center"/>
          </w:tcPr>
          <w:p w14:paraId="4645BBD7" w14:textId="77777777" w:rsidR="00A305B0" w:rsidRDefault="00A305B0" w:rsidP="0098460C">
            <w:pPr>
              <w:pStyle w:val="TableText"/>
            </w:pPr>
            <w:r>
              <w:t>Number Scoring at Least Level 4</w:t>
            </w:r>
          </w:p>
          <w:p w14:paraId="7C43F9E6" w14:textId="77777777" w:rsidR="00A305B0" w:rsidRDefault="00A305B0" w:rsidP="0098460C">
            <w:pPr>
              <w:pStyle w:val="TableText"/>
            </w:pPr>
            <w:r>
              <w:t>(c)</w:t>
            </w:r>
          </w:p>
        </w:tc>
        <w:tc>
          <w:tcPr>
            <w:tcW w:w="2023" w:type="dxa"/>
            <w:tcBorders>
              <w:top w:val="single" w:sz="12" w:space="0" w:color="auto"/>
              <w:left w:val="single" w:sz="12" w:space="0" w:color="auto"/>
              <w:right w:val="single" w:sz="12" w:space="0" w:color="auto"/>
            </w:tcBorders>
            <w:vAlign w:val="center"/>
          </w:tcPr>
          <w:p w14:paraId="56D6E1BE" w14:textId="1D7E6345" w:rsidR="00A305B0" w:rsidRPr="00DE3E14" w:rsidRDefault="00A305B0" w:rsidP="0098460C">
            <w:pPr>
              <w:pStyle w:val="TableText"/>
            </w:pPr>
            <w:r>
              <w:t>Percent Scoring at Least L</w:t>
            </w:r>
            <w:r w:rsidR="00AF71AA">
              <w:t xml:space="preserve">evel </w:t>
            </w:r>
            <w:r>
              <w:t>4 Among Students with Valid Score</w:t>
            </w:r>
            <w:r>
              <w:br/>
              <w:t>(c)/(a-b)</w:t>
            </w:r>
          </w:p>
        </w:tc>
      </w:tr>
      <w:tr w:rsidR="00A305B0" w:rsidRPr="00DD2508" w14:paraId="33136627" w14:textId="77777777" w:rsidTr="0098460C">
        <w:trPr>
          <w:trHeight w:val="228"/>
          <w:jc w:val="center"/>
        </w:trPr>
        <w:tc>
          <w:tcPr>
            <w:tcW w:w="845" w:type="dxa"/>
          </w:tcPr>
          <w:p w14:paraId="4DAEDD44" w14:textId="336E341D" w:rsidR="00A305B0" w:rsidRPr="00DE3E14" w:rsidRDefault="008B5C21" w:rsidP="0098460C">
            <w:pPr>
              <w:pStyle w:val="TableText"/>
            </w:pPr>
            <w:r>
              <w:t>2015</w:t>
            </w:r>
          </w:p>
        </w:tc>
        <w:tc>
          <w:tcPr>
            <w:tcW w:w="950" w:type="dxa"/>
          </w:tcPr>
          <w:p w14:paraId="486B5D95" w14:textId="41E770CD" w:rsidR="00A305B0" w:rsidRPr="00DE3E14" w:rsidRDefault="008B5C21" w:rsidP="0098460C">
            <w:pPr>
              <w:pStyle w:val="TableText"/>
            </w:pPr>
            <w:r>
              <w:t>2018-19</w:t>
            </w:r>
          </w:p>
        </w:tc>
        <w:tc>
          <w:tcPr>
            <w:tcW w:w="910" w:type="dxa"/>
          </w:tcPr>
          <w:p w14:paraId="59F1FBD6" w14:textId="5066E5FA" w:rsidR="00A305B0" w:rsidRPr="00DE3E14" w:rsidRDefault="00E17F29" w:rsidP="0098460C">
            <w:pPr>
              <w:pStyle w:val="TableText"/>
            </w:pPr>
            <w:r>
              <w:t>N/A</w:t>
            </w:r>
          </w:p>
        </w:tc>
        <w:tc>
          <w:tcPr>
            <w:tcW w:w="1160" w:type="dxa"/>
          </w:tcPr>
          <w:p w14:paraId="3357315C" w14:textId="43F3FC7E" w:rsidR="00A305B0" w:rsidRDefault="00E17F29" w:rsidP="0098460C">
            <w:pPr>
              <w:pStyle w:val="TableText"/>
            </w:pPr>
            <w:r>
              <w:t>N/A</w:t>
            </w:r>
          </w:p>
        </w:tc>
        <w:tc>
          <w:tcPr>
            <w:tcW w:w="1260" w:type="dxa"/>
          </w:tcPr>
          <w:p w14:paraId="330D707D" w14:textId="1805F604" w:rsidR="00A305B0" w:rsidRDefault="00E17F29" w:rsidP="0098460C">
            <w:pPr>
              <w:pStyle w:val="TableText"/>
            </w:pPr>
            <w:r>
              <w:t>N/A</w:t>
            </w:r>
          </w:p>
        </w:tc>
        <w:tc>
          <w:tcPr>
            <w:tcW w:w="2023" w:type="dxa"/>
            <w:tcBorders>
              <w:top w:val="single" w:sz="4" w:space="0" w:color="auto"/>
              <w:left w:val="single" w:sz="12" w:space="0" w:color="auto"/>
              <w:bottom w:val="single" w:sz="4" w:space="0" w:color="auto"/>
              <w:right w:val="single" w:sz="12" w:space="0" w:color="auto"/>
            </w:tcBorders>
            <w:shd w:val="clear" w:color="auto" w:fill="auto"/>
          </w:tcPr>
          <w:p w14:paraId="25A12BA0" w14:textId="235A4480" w:rsidR="00A305B0" w:rsidRPr="00DE3E14" w:rsidRDefault="00E17F29" w:rsidP="0098460C">
            <w:pPr>
              <w:pStyle w:val="TableText"/>
              <w:rPr>
                <w:b/>
              </w:rPr>
            </w:pPr>
            <w:r>
              <w:rPr>
                <w:b/>
              </w:rPr>
              <w:t>N/A</w:t>
            </w:r>
          </w:p>
        </w:tc>
      </w:tr>
      <w:tr w:rsidR="00A305B0" w:rsidRPr="00DD2508" w14:paraId="720A52F7" w14:textId="77777777" w:rsidTr="0098460C">
        <w:trPr>
          <w:trHeight w:val="228"/>
          <w:jc w:val="center"/>
        </w:trPr>
        <w:tc>
          <w:tcPr>
            <w:tcW w:w="845" w:type="dxa"/>
          </w:tcPr>
          <w:p w14:paraId="0A42B585" w14:textId="4BFEE994" w:rsidR="00A305B0" w:rsidRPr="00DE3E14" w:rsidRDefault="008B5C21" w:rsidP="0098460C">
            <w:pPr>
              <w:pStyle w:val="TableText"/>
            </w:pPr>
            <w:r>
              <w:t>2016</w:t>
            </w:r>
          </w:p>
        </w:tc>
        <w:tc>
          <w:tcPr>
            <w:tcW w:w="950" w:type="dxa"/>
          </w:tcPr>
          <w:p w14:paraId="3C3A7081" w14:textId="5B381D16" w:rsidR="00A305B0" w:rsidRPr="00DE3E14" w:rsidRDefault="008B5C21" w:rsidP="0098460C">
            <w:pPr>
              <w:pStyle w:val="TableText"/>
            </w:pPr>
            <w:r>
              <w:t>2019-20</w:t>
            </w:r>
          </w:p>
        </w:tc>
        <w:tc>
          <w:tcPr>
            <w:tcW w:w="910" w:type="dxa"/>
          </w:tcPr>
          <w:p w14:paraId="28FADFC1" w14:textId="2BF234AC" w:rsidR="00A305B0" w:rsidRPr="00DE3E14" w:rsidRDefault="00E17F29" w:rsidP="0098460C">
            <w:pPr>
              <w:pStyle w:val="TableText"/>
            </w:pPr>
            <w:r>
              <w:t>N/A</w:t>
            </w:r>
          </w:p>
        </w:tc>
        <w:tc>
          <w:tcPr>
            <w:tcW w:w="1160" w:type="dxa"/>
          </w:tcPr>
          <w:p w14:paraId="3B66AF41" w14:textId="6E798188" w:rsidR="00A305B0" w:rsidRDefault="00E17F29" w:rsidP="0098460C">
            <w:pPr>
              <w:pStyle w:val="TableText"/>
            </w:pPr>
            <w:r>
              <w:t>N/A</w:t>
            </w:r>
          </w:p>
        </w:tc>
        <w:tc>
          <w:tcPr>
            <w:tcW w:w="1260" w:type="dxa"/>
          </w:tcPr>
          <w:p w14:paraId="6D5E16AB" w14:textId="36AD82DA" w:rsidR="00A305B0" w:rsidRDefault="00E17F29" w:rsidP="0098460C">
            <w:pPr>
              <w:pStyle w:val="TableText"/>
            </w:pPr>
            <w:r>
              <w:t>N/A</w:t>
            </w:r>
          </w:p>
        </w:tc>
        <w:tc>
          <w:tcPr>
            <w:tcW w:w="2023" w:type="dxa"/>
            <w:tcBorders>
              <w:top w:val="single" w:sz="4" w:space="0" w:color="auto"/>
              <w:left w:val="single" w:sz="12" w:space="0" w:color="auto"/>
              <w:bottom w:val="single" w:sz="4" w:space="0" w:color="auto"/>
              <w:right w:val="single" w:sz="12" w:space="0" w:color="auto"/>
            </w:tcBorders>
            <w:shd w:val="clear" w:color="auto" w:fill="auto"/>
          </w:tcPr>
          <w:p w14:paraId="4D9897F4" w14:textId="0167165A" w:rsidR="00A305B0" w:rsidRPr="00DE3E14" w:rsidRDefault="00E17F29" w:rsidP="0098460C">
            <w:pPr>
              <w:pStyle w:val="TableText"/>
            </w:pPr>
            <w:r>
              <w:t>N/A</w:t>
            </w:r>
          </w:p>
        </w:tc>
      </w:tr>
      <w:tr w:rsidR="00A305B0" w:rsidRPr="00DD2508" w14:paraId="16D15B5C" w14:textId="77777777" w:rsidTr="0098460C">
        <w:trPr>
          <w:trHeight w:val="260"/>
          <w:jc w:val="center"/>
        </w:trPr>
        <w:tc>
          <w:tcPr>
            <w:tcW w:w="845" w:type="dxa"/>
          </w:tcPr>
          <w:p w14:paraId="111DBA14" w14:textId="6DDB5833" w:rsidR="00A305B0" w:rsidRPr="00DE3E14" w:rsidRDefault="008B5C21" w:rsidP="0098460C">
            <w:pPr>
              <w:pStyle w:val="TableText"/>
            </w:pPr>
            <w:r>
              <w:t>2017</w:t>
            </w:r>
          </w:p>
        </w:tc>
        <w:tc>
          <w:tcPr>
            <w:tcW w:w="950" w:type="dxa"/>
          </w:tcPr>
          <w:p w14:paraId="3C785DEB" w14:textId="2241B57A" w:rsidR="00A305B0" w:rsidRPr="00DE3E14" w:rsidRDefault="008B5C21" w:rsidP="0098460C">
            <w:pPr>
              <w:pStyle w:val="TableText"/>
              <w:rPr>
                <w:rStyle w:val="FootnoteReference"/>
              </w:rPr>
            </w:pPr>
            <w:r>
              <w:t>2020-21</w:t>
            </w:r>
          </w:p>
        </w:tc>
        <w:tc>
          <w:tcPr>
            <w:tcW w:w="910" w:type="dxa"/>
            <w:tcBorders>
              <w:bottom w:val="single" w:sz="4" w:space="0" w:color="auto"/>
            </w:tcBorders>
          </w:tcPr>
          <w:p w14:paraId="70B7D33D" w14:textId="72EB61ED" w:rsidR="00A305B0" w:rsidRPr="00DE3E14" w:rsidRDefault="00E17F29" w:rsidP="0098460C">
            <w:pPr>
              <w:pStyle w:val="TableText"/>
            </w:pPr>
            <w:r>
              <w:t>25</w:t>
            </w:r>
          </w:p>
        </w:tc>
        <w:tc>
          <w:tcPr>
            <w:tcW w:w="1160" w:type="dxa"/>
            <w:tcBorders>
              <w:bottom w:val="single" w:sz="4" w:space="0" w:color="auto"/>
            </w:tcBorders>
          </w:tcPr>
          <w:p w14:paraId="572FC751" w14:textId="4B0610D0" w:rsidR="00A305B0" w:rsidRDefault="00A22746" w:rsidP="0098460C">
            <w:pPr>
              <w:pStyle w:val="TableText"/>
            </w:pPr>
            <w:r>
              <w:t>10</w:t>
            </w:r>
          </w:p>
        </w:tc>
        <w:tc>
          <w:tcPr>
            <w:tcW w:w="1260" w:type="dxa"/>
            <w:tcBorders>
              <w:bottom w:val="single" w:sz="4" w:space="0" w:color="auto"/>
            </w:tcBorders>
          </w:tcPr>
          <w:p w14:paraId="5EFE4784" w14:textId="3E67C5E9" w:rsidR="00A305B0" w:rsidRDefault="00A22746" w:rsidP="0098460C">
            <w:pPr>
              <w:pStyle w:val="TableText"/>
            </w:pPr>
            <w:r>
              <w:t>13</w:t>
            </w:r>
          </w:p>
        </w:tc>
        <w:tc>
          <w:tcPr>
            <w:tcW w:w="2023" w:type="dxa"/>
            <w:tcBorders>
              <w:top w:val="single" w:sz="4" w:space="0" w:color="auto"/>
              <w:left w:val="single" w:sz="12" w:space="0" w:color="auto"/>
              <w:bottom w:val="single" w:sz="12" w:space="0" w:color="auto"/>
              <w:right w:val="single" w:sz="12" w:space="0" w:color="auto"/>
            </w:tcBorders>
            <w:shd w:val="clear" w:color="auto" w:fill="auto"/>
          </w:tcPr>
          <w:p w14:paraId="5C0A6BAB" w14:textId="488E45D7" w:rsidR="00A305B0" w:rsidRPr="00DE3E14" w:rsidRDefault="00A22746" w:rsidP="0098460C">
            <w:pPr>
              <w:pStyle w:val="TableText"/>
            </w:pPr>
            <w:r>
              <w:t>87%</w:t>
            </w:r>
          </w:p>
        </w:tc>
      </w:tr>
    </w:tbl>
    <w:p w14:paraId="31D3CEEA" w14:textId="77777777" w:rsidR="009502D1" w:rsidRDefault="009502D1" w:rsidP="009502D1">
      <w:pPr>
        <w:jc w:val="center"/>
        <w:rPr>
          <w:rFonts w:ascii="Calibri" w:hAnsi="Calibri"/>
          <w:b/>
          <w:szCs w:val="23"/>
        </w:rPr>
      </w:pPr>
    </w:p>
    <w:p w14:paraId="25B5B708" w14:textId="77777777" w:rsidR="009502D1" w:rsidRPr="00DD2508" w:rsidRDefault="009502D1" w:rsidP="009502D1">
      <w:pPr>
        <w:pStyle w:val="TableHeader"/>
      </w:pPr>
      <w:r>
        <w:t xml:space="preserve">Percent Achieving at Least Level 4 </w:t>
      </w:r>
      <w:r w:rsidRPr="00DD2508">
        <w:t>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92"/>
        <w:gridCol w:w="135"/>
        <w:gridCol w:w="855"/>
        <w:gridCol w:w="990"/>
        <w:gridCol w:w="990"/>
        <w:gridCol w:w="1074"/>
        <w:gridCol w:w="1012"/>
      </w:tblGrid>
      <w:tr w:rsidR="00A305B0" w:rsidRPr="00DD2508" w14:paraId="75A6E038" w14:textId="77777777" w:rsidTr="0098460C">
        <w:trPr>
          <w:jc w:val="center"/>
        </w:trPr>
        <w:tc>
          <w:tcPr>
            <w:tcW w:w="1184" w:type="dxa"/>
            <w:vMerge w:val="restart"/>
            <w:vAlign w:val="center"/>
          </w:tcPr>
          <w:p w14:paraId="05E5AE68" w14:textId="77777777" w:rsidR="00A305B0" w:rsidRPr="00DE3E14" w:rsidRDefault="00A305B0" w:rsidP="0098460C">
            <w:pPr>
              <w:pStyle w:val="TableText"/>
            </w:pPr>
            <w:r w:rsidRPr="00DE3E14">
              <w:t>Cohort Designation</w:t>
            </w:r>
          </w:p>
        </w:tc>
        <w:tc>
          <w:tcPr>
            <w:tcW w:w="1982" w:type="dxa"/>
            <w:gridSpan w:val="3"/>
          </w:tcPr>
          <w:p w14:paraId="5760883F" w14:textId="6E0A0545" w:rsidR="00A305B0" w:rsidRPr="00DE3E14" w:rsidRDefault="00A305B0" w:rsidP="0098460C">
            <w:pPr>
              <w:pStyle w:val="TableText"/>
            </w:pPr>
            <w:r>
              <w:t>2</w:t>
            </w:r>
            <w:r w:rsidR="008B5C21">
              <w:t>018-19</w:t>
            </w:r>
          </w:p>
        </w:tc>
        <w:tc>
          <w:tcPr>
            <w:tcW w:w="1980" w:type="dxa"/>
            <w:gridSpan w:val="2"/>
          </w:tcPr>
          <w:p w14:paraId="2D57C921" w14:textId="093BF22C" w:rsidR="00A305B0" w:rsidRPr="00DE3E14" w:rsidRDefault="008B5C21" w:rsidP="0098460C">
            <w:pPr>
              <w:pStyle w:val="TableText"/>
            </w:pPr>
            <w:r>
              <w:t>2019-20</w:t>
            </w:r>
          </w:p>
        </w:tc>
        <w:tc>
          <w:tcPr>
            <w:tcW w:w="2086" w:type="dxa"/>
            <w:gridSpan w:val="2"/>
          </w:tcPr>
          <w:p w14:paraId="1BCBD494" w14:textId="6DF63AFE" w:rsidR="00A305B0" w:rsidRPr="00DE3E14" w:rsidRDefault="008B5C21" w:rsidP="0098460C">
            <w:pPr>
              <w:pStyle w:val="TableText"/>
            </w:pPr>
            <w:r>
              <w:t>2020-21</w:t>
            </w:r>
          </w:p>
        </w:tc>
      </w:tr>
      <w:tr w:rsidR="00A305B0" w:rsidRPr="00DD2508" w14:paraId="4B36984A" w14:textId="77777777" w:rsidTr="0098460C">
        <w:trPr>
          <w:jc w:val="center"/>
        </w:trPr>
        <w:tc>
          <w:tcPr>
            <w:tcW w:w="1184" w:type="dxa"/>
            <w:vMerge/>
          </w:tcPr>
          <w:p w14:paraId="1DF4B5DD" w14:textId="77777777" w:rsidR="00A305B0" w:rsidRPr="00DE3E14" w:rsidRDefault="00A305B0" w:rsidP="0098460C">
            <w:pPr>
              <w:pStyle w:val="TableText"/>
            </w:pPr>
          </w:p>
        </w:tc>
        <w:tc>
          <w:tcPr>
            <w:tcW w:w="1127" w:type="dxa"/>
            <w:gridSpan w:val="2"/>
            <w:tcBorders>
              <w:bottom w:val="single" w:sz="12" w:space="0" w:color="auto"/>
            </w:tcBorders>
          </w:tcPr>
          <w:p w14:paraId="4FF199F4" w14:textId="77777777" w:rsidR="00A305B0" w:rsidRPr="00DE3E14" w:rsidRDefault="00A305B0" w:rsidP="0098460C">
            <w:pPr>
              <w:pStyle w:val="TableText"/>
            </w:pPr>
            <w:r w:rsidRPr="00DE3E14">
              <w:t>Number in Cohort</w:t>
            </w:r>
          </w:p>
        </w:tc>
        <w:tc>
          <w:tcPr>
            <w:tcW w:w="855" w:type="dxa"/>
            <w:tcBorders>
              <w:bottom w:val="single" w:sz="12" w:space="0" w:color="auto"/>
            </w:tcBorders>
          </w:tcPr>
          <w:p w14:paraId="02AC081A" w14:textId="77777777" w:rsidR="00A305B0" w:rsidRPr="00DE3E14" w:rsidRDefault="00A305B0" w:rsidP="0098460C">
            <w:pPr>
              <w:pStyle w:val="TableText"/>
            </w:pPr>
            <w:r w:rsidRPr="00DE3E14">
              <w:t xml:space="preserve">Percent </w:t>
            </w:r>
            <w:r>
              <w:t>Level 4</w:t>
            </w:r>
          </w:p>
        </w:tc>
        <w:tc>
          <w:tcPr>
            <w:tcW w:w="990" w:type="dxa"/>
          </w:tcPr>
          <w:p w14:paraId="1CBF747C" w14:textId="77777777" w:rsidR="00A305B0" w:rsidRPr="00DE3E14" w:rsidRDefault="00A305B0" w:rsidP="0098460C">
            <w:pPr>
              <w:pStyle w:val="TableText"/>
            </w:pPr>
            <w:r w:rsidRPr="00DE3E14">
              <w:t>Number in Cohort</w:t>
            </w:r>
          </w:p>
        </w:tc>
        <w:tc>
          <w:tcPr>
            <w:tcW w:w="990" w:type="dxa"/>
            <w:tcBorders>
              <w:bottom w:val="single" w:sz="8" w:space="0" w:color="auto"/>
            </w:tcBorders>
          </w:tcPr>
          <w:p w14:paraId="77E484E0" w14:textId="77777777" w:rsidR="00A305B0" w:rsidRPr="00DE3E14" w:rsidRDefault="00A305B0" w:rsidP="0098460C">
            <w:pPr>
              <w:pStyle w:val="TableText"/>
            </w:pPr>
            <w:r w:rsidRPr="00DE3E14">
              <w:t xml:space="preserve">Percent </w:t>
            </w:r>
            <w:r>
              <w:t>Level 4</w:t>
            </w:r>
          </w:p>
        </w:tc>
        <w:tc>
          <w:tcPr>
            <w:tcW w:w="1074" w:type="dxa"/>
            <w:tcBorders>
              <w:bottom w:val="single" w:sz="8" w:space="0" w:color="auto"/>
            </w:tcBorders>
          </w:tcPr>
          <w:p w14:paraId="14CA6F54" w14:textId="77777777" w:rsidR="00A305B0" w:rsidRPr="00DE3E14" w:rsidRDefault="00A305B0" w:rsidP="0098460C">
            <w:pPr>
              <w:pStyle w:val="TableText"/>
            </w:pPr>
            <w:r w:rsidRPr="00DE3E14">
              <w:t>Number in Cohort</w:t>
            </w:r>
          </w:p>
        </w:tc>
        <w:tc>
          <w:tcPr>
            <w:tcW w:w="1012" w:type="dxa"/>
            <w:tcBorders>
              <w:bottom w:val="single" w:sz="8" w:space="0" w:color="auto"/>
            </w:tcBorders>
          </w:tcPr>
          <w:p w14:paraId="351D9700" w14:textId="77777777" w:rsidR="00A305B0" w:rsidRPr="00DE3E14" w:rsidRDefault="00A305B0" w:rsidP="0098460C">
            <w:pPr>
              <w:pStyle w:val="TableText"/>
            </w:pPr>
            <w:r w:rsidRPr="00DE3E14">
              <w:t xml:space="preserve">Percent </w:t>
            </w:r>
            <w:r>
              <w:t>Level 4</w:t>
            </w:r>
          </w:p>
        </w:tc>
      </w:tr>
      <w:tr w:rsidR="00A305B0" w:rsidRPr="00DD2508" w14:paraId="0984E6AC" w14:textId="77777777" w:rsidTr="0098460C">
        <w:trPr>
          <w:jc w:val="center"/>
        </w:trPr>
        <w:tc>
          <w:tcPr>
            <w:tcW w:w="1184" w:type="dxa"/>
          </w:tcPr>
          <w:p w14:paraId="087D3F0E" w14:textId="37C6456C" w:rsidR="00A305B0" w:rsidRPr="00DE3E14" w:rsidRDefault="008B5C21" w:rsidP="0098460C">
            <w:pPr>
              <w:pStyle w:val="TableText"/>
            </w:pPr>
            <w:r>
              <w:t>2017</w:t>
            </w:r>
          </w:p>
        </w:tc>
        <w:tc>
          <w:tcPr>
            <w:tcW w:w="992" w:type="dxa"/>
          </w:tcPr>
          <w:p w14:paraId="47E8AC57" w14:textId="77777777" w:rsidR="00A305B0" w:rsidRPr="00DE3E14" w:rsidRDefault="00A305B0" w:rsidP="0098460C">
            <w:pPr>
              <w:pStyle w:val="TableText"/>
            </w:pPr>
          </w:p>
        </w:tc>
        <w:tc>
          <w:tcPr>
            <w:tcW w:w="990" w:type="dxa"/>
            <w:gridSpan w:val="2"/>
          </w:tcPr>
          <w:p w14:paraId="44285E8C" w14:textId="77777777" w:rsidR="00A305B0" w:rsidRPr="00DE3E14" w:rsidRDefault="00A305B0" w:rsidP="0098460C">
            <w:pPr>
              <w:pStyle w:val="TableText"/>
            </w:pPr>
          </w:p>
        </w:tc>
        <w:tc>
          <w:tcPr>
            <w:tcW w:w="990" w:type="dxa"/>
            <w:tcBorders>
              <w:top w:val="single" w:sz="12" w:space="0" w:color="auto"/>
              <w:bottom w:val="single" w:sz="4" w:space="0" w:color="auto"/>
              <w:right w:val="single" w:sz="8" w:space="0" w:color="auto"/>
            </w:tcBorders>
            <w:shd w:val="clear" w:color="auto" w:fill="auto"/>
          </w:tcPr>
          <w:p w14:paraId="5BBFEBA3" w14:textId="77777777" w:rsidR="00A305B0" w:rsidRPr="00DE3E14" w:rsidRDefault="00A305B0" w:rsidP="0098460C">
            <w:pPr>
              <w:pStyle w:val="TableText"/>
            </w:pP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6CBFB0B1" w14:textId="77777777" w:rsidR="00A305B0" w:rsidRPr="00DE3E14" w:rsidRDefault="00A305B0" w:rsidP="0098460C">
            <w:pPr>
              <w:pStyle w:val="TableText"/>
            </w:pP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10EA6666" w14:textId="5F9C549B" w:rsidR="00A305B0" w:rsidRPr="00DE3E14" w:rsidRDefault="00A22746" w:rsidP="0098460C">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0B670058" w14:textId="049427EA" w:rsidR="00A305B0" w:rsidRPr="00DE3E14" w:rsidRDefault="00A22746" w:rsidP="0098460C">
            <w:pPr>
              <w:pStyle w:val="TableText"/>
            </w:pPr>
            <w:r>
              <w:t>87%</w:t>
            </w:r>
          </w:p>
        </w:tc>
      </w:tr>
      <w:tr w:rsidR="00A22746" w:rsidRPr="00DD2508" w14:paraId="02C2986E" w14:textId="77777777" w:rsidTr="0098460C">
        <w:trPr>
          <w:jc w:val="center"/>
        </w:trPr>
        <w:tc>
          <w:tcPr>
            <w:tcW w:w="1184" w:type="dxa"/>
          </w:tcPr>
          <w:p w14:paraId="4A91F886" w14:textId="096F17B9" w:rsidR="00A22746" w:rsidRPr="00DE3E14" w:rsidRDefault="00A22746" w:rsidP="00A22746">
            <w:pPr>
              <w:pStyle w:val="TableText"/>
            </w:pPr>
            <w:r>
              <w:t>2018</w:t>
            </w:r>
          </w:p>
        </w:tc>
        <w:tc>
          <w:tcPr>
            <w:tcW w:w="992" w:type="dxa"/>
          </w:tcPr>
          <w:p w14:paraId="5CF814AE" w14:textId="29720A6E" w:rsidR="00A22746" w:rsidRPr="00DE3E14" w:rsidRDefault="00A22746" w:rsidP="00A22746">
            <w:pPr>
              <w:pStyle w:val="TableText"/>
            </w:pPr>
            <w:r>
              <w:t>39</w:t>
            </w:r>
          </w:p>
        </w:tc>
        <w:tc>
          <w:tcPr>
            <w:tcW w:w="990" w:type="dxa"/>
            <w:gridSpan w:val="2"/>
          </w:tcPr>
          <w:p w14:paraId="343E358C" w14:textId="1706F255" w:rsidR="00A22746" w:rsidRPr="00DE3E14" w:rsidRDefault="00A22746" w:rsidP="00A22746">
            <w:pPr>
              <w:pStyle w:val="TableText"/>
            </w:pPr>
            <w:r>
              <w:t>59%</w:t>
            </w:r>
          </w:p>
        </w:tc>
        <w:tc>
          <w:tcPr>
            <w:tcW w:w="990" w:type="dxa"/>
            <w:tcBorders>
              <w:bottom w:val="single" w:sz="4" w:space="0" w:color="auto"/>
              <w:right w:val="single" w:sz="8" w:space="0" w:color="auto"/>
            </w:tcBorders>
            <w:shd w:val="clear" w:color="auto" w:fill="auto"/>
          </w:tcPr>
          <w:p w14:paraId="519909A2" w14:textId="008B6E97" w:rsidR="00A22746" w:rsidRPr="00DE3E14" w:rsidRDefault="00A22746" w:rsidP="00A22746">
            <w:pPr>
              <w:pStyle w:val="TableText"/>
            </w:pPr>
            <w:r>
              <w:t>30</w:t>
            </w: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77137A85" w14:textId="001E43D1" w:rsidR="00A22746" w:rsidRPr="00DE3E14" w:rsidRDefault="00A22746" w:rsidP="00A22746">
            <w:pPr>
              <w:pStyle w:val="TableText"/>
            </w:pPr>
            <w:r>
              <w:t>83%</w:t>
            </w: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41502505" w14:textId="065136BC" w:rsidR="00A22746" w:rsidRPr="00DE3E14" w:rsidRDefault="00A22746" w:rsidP="00A22746">
            <w:pPr>
              <w:pStyle w:val="TableText"/>
            </w:pPr>
            <w:r>
              <w:t>30</w:t>
            </w: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3AA90F74" w14:textId="3505EB3B" w:rsidR="00A22746" w:rsidRPr="00DE3E14" w:rsidRDefault="00A22746" w:rsidP="00A22746">
            <w:pPr>
              <w:pStyle w:val="TableText"/>
            </w:pPr>
            <w:r>
              <w:t>82%</w:t>
            </w:r>
          </w:p>
        </w:tc>
      </w:tr>
      <w:tr w:rsidR="00A22746" w:rsidRPr="00DD2508" w14:paraId="1E2FE652" w14:textId="77777777" w:rsidTr="0098460C">
        <w:trPr>
          <w:jc w:val="center"/>
        </w:trPr>
        <w:tc>
          <w:tcPr>
            <w:tcW w:w="1184" w:type="dxa"/>
          </w:tcPr>
          <w:p w14:paraId="7E5E6BC7" w14:textId="705DA597" w:rsidR="00A22746" w:rsidRPr="00DE3E14" w:rsidRDefault="00A22746" w:rsidP="00A22746">
            <w:pPr>
              <w:pStyle w:val="TableText"/>
            </w:pPr>
            <w:r>
              <w:t>2019</w:t>
            </w:r>
          </w:p>
        </w:tc>
        <w:tc>
          <w:tcPr>
            <w:tcW w:w="992" w:type="dxa"/>
            <w:shd w:val="clear" w:color="auto" w:fill="B3B3B3"/>
          </w:tcPr>
          <w:p w14:paraId="0759BDDD" w14:textId="77777777" w:rsidR="00A22746" w:rsidRPr="00DE3E14" w:rsidRDefault="00A22746" w:rsidP="00A22746">
            <w:pPr>
              <w:pStyle w:val="TableText"/>
            </w:pPr>
          </w:p>
        </w:tc>
        <w:tc>
          <w:tcPr>
            <w:tcW w:w="990" w:type="dxa"/>
            <w:gridSpan w:val="2"/>
            <w:shd w:val="clear" w:color="auto" w:fill="B3B3B3"/>
          </w:tcPr>
          <w:p w14:paraId="18D5888D" w14:textId="77777777" w:rsidR="00A22746" w:rsidRPr="00DE3E14" w:rsidRDefault="00A22746" w:rsidP="00A22746">
            <w:pPr>
              <w:pStyle w:val="TableText"/>
            </w:pPr>
          </w:p>
        </w:tc>
        <w:tc>
          <w:tcPr>
            <w:tcW w:w="990" w:type="dxa"/>
            <w:tcBorders>
              <w:top w:val="single" w:sz="4" w:space="0" w:color="auto"/>
              <w:bottom w:val="single" w:sz="4" w:space="0" w:color="auto"/>
              <w:right w:val="single" w:sz="4" w:space="0" w:color="auto"/>
            </w:tcBorders>
            <w:shd w:val="clear" w:color="auto" w:fill="auto"/>
          </w:tcPr>
          <w:p w14:paraId="52E444B7" w14:textId="241C5BCE" w:rsidR="00A22746" w:rsidRPr="00DE3E14" w:rsidRDefault="00A22746" w:rsidP="00A22746">
            <w:pPr>
              <w:pStyle w:val="TableText"/>
            </w:pPr>
            <w:r>
              <w:t>51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A2D02DD" w14:textId="6EFAB99F" w:rsidR="00A22746" w:rsidRPr="00DE3E14" w:rsidRDefault="00A22746" w:rsidP="00A22746">
            <w:pPr>
              <w:pStyle w:val="TableText"/>
            </w:pPr>
            <w:r>
              <w:t>86%</w:t>
            </w: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4BD39EB8" w14:textId="2B7FB589" w:rsidR="00A22746" w:rsidRPr="00DE3E14" w:rsidRDefault="00A22746" w:rsidP="00A22746">
            <w:pPr>
              <w:pStyle w:val="TableText"/>
            </w:pPr>
            <w:r>
              <w:t>52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107CC8CC" w14:textId="408E04AD" w:rsidR="00A22746" w:rsidRPr="00DE3E14" w:rsidRDefault="008315B6" w:rsidP="00A22746">
            <w:pPr>
              <w:pStyle w:val="TableText"/>
            </w:pPr>
            <w:r>
              <w:t>69%</w:t>
            </w:r>
          </w:p>
        </w:tc>
      </w:tr>
      <w:tr w:rsidR="00A22746" w:rsidRPr="00DD2508" w14:paraId="69314DC6" w14:textId="77777777" w:rsidTr="0098460C">
        <w:trPr>
          <w:jc w:val="center"/>
        </w:trPr>
        <w:tc>
          <w:tcPr>
            <w:tcW w:w="1184" w:type="dxa"/>
          </w:tcPr>
          <w:p w14:paraId="2EA391B6" w14:textId="1F811F67" w:rsidR="00A22746" w:rsidRPr="00DE3E14" w:rsidRDefault="00A22746" w:rsidP="00A22746">
            <w:pPr>
              <w:pStyle w:val="TableText"/>
            </w:pPr>
            <w:r>
              <w:t>2020</w:t>
            </w:r>
          </w:p>
        </w:tc>
        <w:tc>
          <w:tcPr>
            <w:tcW w:w="992" w:type="dxa"/>
            <w:shd w:val="clear" w:color="auto" w:fill="B3B3B3"/>
          </w:tcPr>
          <w:p w14:paraId="5419B641" w14:textId="77777777" w:rsidR="00A22746" w:rsidRPr="00DE3E14" w:rsidRDefault="00A22746" w:rsidP="00A22746">
            <w:pPr>
              <w:pStyle w:val="TableText"/>
            </w:pPr>
          </w:p>
        </w:tc>
        <w:tc>
          <w:tcPr>
            <w:tcW w:w="990" w:type="dxa"/>
            <w:gridSpan w:val="2"/>
            <w:shd w:val="clear" w:color="auto" w:fill="B3B3B3"/>
          </w:tcPr>
          <w:p w14:paraId="7971ABDC" w14:textId="77777777" w:rsidR="00A22746" w:rsidRPr="00DE3E14" w:rsidRDefault="00A22746" w:rsidP="00A22746">
            <w:pPr>
              <w:pStyle w:val="TableText"/>
            </w:pPr>
          </w:p>
        </w:tc>
        <w:tc>
          <w:tcPr>
            <w:tcW w:w="990" w:type="dxa"/>
            <w:tcBorders>
              <w:top w:val="single" w:sz="4" w:space="0" w:color="auto"/>
              <w:bottom w:val="single" w:sz="4" w:space="0" w:color="auto"/>
              <w:right w:val="single" w:sz="4" w:space="0" w:color="auto"/>
            </w:tcBorders>
            <w:shd w:val="clear" w:color="auto" w:fill="B3B3B3"/>
          </w:tcPr>
          <w:p w14:paraId="18DB055E" w14:textId="77777777" w:rsidR="00A22746" w:rsidRPr="00DE3E14" w:rsidRDefault="00A22746" w:rsidP="00A22746">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2569B719" w14:textId="77777777" w:rsidR="00A22746" w:rsidRPr="00DE3E14" w:rsidRDefault="00A22746" w:rsidP="00A22746">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63A20CA7" w14:textId="5D640456" w:rsidR="00A22746" w:rsidRPr="00DE3E14" w:rsidRDefault="00A22746" w:rsidP="00A22746">
            <w:pPr>
              <w:pStyle w:val="TableText"/>
            </w:pPr>
            <w:r>
              <w:t>60</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5ACC42F3" w14:textId="081B800D" w:rsidR="00A22746" w:rsidRPr="00DE3E14" w:rsidRDefault="008315B6" w:rsidP="00A22746">
            <w:pPr>
              <w:pStyle w:val="TableText"/>
            </w:pPr>
            <w:r>
              <w:t>N/A</w:t>
            </w:r>
          </w:p>
        </w:tc>
      </w:tr>
    </w:tbl>
    <w:p w14:paraId="3608895C" w14:textId="77777777" w:rsidR="009502D1" w:rsidRDefault="009502D1" w:rsidP="009502D1">
      <w:pPr>
        <w:rPr>
          <w:rFonts w:ascii="Calibri" w:hAnsi="Calibri"/>
          <w:b/>
          <w:szCs w:val="23"/>
        </w:rPr>
      </w:pPr>
    </w:p>
    <w:p w14:paraId="008A6A5D" w14:textId="6742888A" w:rsidR="009502D1" w:rsidRPr="00DC7695" w:rsidRDefault="00887F40" w:rsidP="009502D1">
      <w:pPr>
        <w:pStyle w:val="MeasureTitle"/>
      </w:pPr>
      <w:r>
        <w:t>Goal 4</w:t>
      </w:r>
      <w:r w:rsidR="009502D1" w:rsidRPr="00DD2508">
        <w:t>: Absolute Measure</w:t>
      </w:r>
    </w:p>
    <w:p w14:paraId="591F2064" w14:textId="37D24FB0" w:rsidR="009502D1" w:rsidRDefault="009502D1" w:rsidP="009502D1">
      <w:pPr>
        <w:pStyle w:val="MeasureText"/>
      </w:pPr>
      <w:r>
        <w:t>Each year, 80</w:t>
      </w:r>
      <w:r w:rsidRPr="001077F3">
        <w:t xml:space="preserve"> percent of students in the high school Accountability Cohort will </w:t>
      </w:r>
      <w:r>
        <w:t>at least partially meet Common Core expectations</w:t>
      </w:r>
      <w:r w:rsidRPr="001077F3">
        <w:t xml:space="preserve"> (currently scoring </w:t>
      </w:r>
      <w:r>
        <w:t>at or a</w:t>
      </w:r>
      <w:r w:rsidR="00FF78FC">
        <w:t xml:space="preserve">bove Performance Level 3 on a Regents mathematics exam) </w:t>
      </w:r>
      <w:r w:rsidRPr="001077F3">
        <w:t>by the completion of their fourth year in the cohort.</w:t>
      </w:r>
    </w:p>
    <w:p w14:paraId="1A2A756C" w14:textId="77777777" w:rsidR="009502D1" w:rsidRPr="00DD2508" w:rsidRDefault="009502D1" w:rsidP="009502D1">
      <w:pPr>
        <w:pStyle w:val="Heading2"/>
      </w:pPr>
      <w:r w:rsidRPr="00DD2508">
        <w:t>Method</w:t>
      </w:r>
    </w:p>
    <w:p w14:paraId="69E76E0C" w14:textId="5D972755" w:rsidR="009502D1" w:rsidRDefault="009502D1" w:rsidP="009502D1">
      <w:r w:rsidRPr="00DD2508">
        <w:t xml:space="preserve">The school administered </w:t>
      </w:r>
      <w:r w:rsidR="00FF78FC">
        <w:t>the</w:t>
      </w:r>
      <w:r>
        <w:t xml:space="preserve"> Regents </w:t>
      </w:r>
      <w:r w:rsidR="00FF78FC">
        <w:t>mathematics exam(s)</w:t>
      </w:r>
      <w:r>
        <w:t xml:space="preserve"> </w:t>
      </w:r>
      <w:r w:rsidRPr="00DD2508">
        <w:t>that s</w:t>
      </w:r>
      <w:r w:rsidR="00A305B0">
        <w:t xml:space="preserve">tudents must pass to graduate. </w:t>
      </w:r>
      <w:r w:rsidRPr="000929FD">
        <w:t xml:space="preserve">The State Education Department </w:t>
      </w:r>
      <w:r>
        <w:t xml:space="preserve">currently </w:t>
      </w:r>
      <w:r w:rsidRPr="000929FD">
        <w:t xml:space="preserve">defines </w:t>
      </w:r>
      <w:r>
        <w:t xml:space="preserve">the cut off for passing and meeting the requirement for graduation as scoring at or above Performance Level 3 (partially meeting Common Core expectations) on the Regents </w:t>
      </w:r>
      <w:r w:rsidR="00FF78FC">
        <w:t xml:space="preserve">mathematics exams.  </w:t>
      </w:r>
      <w:r w:rsidRPr="00DD2508">
        <w:t xml:space="preserve">This measure examines the percent of the Accountability Cohort that </w:t>
      </w:r>
      <w:r>
        <w:t>achieved at least Performance Level 3 by the</w:t>
      </w:r>
      <w:r w:rsidRPr="00DD2508">
        <w:t xml:space="preserve"> completion of their fourth year in the cohort.  </w:t>
      </w:r>
    </w:p>
    <w:p w14:paraId="0E7DEEF5" w14:textId="77777777" w:rsidR="008B5C21" w:rsidRDefault="008B5C21" w:rsidP="008B5C21">
      <w:pPr>
        <w:rPr>
          <w:b/>
          <w:bCs/>
        </w:rPr>
      </w:pPr>
      <w:r w:rsidRPr="57F71D55">
        <w:rPr>
          <w:b/>
          <w:bCs/>
        </w:rPr>
        <w:t>Due to the state’s cancellat</w:t>
      </w:r>
      <w:r>
        <w:rPr>
          <w:b/>
          <w:bCs/>
        </w:rPr>
        <w:t>ion of multiple</w:t>
      </w:r>
      <w:r w:rsidRPr="57F71D55">
        <w:rPr>
          <w:b/>
          <w:bCs/>
        </w:rPr>
        <w:t xml:space="preserve"> administrations of the Regents</w:t>
      </w:r>
      <w:r>
        <w:rPr>
          <w:b/>
          <w:bCs/>
        </w:rPr>
        <w:t xml:space="preserve"> exams in 2019-20 and 2020-21, some students in the 2017</w:t>
      </w:r>
      <w:r w:rsidRPr="57F71D55">
        <w:rPr>
          <w:b/>
          <w:bCs/>
        </w:rPr>
        <w:t xml:space="preserve"> Cohort who had not previously sat for </w:t>
      </w:r>
      <w:r>
        <w:rPr>
          <w:b/>
          <w:bCs/>
        </w:rPr>
        <w:t>any mathematics</w:t>
      </w:r>
      <w:r w:rsidRPr="57F71D55">
        <w:rPr>
          <w:b/>
          <w:bCs/>
        </w:rPr>
        <w:t xml:space="preserve"> exa</w:t>
      </w:r>
      <w:r>
        <w:rPr>
          <w:b/>
          <w:bCs/>
        </w:rPr>
        <w:t xml:space="preserve">m but were scheduled to sit for one during a cancellation </w:t>
      </w:r>
      <w:r w:rsidRPr="57F71D55">
        <w:rPr>
          <w:b/>
          <w:bCs/>
        </w:rPr>
        <w:t xml:space="preserve">would be exempted from the graduation </w:t>
      </w:r>
      <w:r w:rsidRPr="57F71D55">
        <w:rPr>
          <w:b/>
          <w:bCs/>
        </w:rPr>
        <w:lastRenderedPageBreak/>
        <w:t>requirement.  As such, the school should report both the number of students who were exempted from the exam</w:t>
      </w:r>
      <w:r>
        <w:rPr>
          <w:b/>
          <w:bCs/>
        </w:rPr>
        <w:t xml:space="preserve"> requirement</w:t>
      </w:r>
      <w:r w:rsidRPr="57F71D55">
        <w:rPr>
          <w:b/>
          <w:bCs/>
        </w:rPr>
        <w:t xml:space="preserve"> as well as the percentage of students achieving at least </w:t>
      </w:r>
      <w:r>
        <w:rPr>
          <w:b/>
          <w:bCs/>
        </w:rPr>
        <w:t>Level 3</w:t>
      </w:r>
      <w:r w:rsidRPr="57F71D55">
        <w:rPr>
          <w:b/>
          <w:bCs/>
        </w:rPr>
        <w:t xml:space="preserve"> among the students who sat for </w:t>
      </w:r>
      <w:r>
        <w:rPr>
          <w:b/>
          <w:bCs/>
        </w:rPr>
        <w:t>any</w:t>
      </w:r>
      <w:r w:rsidRPr="57F71D55">
        <w:rPr>
          <w:b/>
          <w:bCs/>
        </w:rPr>
        <w:t xml:space="preserve"> exam.</w:t>
      </w:r>
    </w:p>
    <w:p w14:paraId="09625BFD" w14:textId="77777777" w:rsidR="0077346A" w:rsidRDefault="0077346A" w:rsidP="009502D1"/>
    <w:p w14:paraId="6E75BCF1" w14:textId="77777777" w:rsidR="009502D1" w:rsidRPr="00DD2508" w:rsidRDefault="009502D1" w:rsidP="009502D1">
      <w:pPr>
        <w:pStyle w:val="Heading2"/>
      </w:pPr>
      <w:r w:rsidRPr="00347C7D">
        <w:t>Results and Evaluation</w:t>
      </w:r>
    </w:p>
    <w:p w14:paraId="6358C496" w14:textId="3D659DAA" w:rsidR="00DA251D" w:rsidRPr="00DA251D" w:rsidRDefault="00DA251D" w:rsidP="00DA251D">
      <w:pPr>
        <w:rPr>
          <w:rFonts w:ascii="Calibri" w:hAnsi="Calibri"/>
          <w:szCs w:val="23"/>
        </w:rPr>
      </w:pPr>
      <w:r w:rsidRPr="00DA251D">
        <w:rPr>
          <w:rFonts w:ascii="Calibri" w:hAnsi="Calibri"/>
          <w:szCs w:val="23"/>
        </w:rPr>
        <w:t>Of the 201</w:t>
      </w:r>
      <w:r>
        <w:rPr>
          <w:rFonts w:ascii="Calibri" w:hAnsi="Calibri"/>
          <w:szCs w:val="23"/>
        </w:rPr>
        <w:t>7</w:t>
      </w:r>
      <w:r w:rsidRPr="00DA251D">
        <w:rPr>
          <w:rFonts w:ascii="Calibri" w:hAnsi="Calibri"/>
          <w:szCs w:val="23"/>
        </w:rPr>
        <w:t xml:space="preserve"> Cohort, </w:t>
      </w:r>
      <w:r w:rsidR="00347C7D">
        <w:rPr>
          <w:rFonts w:ascii="Calibri" w:hAnsi="Calibri"/>
          <w:szCs w:val="23"/>
        </w:rPr>
        <w:t>90</w:t>
      </w:r>
      <w:r w:rsidRPr="00DA251D">
        <w:rPr>
          <w:rFonts w:ascii="Calibri" w:hAnsi="Calibri"/>
          <w:szCs w:val="23"/>
        </w:rPr>
        <w:t>% of students have scored at or above Level 3 or received an exemption on a Regents Mathematics Exam.</w:t>
      </w:r>
    </w:p>
    <w:p w14:paraId="63F07EB2" w14:textId="04A5F02C" w:rsidR="00184492" w:rsidRDefault="00DA251D" w:rsidP="00DA251D">
      <w:pPr>
        <w:rPr>
          <w:rFonts w:ascii="Calibri" w:hAnsi="Calibri"/>
          <w:szCs w:val="23"/>
        </w:rPr>
      </w:pPr>
      <w:r w:rsidRPr="00DA251D">
        <w:rPr>
          <w:rFonts w:ascii="Calibri" w:hAnsi="Calibri"/>
          <w:szCs w:val="23"/>
        </w:rPr>
        <w:t xml:space="preserve">This measure was met and exceeded, for the </w:t>
      </w:r>
      <w:r>
        <w:rPr>
          <w:rFonts w:ascii="Calibri" w:hAnsi="Calibri"/>
          <w:szCs w:val="23"/>
        </w:rPr>
        <w:t xml:space="preserve">2020-2021 </w:t>
      </w:r>
      <w:r w:rsidRPr="00DA251D">
        <w:rPr>
          <w:rFonts w:ascii="Calibri" w:hAnsi="Calibri"/>
          <w:szCs w:val="23"/>
        </w:rPr>
        <w:t>school year.</w:t>
      </w:r>
    </w:p>
    <w:p w14:paraId="0723AAE3" w14:textId="140550A9" w:rsidR="00347C7D" w:rsidRPr="00E17F29" w:rsidRDefault="00347C7D" w:rsidP="00347C7D">
      <w:pPr>
        <w:rPr>
          <w:rFonts w:ascii="Calibri" w:hAnsi="Calibri"/>
          <w:szCs w:val="23"/>
        </w:rPr>
      </w:pPr>
      <w:r>
        <w:rPr>
          <w:rFonts w:ascii="Calibri" w:hAnsi="Calibri"/>
          <w:szCs w:val="23"/>
        </w:rPr>
        <w:t xml:space="preserve">Of the 2018 cohort, 13 students were exempt from the Mathematics regents, and </w:t>
      </w:r>
      <w:r>
        <w:rPr>
          <w:rFonts w:ascii="Calibri" w:hAnsi="Calibri"/>
          <w:szCs w:val="23"/>
        </w:rPr>
        <w:t>91</w:t>
      </w:r>
      <w:r>
        <w:rPr>
          <w:rFonts w:ascii="Calibri" w:hAnsi="Calibri"/>
          <w:szCs w:val="23"/>
        </w:rPr>
        <w:t>% of students achiev</w:t>
      </w:r>
      <w:r>
        <w:rPr>
          <w:rFonts w:ascii="Calibri" w:hAnsi="Calibri"/>
          <w:szCs w:val="23"/>
        </w:rPr>
        <w:t>ed</w:t>
      </w:r>
      <w:r>
        <w:rPr>
          <w:rFonts w:ascii="Calibri" w:hAnsi="Calibri"/>
          <w:szCs w:val="23"/>
        </w:rPr>
        <w:t xml:space="preserve"> a level </w:t>
      </w:r>
      <w:r>
        <w:rPr>
          <w:rFonts w:ascii="Calibri" w:hAnsi="Calibri"/>
          <w:szCs w:val="23"/>
        </w:rPr>
        <w:t>3</w:t>
      </w:r>
      <w:r>
        <w:rPr>
          <w:rFonts w:ascii="Calibri" w:hAnsi="Calibri"/>
          <w:szCs w:val="23"/>
        </w:rPr>
        <w:t xml:space="preserve">. Of the 2019 cohort, </w:t>
      </w:r>
      <w:r>
        <w:rPr>
          <w:rFonts w:ascii="Calibri" w:hAnsi="Calibri"/>
          <w:szCs w:val="23"/>
        </w:rPr>
        <w:t>16</w:t>
      </w:r>
      <w:r>
        <w:rPr>
          <w:rFonts w:ascii="Calibri" w:hAnsi="Calibri"/>
          <w:szCs w:val="23"/>
        </w:rPr>
        <w:t xml:space="preserve"> students were exempt from the Mathematics regents and </w:t>
      </w:r>
      <w:r>
        <w:rPr>
          <w:rFonts w:ascii="Calibri" w:hAnsi="Calibri"/>
          <w:szCs w:val="23"/>
        </w:rPr>
        <w:t>89</w:t>
      </w:r>
      <w:r>
        <w:rPr>
          <w:rFonts w:ascii="Calibri" w:hAnsi="Calibri"/>
          <w:szCs w:val="23"/>
        </w:rPr>
        <w:t>% receiving a level 4. Of the 2020 cohort, 43 students were exempt from the Mathematics regents and this cohort never sat for an examination.</w:t>
      </w:r>
    </w:p>
    <w:p w14:paraId="6CFB7E28" w14:textId="77777777" w:rsidR="00347C7D" w:rsidRDefault="00347C7D" w:rsidP="00DA251D">
      <w:pPr>
        <w:rPr>
          <w:rFonts w:ascii="Calibri" w:hAnsi="Calibri"/>
          <w:szCs w:val="23"/>
        </w:rPr>
      </w:pPr>
    </w:p>
    <w:p w14:paraId="23D1E914" w14:textId="5AC73219" w:rsidR="009502D1" w:rsidRDefault="009502D1" w:rsidP="009502D1">
      <w:pPr>
        <w:pStyle w:val="TableHeader"/>
      </w:pPr>
      <w:r>
        <w:t xml:space="preserve">Percent Scoring at Least Level 3 on </w:t>
      </w:r>
      <w:r w:rsidR="00FF78FC">
        <w:t xml:space="preserve">a </w:t>
      </w:r>
      <w:r>
        <w:t xml:space="preserve">Regents </w:t>
      </w:r>
      <w:r w:rsidR="00FF78FC">
        <w:t>Mathematics</w:t>
      </w:r>
      <w:r>
        <w:t xml:space="preserve"> Common Core Exam</w:t>
      </w:r>
    </w:p>
    <w:p w14:paraId="46E7677A" w14:textId="566A1E29" w:rsidR="009502D1" w:rsidRPr="00DD2508" w:rsidRDefault="009502D1" w:rsidP="009502D1">
      <w:pPr>
        <w:pStyle w:val="TableHeader"/>
      </w:pPr>
      <w:r w:rsidRPr="00DD2508">
        <w:t>by Fourth Year Accountability Cohort</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900"/>
        <w:gridCol w:w="900"/>
        <w:gridCol w:w="1890"/>
        <w:gridCol w:w="1694"/>
        <w:gridCol w:w="2520"/>
      </w:tblGrid>
      <w:tr w:rsidR="00A305B0" w:rsidRPr="00DD2508" w14:paraId="684FCDF8" w14:textId="77777777" w:rsidTr="0098460C">
        <w:trPr>
          <w:trHeight w:val="758"/>
          <w:jc w:val="center"/>
        </w:trPr>
        <w:tc>
          <w:tcPr>
            <w:tcW w:w="1255" w:type="dxa"/>
            <w:shd w:val="clear" w:color="auto" w:fill="auto"/>
            <w:vAlign w:val="center"/>
          </w:tcPr>
          <w:p w14:paraId="528F0CEF" w14:textId="77777777" w:rsidR="00A305B0" w:rsidRPr="00DE3E14" w:rsidRDefault="00A305B0" w:rsidP="0098460C">
            <w:pPr>
              <w:pStyle w:val="TableText"/>
            </w:pPr>
            <w:r w:rsidRPr="00DE3E14">
              <w:t>Cohort Designation</w:t>
            </w:r>
          </w:p>
        </w:tc>
        <w:tc>
          <w:tcPr>
            <w:tcW w:w="900" w:type="dxa"/>
          </w:tcPr>
          <w:p w14:paraId="54F01E1D" w14:textId="77777777" w:rsidR="00A305B0" w:rsidRDefault="00A305B0" w:rsidP="0098460C">
            <w:pPr>
              <w:pStyle w:val="TableText"/>
            </w:pPr>
          </w:p>
          <w:p w14:paraId="1AC030F4" w14:textId="77777777" w:rsidR="00A305B0" w:rsidRDefault="00A305B0" w:rsidP="0098460C">
            <w:pPr>
              <w:pStyle w:val="TableText"/>
            </w:pPr>
            <w:r>
              <w:t>Fourth</w:t>
            </w:r>
          </w:p>
          <w:p w14:paraId="5A22C220" w14:textId="77777777" w:rsidR="00A305B0" w:rsidRPr="00DE3E14" w:rsidRDefault="00A305B0" w:rsidP="0098460C">
            <w:pPr>
              <w:pStyle w:val="TableText"/>
            </w:pPr>
            <w:r>
              <w:t>Year</w:t>
            </w:r>
          </w:p>
        </w:tc>
        <w:tc>
          <w:tcPr>
            <w:tcW w:w="900" w:type="dxa"/>
            <w:vAlign w:val="center"/>
          </w:tcPr>
          <w:p w14:paraId="027E3C64" w14:textId="77777777" w:rsidR="00A305B0" w:rsidRPr="00DE3E14" w:rsidRDefault="00A305B0" w:rsidP="0098460C">
            <w:pPr>
              <w:pStyle w:val="TableText"/>
            </w:pPr>
            <w:r>
              <w:t xml:space="preserve">Number in Cohort </w:t>
            </w:r>
          </w:p>
          <w:p w14:paraId="3FDF77FC" w14:textId="77777777" w:rsidR="00A305B0" w:rsidRPr="00DE3E14" w:rsidRDefault="00A305B0" w:rsidP="0098460C">
            <w:pPr>
              <w:pStyle w:val="TableText"/>
            </w:pPr>
            <w:r>
              <w:t>(a)</w:t>
            </w:r>
          </w:p>
        </w:tc>
        <w:tc>
          <w:tcPr>
            <w:tcW w:w="1890" w:type="dxa"/>
            <w:vAlign w:val="center"/>
          </w:tcPr>
          <w:p w14:paraId="7B0AC61A" w14:textId="77777777" w:rsidR="00A305B0" w:rsidRDefault="00A305B0" w:rsidP="0098460C">
            <w:pPr>
              <w:pStyle w:val="TableText"/>
            </w:pPr>
            <w:r>
              <w:t xml:space="preserve">Number Exempted with No Valid Score </w:t>
            </w:r>
          </w:p>
          <w:p w14:paraId="675ED631" w14:textId="77777777" w:rsidR="00A305B0" w:rsidRDefault="00A305B0" w:rsidP="0098460C">
            <w:pPr>
              <w:pStyle w:val="TableText"/>
            </w:pPr>
            <w:r>
              <w:t>(b)</w:t>
            </w:r>
          </w:p>
        </w:tc>
        <w:tc>
          <w:tcPr>
            <w:tcW w:w="1694" w:type="dxa"/>
            <w:tcBorders>
              <w:top w:val="single" w:sz="12" w:space="0" w:color="auto"/>
              <w:left w:val="single" w:sz="12" w:space="0" w:color="auto"/>
              <w:right w:val="single" w:sz="12" w:space="0" w:color="auto"/>
            </w:tcBorders>
            <w:vAlign w:val="center"/>
          </w:tcPr>
          <w:p w14:paraId="3C4C14A8" w14:textId="77777777" w:rsidR="00A305B0" w:rsidRDefault="00A305B0" w:rsidP="0098460C">
            <w:pPr>
              <w:pStyle w:val="TableText"/>
            </w:pPr>
            <w:r>
              <w:t xml:space="preserve">Number Scoring at Least Level 3 </w:t>
            </w:r>
          </w:p>
          <w:p w14:paraId="4DC1385D" w14:textId="77777777" w:rsidR="00A305B0" w:rsidRDefault="00A305B0" w:rsidP="0098460C">
            <w:pPr>
              <w:pStyle w:val="TableText"/>
            </w:pPr>
            <w:r>
              <w:t>(c)</w:t>
            </w:r>
          </w:p>
        </w:tc>
        <w:tc>
          <w:tcPr>
            <w:tcW w:w="2520" w:type="dxa"/>
            <w:tcBorders>
              <w:top w:val="single" w:sz="12" w:space="0" w:color="auto"/>
              <w:left w:val="single" w:sz="12" w:space="0" w:color="auto"/>
              <w:right w:val="single" w:sz="12" w:space="0" w:color="auto"/>
            </w:tcBorders>
            <w:vAlign w:val="center"/>
          </w:tcPr>
          <w:p w14:paraId="089C1EA1" w14:textId="77777777" w:rsidR="00A305B0" w:rsidRDefault="00A305B0" w:rsidP="0098460C">
            <w:pPr>
              <w:pStyle w:val="TableText"/>
            </w:pPr>
            <w:r>
              <w:t>Percent Scoring at Least Level 3 Among Students with Valid Score</w:t>
            </w:r>
            <w:r>
              <w:br/>
              <w:t>(c)/(a-b)</w:t>
            </w:r>
          </w:p>
        </w:tc>
      </w:tr>
      <w:tr w:rsidR="00A305B0" w:rsidRPr="00DD2508" w14:paraId="3343D5EB" w14:textId="77777777" w:rsidTr="0098460C">
        <w:trPr>
          <w:trHeight w:val="228"/>
          <w:jc w:val="center"/>
        </w:trPr>
        <w:tc>
          <w:tcPr>
            <w:tcW w:w="1255" w:type="dxa"/>
          </w:tcPr>
          <w:p w14:paraId="589D87DF" w14:textId="5800677D" w:rsidR="00A305B0" w:rsidRPr="00DE3E14" w:rsidRDefault="008B5C21" w:rsidP="0098460C">
            <w:pPr>
              <w:pStyle w:val="TableText"/>
            </w:pPr>
            <w:r>
              <w:t>2015</w:t>
            </w:r>
          </w:p>
        </w:tc>
        <w:tc>
          <w:tcPr>
            <w:tcW w:w="900" w:type="dxa"/>
          </w:tcPr>
          <w:p w14:paraId="2E725B9E" w14:textId="0AB3CB4C" w:rsidR="00A305B0" w:rsidRPr="00DE3E14" w:rsidRDefault="008B5C21" w:rsidP="0098460C">
            <w:pPr>
              <w:pStyle w:val="TableText"/>
            </w:pPr>
            <w:r>
              <w:t>2018-19</w:t>
            </w:r>
          </w:p>
        </w:tc>
        <w:tc>
          <w:tcPr>
            <w:tcW w:w="900" w:type="dxa"/>
          </w:tcPr>
          <w:p w14:paraId="74317B8F" w14:textId="77777777" w:rsidR="00A305B0" w:rsidRPr="00DE3E14" w:rsidRDefault="00A305B0" w:rsidP="0098460C">
            <w:pPr>
              <w:pStyle w:val="TableText"/>
            </w:pPr>
          </w:p>
        </w:tc>
        <w:tc>
          <w:tcPr>
            <w:tcW w:w="1890" w:type="dxa"/>
          </w:tcPr>
          <w:p w14:paraId="295E21E0" w14:textId="77777777" w:rsidR="00A305B0" w:rsidRDefault="00A305B0" w:rsidP="0098460C">
            <w:pPr>
              <w:pStyle w:val="TableText"/>
            </w:pPr>
            <w:r>
              <w:t>0</w:t>
            </w: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1B464AD8" w14:textId="77777777" w:rsidR="00A305B0" w:rsidRDefault="00A305B0"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72B20A58" w14:textId="77777777" w:rsidR="00A305B0" w:rsidRDefault="00A305B0" w:rsidP="0098460C">
            <w:pPr>
              <w:pStyle w:val="TableText"/>
              <w:rPr>
                <w:b/>
                <w:bCs/>
              </w:rPr>
            </w:pPr>
          </w:p>
        </w:tc>
      </w:tr>
      <w:tr w:rsidR="00A305B0" w:rsidRPr="00DD2508" w14:paraId="42808553" w14:textId="77777777" w:rsidTr="0098460C">
        <w:trPr>
          <w:trHeight w:val="228"/>
          <w:jc w:val="center"/>
        </w:trPr>
        <w:tc>
          <w:tcPr>
            <w:tcW w:w="1255" w:type="dxa"/>
          </w:tcPr>
          <w:p w14:paraId="4C726D44" w14:textId="583064CD" w:rsidR="00A305B0" w:rsidRPr="00DE3E14" w:rsidRDefault="008B5C21" w:rsidP="0098460C">
            <w:pPr>
              <w:pStyle w:val="TableText"/>
            </w:pPr>
            <w:r>
              <w:t>2016</w:t>
            </w:r>
          </w:p>
        </w:tc>
        <w:tc>
          <w:tcPr>
            <w:tcW w:w="900" w:type="dxa"/>
          </w:tcPr>
          <w:p w14:paraId="5CD69BD3" w14:textId="231B6CC2" w:rsidR="00A305B0" w:rsidRPr="00DE3E14" w:rsidRDefault="008B5C21" w:rsidP="0098460C">
            <w:pPr>
              <w:pStyle w:val="TableText"/>
            </w:pPr>
            <w:r>
              <w:t>2019-20</w:t>
            </w:r>
          </w:p>
        </w:tc>
        <w:tc>
          <w:tcPr>
            <w:tcW w:w="900" w:type="dxa"/>
          </w:tcPr>
          <w:p w14:paraId="3024CA7D" w14:textId="77777777" w:rsidR="00A305B0" w:rsidRPr="00DE3E14" w:rsidRDefault="00A305B0" w:rsidP="0098460C">
            <w:pPr>
              <w:pStyle w:val="TableText"/>
            </w:pPr>
          </w:p>
        </w:tc>
        <w:tc>
          <w:tcPr>
            <w:tcW w:w="1890" w:type="dxa"/>
          </w:tcPr>
          <w:p w14:paraId="0E78F947" w14:textId="11592B96" w:rsidR="00A305B0" w:rsidRDefault="00A305B0" w:rsidP="0098460C">
            <w:pPr>
              <w:pStyle w:val="TableText"/>
            </w:pPr>
          </w:p>
        </w:tc>
        <w:tc>
          <w:tcPr>
            <w:tcW w:w="1694" w:type="dxa"/>
            <w:tcBorders>
              <w:top w:val="single" w:sz="4" w:space="0" w:color="auto"/>
              <w:left w:val="single" w:sz="12" w:space="0" w:color="auto"/>
              <w:bottom w:val="single" w:sz="4" w:space="0" w:color="auto"/>
              <w:right w:val="single" w:sz="12" w:space="0" w:color="auto"/>
            </w:tcBorders>
            <w:shd w:val="clear" w:color="auto" w:fill="auto"/>
          </w:tcPr>
          <w:p w14:paraId="51FFC06E" w14:textId="77777777" w:rsidR="00A305B0" w:rsidRDefault="00A305B0"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5B86192C" w14:textId="77777777" w:rsidR="00A305B0" w:rsidRDefault="00A305B0" w:rsidP="0098460C">
            <w:pPr>
              <w:pStyle w:val="TableText"/>
            </w:pPr>
          </w:p>
        </w:tc>
      </w:tr>
      <w:tr w:rsidR="00A305B0" w:rsidRPr="00DD2508" w14:paraId="4F5CD740" w14:textId="77777777" w:rsidTr="0098460C">
        <w:trPr>
          <w:trHeight w:val="260"/>
          <w:jc w:val="center"/>
        </w:trPr>
        <w:tc>
          <w:tcPr>
            <w:tcW w:w="1255" w:type="dxa"/>
          </w:tcPr>
          <w:p w14:paraId="5787A0E9" w14:textId="33FDFC2F" w:rsidR="00A305B0" w:rsidRPr="00DE3E14" w:rsidRDefault="008B5C21" w:rsidP="0098460C">
            <w:pPr>
              <w:pStyle w:val="TableText"/>
            </w:pPr>
            <w:r>
              <w:t>2017</w:t>
            </w:r>
          </w:p>
        </w:tc>
        <w:tc>
          <w:tcPr>
            <w:tcW w:w="900" w:type="dxa"/>
          </w:tcPr>
          <w:p w14:paraId="0934E9BB" w14:textId="188168C7" w:rsidR="00A305B0" w:rsidRPr="00DE3E14" w:rsidRDefault="008B5C21" w:rsidP="0098460C">
            <w:pPr>
              <w:pStyle w:val="TableText"/>
            </w:pPr>
            <w:r>
              <w:t>2020-21</w:t>
            </w:r>
          </w:p>
        </w:tc>
        <w:tc>
          <w:tcPr>
            <w:tcW w:w="900" w:type="dxa"/>
            <w:tcBorders>
              <w:bottom w:val="single" w:sz="4" w:space="0" w:color="auto"/>
            </w:tcBorders>
          </w:tcPr>
          <w:p w14:paraId="4DF771AA" w14:textId="0941B54A" w:rsidR="00A305B0" w:rsidRPr="00DE3E14" w:rsidRDefault="008315B6" w:rsidP="0098460C">
            <w:pPr>
              <w:pStyle w:val="TableText"/>
            </w:pPr>
            <w:r>
              <w:t>25</w:t>
            </w:r>
          </w:p>
        </w:tc>
        <w:tc>
          <w:tcPr>
            <w:tcW w:w="1890" w:type="dxa"/>
            <w:tcBorders>
              <w:bottom w:val="single" w:sz="4" w:space="0" w:color="auto"/>
            </w:tcBorders>
          </w:tcPr>
          <w:p w14:paraId="28D07295" w14:textId="055362FD" w:rsidR="00A305B0" w:rsidRDefault="008315B6" w:rsidP="0098460C">
            <w:pPr>
              <w:pStyle w:val="TableText"/>
            </w:pPr>
            <w:r>
              <w:t>4</w:t>
            </w:r>
          </w:p>
        </w:tc>
        <w:tc>
          <w:tcPr>
            <w:tcW w:w="1694" w:type="dxa"/>
            <w:tcBorders>
              <w:top w:val="single" w:sz="4" w:space="0" w:color="auto"/>
              <w:left w:val="single" w:sz="12" w:space="0" w:color="auto"/>
              <w:bottom w:val="single" w:sz="12" w:space="0" w:color="auto"/>
              <w:right w:val="single" w:sz="12" w:space="0" w:color="auto"/>
            </w:tcBorders>
            <w:shd w:val="clear" w:color="auto" w:fill="auto"/>
          </w:tcPr>
          <w:p w14:paraId="5FC88037" w14:textId="7D1000FC" w:rsidR="00A305B0" w:rsidRDefault="008315B6" w:rsidP="0098460C">
            <w:pPr>
              <w:pStyle w:val="TableText"/>
            </w:pPr>
            <w:r>
              <w:t>19</w:t>
            </w:r>
          </w:p>
        </w:tc>
        <w:tc>
          <w:tcPr>
            <w:tcW w:w="2520" w:type="dxa"/>
            <w:tcBorders>
              <w:top w:val="single" w:sz="4" w:space="0" w:color="auto"/>
              <w:left w:val="single" w:sz="12" w:space="0" w:color="auto"/>
              <w:bottom w:val="single" w:sz="12" w:space="0" w:color="auto"/>
              <w:right w:val="single" w:sz="12" w:space="0" w:color="auto"/>
            </w:tcBorders>
            <w:shd w:val="clear" w:color="auto" w:fill="auto"/>
          </w:tcPr>
          <w:p w14:paraId="29EB9FC3" w14:textId="03729ADB" w:rsidR="00A305B0" w:rsidRDefault="008315B6" w:rsidP="0098460C">
            <w:pPr>
              <w:pStyle w:val="TableText"/>
            </w:pPr>
            <w:r>
              <w:t>90%</w:t>
            </w:r>
          </w:p>
        </w:tc>
      </w:tr>
    </w:tbl>
    <w:p w14:paraId="5D2F0443" w14:textId="197FF9FD" w:rsidR="009502D1" w:rsidRDefault="009502D1" w:rsidP="009502D1">
      <w:pPr>
        <w:jc w:val="center"/>
        <w:rPr>
          <w:rFonts w:ascii="Calibri" w:hAnsi="Calibri"/>
          <w:b/>
          <w:szCs w:val="23"/>
        </w:rPr>
      </w:pPr>
    </w:p>
    <w:p w14:paraId="5DA61FCC" w14:textId="491EBA7D" w:rsidR="00DA251D" w:rsidRDefault="00DA251D" w:rsidP="009502D1">
      <w:pPr>
        <w:jc w:val="center"/>
        <w:rPr>
          <w:rFonts w:ascii="Calibri" w:hAnsi="Calibri"/>
          <w:b/>
          <w:szCs w:val="23"/>
        </w:rPr>
      </w:pPr>
    </w:p>
    <w:p w14:paraId="3AE51E09" w14:textId="02BE03D5" w:rsidR="00DA251D" w:rsidRDefault="00DA251D" w:rsidP="009502D1">
      <w:pPr>
        <w:jc w:val="center"/>
        <w:rPr>
          <w:rFonts w:ascii="Calibri" w:hAnsi="Calibri"/>
          <w:b/>
          <w:szCs w:val="23"/>
        </w:rPr>
      </w:pPr>
    </w:p>
    <w:p w14:paraId="4EA5BD92" w14:textId="476676E9" w:rsidR="00DA251D" w:rsidRDefault="00DA251D" w:rsidP="009502D1">
      <w:pPr>
        <w:jc w:val="center"/>
        <w:rPr>
          <w:rFonts w:ascii="Calibri" w:hAnsi="Calibri"/>
          <w:b/>
          <w:szCs w:val="23"/>
        </w:rPr>
      </w:pPr>
    </w:p>
    <w:p w14:paraId="40ECB691" w14:textId="77777777" w:rsidR="00DA251D" w:rsidRDefault="00DA251D" w:rsidP="009502D1">
      <w:pPr>
        <w:jc w:val="center"/>
        <w:rPr>
          <w:rFonts w:ascii="Calibri" w:hAnsi="Calibri"/>
          <w:b/>
          <w:szCs w:val="23"/>
        </w:rPr>
      </w:pPr>
    </w:p>
    <w:p w14:paraId="6FC3703A" w14:textId="77777777" w:rsidR="009502D1" w:rsidRPr="00DD2508" w:rsidRDefault="009502D1" w:rsidP="009502D1">
      <w:pPr>
        <w:pStyle w:val="TableHeader"/>
      </w:pPr>
      <w:r>
        <w:t xml:space="preserve">Percent Achieving at Least Level 3 </w:t>
      </w:r>
      <w:r w:rsidRPr="00DD2508">
        <w:t>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92"/>
        <w:gridCol w:w="16"/>
        <w:gridCol w:w="974"/>
        <w:gridCol w:w="990"/>
        <w:gridCol w:w="990"/>
        <w:gridCol w:w="1074"/>
        <w:gridCol w:w="1012"/>
      </w:tblGrid>
      <w:tr w:rsidR="00A305B0" w:rsidRPr="00DD2508" w14:paraId="2C0CD127" w14:textId="77777777" w:rsidTr="0098460C">
        <w:trPr>
          <w:jc w:val="center"/>
        </w:trPr>
        <w:tc>
          <w:tcPr>
            <w:tcW w:w="1184" w:type="dxa"/>
            <w:vMerge w:val="restart"/>
            <w:vAlign w:val="center"/>
          </w:tcPr>
          <w:p w14:paraId="0FBD1CB3" w14:textId="77777777" w:rsidR="00A305B0" w:rsidRPr="00DE3E14" w:rsidRDefault="00A305B0" w:rsidP="0098460C">
            <w:pPr>
              <w:pStyle w:val="TableText"/>
            </w:pPr>
            <w:r w:rsidRPr="00DE3E14">
              <w:t>Cohort Designation</w:t>
            </w:r>
          </w:p>
        </w:tc>
        <w:tc>
          <w:tcPr>
            <w:tcW w:w="1982" w:type="dxa"/>
            <w:gridSpan w:val="3"/>
          </w:tcPr>
          <w:p w14:paraId="6502B8CC" w14:textId="29869E38" w:rsidR="00A305B0" w:rsidRPr="00DE3E14" w:rsidRDefault="008B5C21" w:rsidP="0098460C">
            <w:pPr>
              <w:pStyle w:val="TableText"/>
            </w:pPr>
            <w:r>
              <w:t>2018-19</w:t>
            </w:r>
          </w:p>
        </w:tc>
        <w:tc>
          <w:tcPr>
            <w:tcW w:w="1980" w:type="dxa"/>
            <w:gridSpan w:val="2"/>
          </w:tcPr>
          <w:p w14:paraId="347845AC" w14:textId="4E981F41" w:rsidR="00A305B0" w:rsidRPr="00DE3E14" w:rsidRDefault="008B5C21" w:rsidP="0098460C">
            <w:pPr>
              <w:pStyle w:val="TableText"/>
            </w:pPr>
            <w:r>
              <w:t>2019-20</w:t>
            </w:r>
          </w:p>
        </w:tc>
        <w:tc>
          <w:tcPr>
            <w:tcW w:w="2086" w:type="dxa"/>
            <w:gridSpan w:val="2"/>
          </w:tcPr>
          <w:p w14:paraId="0515AFFB" w14:textId="219D765C" w:rsidR="00A305B0" w:rsidRPr="00DE3E14" w:rsidRDefault="008B5C21" w:rsidP="0098460C">
            <w:pPr>
              <w:pStyle w:val="TableText"/>
            </w:pPr>
            <w:r>
              <w:t>2020</w:t>
            </w:r>
            <w:r w:rsidR="00A305B0">
              <w:t>-20</w:t>
            </w:r>
            <w:r>
              <w:t>1</w:t>
            </w:r>
          </w:p>
        </w:tc>
      </w:tr>
      <w:tr w:rsidR="00A305B0" w:rsidRPr="00DD2508" w14:paraId="13B0903A" w14:textId="77777777" w:rsidTr="0098460C">
        <w:trPr>
          <w:jc w:val="center"/>
        </w:trPr>
        <w:tc>
          <w:tcPr>
            <w:tcW w:w="1184" w:type="dxa"/>
            <w:vMerge/>
          </w:tcPr>
          <w:p w14:paraId="02C09C04" w14:textId="77777777" w:rsidR="00A305B0" w:rsidRPr="00DE3E14" w:rsidRDefault="00A305B0" w:rsidP="0098460C">
            <w:pPr>
              <w:pStyle w:val="TableText"/>
            </w:pPr>
          </w:p>
        </w:tc>
        <w:tc>
          <w:tcPr>
            <w:tcW w:w="1008" w:type="dxa"/>
            <w:gridSpan w:val="2"/>
            <w:tcBorders>
              <w:bottom w:val="single" w:sz="12" w:space="0" w:color="auto"/>
            </w:tcBorders>
          </w:tcPr>
          <w:p w14:paraId="322DE693" w14:textId="77777777" w:rsidR="00A305B0" w:rsidRPr="00DE3E14" w:rsidRDefault="00A305B0" w:rsidP="0098460C">
            <w:pPr>
              <w:pStyle w:val="TableText"/>
            </w:pPr>
            <w:r w:rsidRPr="00DE3E14">
              <w:t>Number in Cohort</w:t>
            </w:r>
          </w:p>
        </w:tc>
        <w:tc>
          <w:tcPr>
            <w:tcW w:w="974" w:type="dxa"/>
            <w:tcBorders>
              <w:bottom w:val="single" w:sz="12" w:space="0" w:color="auto"/>
            </w:tcBorders>
          </w:tcPr>
          <w:p w14:paraId="25F353D2" w14:textId="77777777" w:rsidR="00A305B0" w:rsidRPr="00DE3E14" w:rsidRDefault="00A305B0" w:rsidP="0098460C">
            <w:pPr>
              <w:pStyle w:val="TableText"/>
            </w:pPr>
            <w:r w:rsidRPr="00DE3E14">
              <w:t xml:space="preserve">Percent </w:t>
            </w:r>
            <w:r>
              <w:t>Passing</w:t>
            </w:r>
          </w:p>
        </w:tc>
        <w:tc>
          <w:tcPr>
            <w:tcW w:w="990" w:type="dxa"/>
          </w:tcPr>
          <w:p w14:paraId="02E37589" w14:textId="77777777" w:rsidR="00A305B0" w:rsidRPr="00DE3E14" w:rsidRDefault="00A305B0" w:rsidP="0098460C">
            <w:pPr>
              <w:pStyle w:val="TableText"/>
            </w:pPr>
            <w:r w:rsidRPr="00DE3E14">
              <w:t>Number in Cohort</w:t>
            </w:r>
          </w:p>
        </w:tc>
        <w:tc>
          <w:tcPr>
            <w:tcW w:w="990" w:type="dxa"/>
            <w:tcBorders>
              <w:bottom w:val="single" w:sz="8" w:space="0" w:color="auto"/>
            </w:tcBorders>
          </w:tcPr>
          <w:p w14:paraId="6B20BEDE" w14:textId="77777777" w:rsidR="00A305B0" w:rsidRPr="00DE3E14" w:rsidRDefault="00A305B0" w:rsidP="0098460C">
            <w:pPr>
              <w:pStyle w:val="TableText"/>
            </w:pPr>
            <w:r w:rsidRPr="00DE3E14">
              <w:t xml:space="preserve">Percent </w:t>
            </w:r>
            <w:r>
              <w:t>Passing</w:t>
            </w:r>
          </w:p>
        </w:tc>
        <w:tc>
          <w:tcPr>
            <w:tcW w:w="1074" w:type="dxa"/>
            <w:tcBorders>
              <w:bottom w:val="single" w:sz="8" w:space="0" w:color="auto"/>
            </w:tcBorders>
          </w:tcPr>
          <w:p w14:paraId="62472A08" w14:textId="77777777" w:rsidR="00A305B0" w:rsidRPr="00DE3E14" w:rsidRDefault="00A305B0" w:rsidP="0098460C">
            <w:pPr>
              <w:pStyle w:val="TableText"/>
            </w:pPr>
            <w:r w:rsidRPr="00DE3E14">
              <w:t>Number in Cohort</w:t>
            </w:r>
          </w:p>
        </w:tc>
        <w:tc>
          <w:tcPr>
            <w:tcW w:w="1012" w:type="dxa"/>
            <w:tcBorders>
              <w:bottom w:val="single" w:sz="8" w:space="0" w:color="auto"/>
            </w:tcBorders>
          </w:tcPr>
          <w:p w14:paraId="5F246E83" w14:textId="77777777" w:rsidR="00A305B0" w:rsidRPr="00DE3E14" w:rsidRDefault="00A305B0" w:rsidP="0098460C">
            <w:pPr>
              <w:pStyle w:val="TableText"/>
            </w:pPr>
            <w:r w:rsidRPr="00DE3E14">
              <w:t xml:space="preserve">Percent </w:t>
            </w:r>
            <w:r>
              <w:t>Passing</w:t>
            </w:r>
          </w:p>
        </w:tc>
      </w:tr>
      <w:tr w:rsidR="008315B6" w:rsidRPr="00DD2508" w14:paraId="3EC3D4A1" w14:textId="77777777" w:rsidTr="0098460C">
        <w:trPr>
          <w:jc w:val="center"/>
        </w:trPr>
        <w:tc>
          <w:tcPr>
            <w:tcW w:w="1184" w:type="dxa"/>
          </w:tcPr>
          <w:p w14:paraId="7799C57A" w14:textId="6BFCE17E" w:rsidR="008315B6" w:rsidRPr="00DE3E14" w:rsidRDefault="008315B6" w:rsidP="008315B6">
            <w:pPr>
              <w:pStyle w:val="TableText"/>
            </w:pPr>
            <w:r>
              <w:t>2017</w:t>
            </w:r>
          </w:p>
        </w:tc>
        <w:tc>
          <w:tcPr>
            <w:tcW w:w="992" w:type="dxa"/>
          </w:tcPr>
          <w:p w14:paraId="6139D34D" w14:textId="77777777" w:rsidR="008315B6" w:rsidRPr="00DE3E14" w:rsidRDefault="008315B6" w:rsidP="008315B6">
            <w:pPr>
              <w:pStyle w:val="TableText"/>
            </w:pPr>
          </w:p>
        </w:tc>
        <w:tc>
          <w:tcPr>
            <w:tcW w:w="990" w:type="dxa"/>
            <w:gridSpan w:val="2"/>
          </w:tcPr>
          <w:p w14:paraId="026C2617" w14:textId="77777777" w:rsidR="008315B6" w:rsidRPr="00DE3E14" w:rsidRDefault="008315B6" w:rsidP="008315B6">
            <w:pPr>
              <w:pStyle w:val="TableText"/>
            </w:pPr>
          </w:p>
        </w:tc>
        <w:tc>
          <w:tcPr>
            <w:tcW w:w="990" w:type="dxa"/>
            <w:tcBorders>
              <w:top w:val="single" w:sz="12" w:space="0" w:color="auto"/>
              <w:bottom w:val="single" w:sz="4" w:space="0" w:color="auto"/>
              <w:right w:val="single" w:sz="8" w:space="0" w:color="auto"/>
            </w:tcBorders>
            <w:shd w:val="clear" w:color="auto" w:fill="auto"/>
          </w:tcPr>
          <w:p w14:paraId="09FDF02A" w14:textId="77777777" w:rsidR="008315B6" w:rsidRPr="00DE3E14" w:rsidRDefault="008315B6" w:rsidP="008315B6">
            <w:pPr>
              <w:pStyle w:val="TableText"/>
            </w:pP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6DF32A63" w14:textId="77777777" w:rsidR="008315B6" w:rsidRPr="00DE3E14" w:rsidRDefault="008315B6" w:rsidP="008315B6">
            <w:pPr>
              <w:pStyle w:val="TableText"/>
            </w:pP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24AE1277" w14:textId="497ED776" w:rsidR="008315B6" w:rsidRPr="00DE3E14" w:rsidRDefault="008315B6" w:rsidP="008315B6">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4507292F" w14:textId="6B226595" w:rsidR="008315B6" w:rsidRPr="00DE3E14" w:rsidRDefault="008315B6" w:rsidP="008315B6">
            <w:pPr>
              <w:pStyle w:val="TableText"/>
            </w:pPr>
            <w:r>
              <w:t>90</w:t>
            </w:r>
            <w:r>
              <w:t>%</w:t>
            </w:r>
          </w:p>
        </w:tc>
      </w:tr>
      <w:tr w:rsidR="008315B6" w:rsidRPr="00DD2508" w14:paraId="20F638FB" w14:textId="77777777" w:rsidTr="0098460C">
        <w:trPr>
          <w:jc w:val="center"/>
        </w:trPr>
        <w:tc>
          <w:tcPr>
            <w:tcW w:w="1184" w:type="dxa"/>
          </w:tcPr>
          <w:p w14:paraId="79C0F52F" w14:textId="44CC819C" w:rsidR="008315B6" w:rsidRPr="00DE3E14" w:rsidRDefault="008315B6" w:rsidP="008315B6">
            <w:pPr>
              <w:pStyle w:val="TableText"/>
            </w:pPr>
            <w:r>
              <w:t>2018</w:t>
            </w:r>
          </w:p>
        </w:tc>
        <w:tc>
          <w:tcPr>
            <w:tcW w:w="992" w:type="dxa"/>
          </w:tcPr>
          <w:p w14:paraId="7A8AFDF6" w14:textId="77777777" w:rsidR="008315B6" w:rsidRPr="00DE3E14" w:rsidRDefault="008315B6" w:rsidP="008315B6">
            <w:pPr>
              <w:pStyle w:val="TableText"/>
            </w:pPr>
          </w:p>
        </w:tc>
        <w:tc>
          <w:tcPr>
            <w:tcW w:w="990" w:type="dxa"/>
            <w:gridSpan w:val="2"/>
          </w:tcPr>
          <w:p w14:paraId="413DCA2B" w14:textId="77777777" w:rsidR="008315B6" w:rsidRPr="00DE3E14" w:rsidRDefault="008315B6" w:rsidP="008315B6">
            <w:pPr>
              <w:pStyle w:val="TableText"/>
            </w:pPr>
          </w:p>
        </w:tc>
        <w:tc>
          <w:tcPr>
            <w:tcW w:w="990" w:type="dxa"/>
            <w:tcBorders>
              <w:bottom w:val="single" w:sz="4" w:space="0" w:color="auto"/>
              <w:right w:val="single" w:sz="8" w:space="0" w:color="auto"/>
            </w:tcBorders>
            <w:shd w:val="clear" w:color="auto" w:fill="auto"/>
          </w:tcPr>
          <w:p w14:paraId="7A819A93" w14:textId="77777777" w:rsidR="008315B6" w:rsidRPr="00DE3E14" w:rsidRDefault="008315B6" w:rsidP="008315B6">
            <w:pPr>
              <w:pStyle w:val="TableText"/>
            </w:pP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5913FA21" w14:textId="77777777" w:rsidR="008315B6" w:rsidRPr="00DE3E14" w:rsidRDefault="008315B6" w:rsidP="008315B6">
            <w:pPr>
              <w:pStyle w:val="TableText"/>
            </w:pP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6E6FA039" w14:textId="3D880208" w:rsidR="008315B6" w:rsidRPr="00DE3E14" w:rsidRDefault="008315B6" w:rsidP="008315B6">
            <w:pPr>
              <w:pStyle w:val="TableText"/>
            </w:pPr>
            <w:r>
              <w:t>30</w:t>
            </w: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4B629B8C" w14:textId="7055006A" w:rsidR="008315B6" w:rsidRPr="00DE3E14" w:rsidRDefault="008315B6" w:rsidP="008315B6">
            <w:pPr>
              <w:pStyle w:val="TableText"/>
            </w:pPr>
            <w:r>
              <w:t>91</w:t>
            </w:r>
            <w:r>
              <w:t>%</w:t>
            </w:r>
          </w:p>
        </w:tc>
      </w:tr>
      <w:tr w:rsidR="008315B6" w:rsidRPr="00DD2508" w14:paraId="74402E94" w14:textId="77777777" w:rsidTr="0098460C">
        <w:trPr>
          <w:jc w:val="center"/>
        </w:trPr>
        <w:tc>
          <w:tcPr>
            <w:tcW w:w="1184" w:type="dxa"/>
          </w:tcPr>
          <w:p w14:paraId="20F4B6F9" w14:textId="29C351BE" w:rsidR="008315B6" w:rsidRPr="00DE3E14" w:rsidRDefault="008315B6" w:rsidP="008315B6">
            <w:pPr>
              <w:pStyle w:val="TableText"/>
            </w:pPr>
            <w:r>
              <w:t>2019</w:t>
            </w:r>
          </w:p>
        </w:tc>
        <w:tc>
          <w:tcPr>
            <w:tcW w:w="992" w:type="dxa"/>
            <w:shd w:val="clear" w:color="auto" w:fill="B3B3B3"/>
          </w:tcPr>
          <w:p w14:paraId="671C345D" w14:textId="77777777" w:rsidR="008315B6" w:rsidRPr="00DE3E14" w:rsidRDefault="008315B6" w:rsidP="008315B6">
            <w:pPr>
              <w:pStyle w:val="TableText"/>
            </w:pPr>
          </w:p>
        </w:tc>
        <w:tc>
          <w:tcPr>
            <w:tcW w:w="990" w:type="dxa"/>
            <w:gridSpan w:val="2"/>
            <w:shd w:val="clear" w:color="auto" w:fill="B3B3B3"/>
          </w:tcPr>
          <w:p w14:paraId="4011BFAF" w14:textId="77777777" w:rsidR="008315B6" w:rsidRPr="00DE3E14" w:rsidRDefault="008315B6" w:rsidP="008315B6">
            <w:pPr>
              <w:pStyle w:val="TableText"/>
            </w:pPr>
          </w:p>
        </w:tc>
        <w:tc>
          <w:tcPr>
            <w:tcW w:w="990" w:type="dxa"/>
            <w:tcBorders>
              <w:top w:val="single" w:sz="4" w:space="0" w:color="auto"/>
              <w:bottom w:val="single" w:sz="4" w:space="0" w:color="auto"/>
              <w:right w:val="single" w:sz="4" w:space="0" w:color="auto"/>
            </w:tcBorders>
            <w:shd w:val="clear" w:color="auto" w:fill="auto"/>
          </w:tcPr>
          <w:p w14:paraId="03F365A2" w14:textId="77777777" w:rsidR="008315B6" w:rsidRPr="00DE3E14" w:rsidRDefault="008315B6" w:rsidP="008315B6">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B8EAF26" w14:textId="77777777" w:rsidR="008315B6" w:rsidRPr="00DE3E14" w:rsidRDefault="008315B6" w:rsidP="008315B6">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1BE22098" w14:textId="3DCACDFD" w:rsidR="008315B6" w:rsidRPr="00DE3E14" w:rsidRDefault="008315B6" w:rsidP="008315B6">
            <w:pPr>
              <w:pStyle w:val="TableText"/>
            </w:pPr>
            <w:r>
              <w:t>52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4D092E40" w14:textId="68BC154F" w:rsidR="008315B6" w:rsidRPr="00DE3E14" w:rsidRDefault="00347C7D" w:rsidP="008315B6">
            <w:pPr>
              <w:pStyle w:val="TableText"/>
            </w:pPr>
            <w:r>
              <w:t>8</w:t>
            </w:r>
            <w:r w:rsidR="008315B6">
              <w:t>9%</w:t>
            </w:r>
          </w:p>
        </w:tc>
      </w:tr>
      <w:tr w:rsidR="008315B6" w:rsidRPr="00DD2508" w14:paraId="05D105FC" w14:textId="77777777" w:rsidTr="0098460C">
        <w:trPr>
          <w:jc w:val="center"/>
        </w:trPr>
        <w:tc>
          <w:tcPr>
            <w:tcW w:w="1184" w:type="dxa"/>
          </w:tcPr>
          <w:p w14:paraId="5D47E218" w14:textId="40E9978E" w:rsidR="008315B6" w:rsidRPr="00DE3E14" w:rsidRDefault="008315B6" w:rsidP="008315B6">
            <w:pPr>
              <w:pStyle w:val="TableText"/>
            </w:pPr>
            <w:r>
              <w:t>2020</w:t>
            </w:r>
          </w:p>
        </w:tc>
        <w:tc>
          <w:tcPr>
            <w:tcW w:w="992" w:type="dxa"/>
            <w:shd w:val="clear" w:color="auto" w:fill="B3B3B3"/>
          </w:tcPr>
          <w:p w14:paraId="29B99626" w14:textId="77777777" w:rsidR="008315B6" w:rsidRPr="00DE3E14" w:rsidRDefault="008315B6" w:rsidP="008315B6">
            <w:pPr>
              <w:pStyle w:val="TableText"/>
            </w:pPr>
          </w:p>
        </w:tc>
        <w:tc>
          <w:tcPr>
            <w:tcW w:w="990" w:type="dxa"/>
            <w:gridSpan w:val="2"/>
            <w:shd w:val="clear" w:color="auto" w:fill="B3B3B3"/>
          </w:tcPr>
          <w:p w14:paraId="4FC20B11" w14:textId="77777777" w:rsidR="008315B6" w:rsidRPr="00DE3E14" w:rsidRDefault="008315B6" w:rsidP="008315B6">
            <w:pPr>
              <w:pStyle w:val="TableText"/>
            </w:pPr>
          </w:p>
        </w:tc>
        <w:tc>
          <w:tcPr>
            <w:tcW w:w="990" w:type="dxa"/>
            <w:tcBorders>
              <w:top w:val="single" w:sz="4" w:space="0" w:color="auto"/>
              <w:bottom w:val="single" w:sz="4" w:space="0" w:color="auto"/>
              <w:right w:val="single" w:sz="4" w:space="0" w:color="auto"/>
            </w:tcBorders>
            <w:shd w:val="clear" w:color="auto" w:fill="B3B3B3"/>
          </w:tcPr>
          <w:p w14:paraId="622F6E27" w14:textId="77777777" w:rsidR="008315B6" w:rsidRPr="00DE3E14" w:rsidRDefault="008315B6" w:rsidP="008315B6">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50A1CC59" w14:textId="77777777" w:rsidR="008315B6" w:rsidRPr="00DE3E14" w:rsidRDefault="008315B6" w:rsidP="008315B6">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6A2947AC" w14:textId="3506B019" w:rsidR="008315B6" w:rsidRPr="00DE3E14" w:rsidRDefault="008315B6" w:rsidP="008315B6">
            <w:pPr>
              <w:pStyle w:val="TableText"/>
            </w:pPr>
            <w:r>
              <w:t>60</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4CAF8D6A" w14:textId="5C9E7656" w:rsidR="008315B6" w:rsidRPr="00DE3E14" w:rsidRDefault="008315B6" w:rsidP="008315B6">
            <w:pPr>
              <w:pStyle w:val="TableText"/>
            </w:pPr>
            <w:r>
              <w:t>N/A</w:t>
            </w:r>
          </w:p>
        </w:tc>
      </w:tr>
    </w:tbl>
    <w:p w14:paraId="77E9065A" w14:textId="77777777" w:rsidR="009502D1" w:rsidRPr="00335888" w:rsidRDefault="009502D1" w:rsidP="009502D1">
      <w:pPr>
        <w:rPr>
          <w:rFonts w:ascii="Calibri" w:hAnsi="Calibri"/>
          <w:b/>
          <w:szCs w:val="23"/>
        </w:rPr>
      </w:pPr>
    </w:p>
    <w:p w14:paraId="41A59133" w14:textId="77777777" w:rsidR="009502D1" w:rsidRPr="00FF7D0A" w:rsidRDefault="009502D1" w:rsidP="009502D1">
      <w:pPr>
        <w:rPr>
          <w:rFonts w:ascii="Calibri" w:hAnsi="Calibri"/>
          <w:szCs w:val="23"/>
        </w:rPr>
      </w:pPr>
    </w:p>
    <w:p w14:paraId="07C01797" w14:textId="09F0E87C" w:rsidR="009502D1" w:rsidRPr="00D473C8" w:rsidRDefault="00887F40" w:rsidP="00403CFF">
      <w:pPr>
        <w:pStyle w:val="MeasureTitle"/>
      </w:pPr>
      <w:r>
        <w:t>Goal 4</w:t>
      </w:r>
      <w:r w:rsidR="009502D1" w:rsidRPr="00D473C8">
        <w:t>: Absolute Measure</w:t>
      </w:r>
    </w:p>
    <w:p w14:paraId="6F55A8F6" w14:textId="0AD445D7" w:rsidR="009502D1" w:rsidRDefault="009502D1" w:rsidP="009502D1">
      <w:pPr>
        <w:pStyle w:val="MeasureText"/>
      </w:pPr>
      <w:r w:rsidRPr="00DD2508">
        <w:lastRenderedPageBreak/>
        <w:t xml:space="preserve">Each year, the Performance </w:t>
      </w:r>
      <w:r>
        <w:t xml:space="preserve">Index </w:t>
      </w:r>
      <w:r w:rsidRPr="00DD2508">
        <w:t>(</w:t>
      </w:r>
      <w:r>
        <w:t>“PI”</w:t>
      </w:r>
      <w:r w:rsidRPr="00DD2508">
        <w:t>)</w:t>
      </w:r>
      <w:r w:rsidRPr="003B0694">
        <w:rPr>
          <w:rStyle w:val="FootnoteReference"/>
        </w:rPr>
        <w:t xml:space="preserve"> </w:t>
      </w:r>
      <w:r w:rsidRPr="00DD2508">
        <w:t xml:space="preserve">on the Regents </w:t>
      </w:r>
      <w:r w:rsidR="007D1202">
        <w:t>mathematics</w:t>
      </w:r>
      <w:r w:rsidRPr="00DD2508">
        <w:t xml:space="preserve"> exam of students completing their fourth year in the Accountability Cohort will meet th</w:t>
      </w:r>
      <w:r>
        <w:t>e state’s Measure of Interim Progress</w:t>
      </w:r>
      <w:r w:rsidR="002B4B25">
        <w:t xml:space="preserve"> </w:t>
      </w:r>
      <w:r w:rsidRPr="00DD2508">
        <w:t>(</w:t>
      </w:r>
      <w:r>
        <w:t>“MIP”</w:t>
      </w:r>
      <w:r w:rsidRPr="00DD2508">
        <w:t xml:space="preserve">) set forth in the state’s </w:t>
      </w:r>
      <w:r>
        <w:t>ESSA</w:t>
      </w:r>
      <w:r w:rsidRPr="00DD2508">
        <w:t xml:space="preserve"> accountability system.</w:t>
      </w:r>
    </w:p>
    <w:p w14:paraId="04CB29B1" w14:textId="77777777" w:rsidR="008B5C21" w:rsidRDefault="008B5C21" w:rsidP="008B5C21">
      <w:r>
        <w:t>The calculation of this measure is not required for 2020-21.</w:t>
      </w:r>
    </w:p>
    <w:p w14:paraId="34225A4D" w14:textId="74D1F653" w:rsidR="009502D1" w:rsidRPr="00D473C8" w:rsidRDefault="00887F40" w:rsidP="009502D1">
      <w:pPr>
        <w:pStyle w:val="MeasureTitle"/>
      </w:pPr>
      <w:r>
        <w:t>Goal 4</w:t>
      </w:r>
      <w:r w:rsidR="009502D1" w:rsidRPr="00DD2508">
        <w:t>: Comparative Measure</w:t>
      </w:r>
    </w:p>
    <w:p w14:paraId="24EF19DC" w14:textId="12B147B5" w:rsidR="009502D1" w:rsidRDefault="009502D1" w:rsidP="009502D1">
      <w:pPr>
        <w:pStyle w:val="MeasureText"/>
      </w:pPr>
      <w:r w:rsidRPr="003B5EE1">
        <w:t xml:space="preserve">Each year, </w:t>
      </w:r>
      <w:r>
        <w:t xml:space="preserve">the percent of students in the high school Total Cohort meeting or exceeding Common Core expectations on </w:t>
      </w:r>
      <w:r w:rsidR="006B4A0D">
        <w:t xml:space="preserve">a </w:t>
      </w:r>
      <w:proofErr w:type="gramStart"/>
      <w:r w:rsidR="006B4A0D">
        <w:t>Regents mathematics exams</w:t>
      </w:r>
      <w:proofErr w:type="gramEnd"/>
      <w:r>
        <w:t xml:space="preserve"> will exceed the percentage of comparable students in the district meeting or exceeding Common Core expectations.</w:t>
      </w:r>
    </w:p>
    <w:p w14:paraId="50819EB2" w14:textId="77777777" w:rsidR="008B5C21" w:rsidRDefault="008B5C21" w:rsidP="008B5C21">
      <w:r>
        <w:t>The calculation of this measure is not required for 2020-21.</w:t>
      </w:r>
    </w:p>
    <w:p w14:paraId="0FC09FBC" w14:textId="5F2369FC" w:rsidR="009502D1" w:rsidRPr="00D473C8" w:rsidRDefault="00887F40" w:rsidP="009502D1">
      <w:pPr>
        <w:pStyle w:val="MeasureTitle"/>
      </w:pPr>
      <w:r>
        <w:t>Goal 4</w:t>
      </w:r>
      <w:r w:rsidR="009502D1" w:rsidRPr="00DD2508">
        <w:t>: Comparative Measure</w:t>
      </w:r>
    </w:p>
    <w:p w14:paraId="6BBCBA26" w14:textId="4273D64B" w:rsidR="009502D1" w:rsidRDefault="009502D1" w:rsidP="009502D1">
      <w:pPr>
        <w:pStyle w:val="MeasureText"/>
      </w:pPr>
      <w:r w:rsidRPr="003B5EE1">
        <w:t xml:space="preserve">Each year, </w:t>
      </w:r>
      <w:r>
        <w:t xml:space="preserve">the percent of students in the high school Total Cohort at least partially meeting Common Core expectations on </w:t>
      </w:r>
      <w:r w:rsidR="006B4A0D">
        <w:t xml:space="preserve">a </w:t>
      </w:r>
      <w:proofErr w:type="gramStart"/>
      <w:r w:rsidR="006B4A0D">
        <w:t>Regents mathematics exams</w:t>
      </w:r>
      <w:proofErr w:type="gramEnd"/>
      <w:r>
        <w:t xml:space="preserve"> will exceed the percentage of comparable students in the district at least partially meeting Common Core expectations.</w:t>
      </w:r>
    </w:p>
    <w:p w14:paraId="73A47B27" w14:textId="6A465145" w:rsidR="009502D1" w:rsidRPr="00D473C8" w:rsidRDefault="008B5C21" w:rsidP="009502D1">
      <w:r>
        <w:t>The calculation of this measure is not required for 2020-21.</w:t>
      </w:r>
    </w:p>
    <w:p w14:paraId="08158D4B" w14:textId="3AAC9888" w:rsidR="009502D1" w:rsidRPr="00D473C8" w:rsidRDefault="00887F40" w:rsidP="009502D1">
      <w:pPr>
        <w:pStyle w:val="MeasureTitle"/>
      </w:pPr>
      <w:r>
        <w:t>Goal 4</w:t>
      </w:r>
      <w:r w:rsidR="009502D1" w:rsidRPr="00DD2508">
        <w:t>: Comparative Measure</w:t>
      </w:r>
    </w:p>
    <w:p w14:paraId="3DDA2F1E" w14:textId="348321BE" w:rsidR="009502D1" w:rsidRDefault="009502D1" w:rsidP="009502D1">
      <w:pPr>
        <w:pStyle w:val="MeasureText"/>
      </w:pPr>
      <w:r w:rsidRPr="003B5EE1">
        <w:t xml:space="preserve">Each year, the Performance </w:t>
      </w:r>
      <w:r>
        <w:t>Index</w:t>
      </w:r>
      <w:r w:rsidRPr="003B5EE1">
        <w:t xml:space="preserve"> (</w:t>
      </w:r>
      <w:r>
        <w:t>“PI”</w:t>
      </w:r>
      <w:r w:rsidRPr="003B5EE1">
        <w:t xml:space="preserve">) in </w:t>
      </w:r>
      <w:r>
        <w:t xml:space="preserve">Regents </w:t>
      </w:r>
      <w:r w:rsidR="006B4A0D">
        <w:t>mathematics</w:t>
      </w:r>
      <w:r w:rsidRPr="003B5EE1">
        <w:t xml:space="preserve"> of students in the fourth year of their high school Accountability Cohort will exceed t</w:t>
      </w:r>
      <w:r>
        <w:t xml:space="preserve">hat of comparable students from the </w:t>
      </w:r>
      <w:r w:rsidRPr="003B5EE1">
        <w:t>school district</w:t>
      </w:r>
      <w:r>
        <w:t xml:space="preserve"> of comparison</w:t>
      </w:r>
      <w:r w:rsidRPr="003B5EE1">
        <w:t>.</w:t>
      </w:r>
    </w:p>
    <w:p w14:paraId="29BA4161" w14:textId="42697EC4" w:rsidR="009502D1" w:rsidRDefault="008B5C21" w:rsidP="009502D1">
      <w:r>
        <w:t>The calculation of this measure is not required for 2020-21.</w:t>
      </w:r>
    </w:p>
    <w:p w14:paraId="696ADD9C" w14:textId="5093DD81" w:rsidR="009502D1" w:rsidRPr="006846D8" w:rsidRDefault="00887F40" w:rsidP="009502D1">
      <w:pPr>
        <w:pStyle w:val="MeasureTitle"/>
      </w:pPr>
      <w:r>
        <w:t>Goal 4</w:t>
      </w:r>
      <w:r w:rsidR="009502D1" w:rsidRPr="00DD2508">
        <w:t xml:space="preserve">: </w:t>
      </w:r>
      <w:r w:rsidR="009502D1">
        <w:t>Growth</w:t>
      </w:r>
      <w:r w:rsidR="009502D1" w:rsidRPr="00DD2508">
        <w:t xml:space="preserve"> Measure</w:t>
      </w:r>
    </w:p>
    <w:p w14:paraId="43C48C6D" w14:textId="1B0E4AD7" w:rsidR="009502D1" w:rsidRDefault="009502D1" w:rsidP="009502D1">
      <w:pPr>
        <w:pStyle w:val="MeasureText"/>
        <w:rPr>
          <w:i/>
        </w:rPr>
      </w:pPr>
      <w:r w:rsidRPr="003B5EE1">
        <w:t xml:space="preserve">Each year, </w:t>
      </w:r>
      <w:r>
        <w:t>50</w:t>
      </w:r>
      <w:r w:rsidRPr="003B5EE1">
        <w:t xml:space="preserve"> percent of students in the high school Accountability Cohort who did not score proficient on their New York State 8</w:t>
      </w:r>
      <w:r w:rsidRPr="003B5EE1">
        <w:rPr>
          <w:vertAlign w:val="superscript"/>
        </w:rPr>
        <w:t>th</w:t>
      </w:r>
      <w:r w:rsidRPr="003B5EE1">
        <w:t xml:space="preserve"> grade </w:t>
      </w:r>
      <w:r w:rsidR="006B4A0D">
        <w:t>mathematics</w:t>
      </w:r>
      <w:r w:rsidRPr="003B5EE1">
        <w:t xml:space="preserve"> exam will meet the college and career read</w:t>
      </w:r>
      <w:r>
        <w:t>iness</w:t>
      </w:r>
      <w:r w:rsidRPr="003B5EE1">
        <w:t xml:space="preserve"> standard (currently scoring </w:t>
      </w:r>
      <w:r>
        <w:t>at Performance Level 4 and fully</w:t>
      </w:r>
      <w:r>
        <w:rPr>
          <w:rFonts w:asciiTheme="minorHAnsi" w:hAnsiTheme="minorHAnsi"/>
        </w:rPr>
        <w:t xml:space="preserve"> meeting Common Core expectations on </w:t>
      </w:r>
      <w:r w:rsidR="006B4A0D">
        <w:rPr>
          <w:rFonts w:asciiTheme="minorHAnsi" w:hAnsiTheme="minorHAnsi"/>
        </w:rPr>
        <w:t>a Regents mathematics exam)</w:t>
      </w:r>
      <w:r w:rsidRPr="003B5EE1">
        <w:t xml:space="preserve"> by the completion of their fourth year in the cohort.</w:t>
      </w:r>
    </w:p>
    <w:p w14:paraId="664C1ADF" w14:textId="77777777" w:rsidR="009502D1" w:rsidRPr="00DD2508" w:rsidRDefault="009502D1" w:rsidP="009502D1">
      <w:pPr>
        <w:pStyle w:val="Heading2"/>
      </w:pPr>
      <w:r w:rsidRPr="00DD2508">
        <w:t>Method</w:t>
      </w:r>
    </w:p>
    <w:p w14:paraId="10AFBEB9" w14:textId="2A99D0AC" w:rsidR="009502D1" w:rsidRDefault="009502D1" w:rsidP="009502D1">
      <w:pPr>
        <w:rPr>
          <w:rFonts w:ascii="Calibri" w:hAnsi="Calibri"/>
          <w:szCs w:val="23"/>
        </w:rPr>
      </w:pPr>
      <w:r w:rsidRPr="00DD2508">
        <w:rPr>
          <w:rFonts w:ascii="Calibri" w:hAnsi="Calibri"/>
          <w:szCs w:val="23"/>
        </w:rPr>
        <w:t xml:space="preserve">The school </w:t>
      </w:r>
      <w:r>
        <w:rPr>
          <w:rFonts w:ascii="Calibri" w:hAnsi="Calibri"/>
          <w:szCs w:val="23"/>
        </w:rPr>
        <w:t xml:space="preserve">demonstrates the effectiveness of its </w:t>
      </w:r>
      <w:r w:rsidR="006B4A0D">
        <w:rPr>
          <w:rFonts w:ascii="Calibri" w:hAnsi="Calibri"/>
          <w:szCs w:val="23"/>
        </w:rPr>
        <w:t xml:space="preserve">mathematics </w:t>
      </w:r>
      <w:r>
        <w:rPr>
          <w:rFonts w:ascii="Calibri" w:hAnsi="Calibri"/>
          <w:szCs w:val="23"/>
        </w:rPr>
        <w:t xml:space="preserve">program by enabling students who were not meeting proficiency standards in the eighth grade to </w:t>
      </w:r>
      <w:r w:rsidR="006B4A0D">
        <w:rPr>
          <w:rFonts w:ascii="Calibri" w:hAnsi="Calibri"/>
          <w:szCs w:val="23"/>
        </w:rPr>
        <w:t xml:space="preserve">grow </w:t>
      </w:r>
      <w:proofErr w:type="gramStart"/>
      <w:r w:rsidR="006B4A0D">
        <w:rPr>
          <w:rFonts w:ascii="Calibri" w:hAnsi="Calibri"/>
          <w:szCs w:val="23"/>
        </w:rPr>
        <w:t>to meeting</w:t>
      </w:r>
      <w:proofErr w:type="gramEnd"/>
      <w:r>
        <w:rPr>
          <w:rFonts w:ascii="Calibri" w:hAnsi="Calibri"/>
          <w:szCs w:val="23"/>
        </w:rPr>
        <w:t xml:space="preserve"> the </w:t>
      </w:r>
      <w:r w:rsidR="006B4A0D">
        <w:rPr>
          <w:rFonts w:ascii="Calibri" w:hAnsi="Calibri"/>
          <w:szCs w:val="23"/>
        </w:rPr>
        <w:t>mathematics</w:t>
      </w:r>
      <w:r>
        <w:rPr>
          <w:rFonts w:ascii="Calibri" w:hAnsi="Calibri"/>
          <w:szCs w:val="23"/>
        </w:rPr>
        <w:t xml:space="preserve"> requirement for the college and career readiness standard.  </w:t>
      </w:r>
    </w:p>
    <w:p w14:paraId="41346D4A" w14:textId="77777777" w:rsidR="009502D1" w:rsidRPr="00DD2508" w:rsidRDefault="009502D1" w:rsidP="009502D1">
      <w:pPr>
        <w:pStyle w:val="Heading2"/>
      </w:pPr>
      <w:r w:rsidRPr="00347C7D">
        <w:t>Results And Evaluation</w:t>
      </w:r>
    </w:p>
    <w:p w14:paraId="353AF15D" w14:textId="3E5494CB" w:rsidR="00184492" w:rsidRDefault="00DA251D" w:rsidP="009502D1">
      <w:pPr>
        <w:rPr>
          <w:rFonts w:ascii="Calibri" w:hAnsi="Calibri"/>
          <w:szCs w:val="23"/>
        </w:rPr>
      </w:pPr>
      <w:r>
        <w:rPr>
          <w:rFonts w:ascii="Calibri" w:hAnsi="Calibri"/>
          <w:szCs w:val="23"/>
        </w:rPr>
        <w:t>Troy Prep students do not take the New York State 8</w:t>
      </w:r>
      <w:r w:rsidRPr="00DA251D">
        <w:rPr>
          <w:rFonts w:ascii="Calibri" w:hAnsi="Calibri"/>
          <w:szCs w:val="23"/>
          <w:vertAlign w:val="superscript"/>
        </w:rPr>
        <w:t>th</w:t>
      </w:r>
      <w:r>
        <w:rPr>
          <w:rFonts w:ascii="Calibri" w:hAnsi="Calibri"/>
          <w:szCs w:val="23"/>
        </w:rPr>
        <w:t xml:space="preserve"> Grade Mathematics Exam, therefore there are no numbers to compare in column a.</w:t>
      </w:r>
    </w:p>
    <w:p w14:paraId="3B19FAC0" w14:textId="77777777" w:rsidR="00184492" w:rsidRPr="00DD2508" w:rsidRDefault="00184492" w:rsidP="009502D1">
      <w:pPr>
        <w:rPr>
          <w:rFonts w:ascii="Calibri" w:hAnsi="Calibri"/>
          <w:szCs w:val="23"/>
        </w:rPr>
      </w:pPr>
    </w:p>
    <w:p w14:paraId="2E6DC601" w14:textId="4AC0577C" w:rsidR="009502D1" w:rsidRDefault="009502D1" w:rsidP="009502D1">
      <w:pPr>
        <w:pStyle w:val="TableHeader"/>
      </w:pPr>
      <w:r>
        <w:t xml:space="preserve">Percent Achieving at Least Performance Level 4 on </w:t>
      </w:r>
      <w:r w:rsidR="006B4A0D">
        <w:t>a Mathematics Regents E</w:t>
      </w:r>
      <w:r>
        <w:t xml:space="preserve">xam among Students </w:t>
      </w:r>
    </w:p>
    <w:p w14:paraId="4451D3C1" w14:textId="16F6D982" w:rsidR="009502D1" w:rsidRDefault="009502D1" w:rsidP="009502D1">
      <w:pPr>
        <w:pStyle w:val="TableHeader"/>
      </w:pPr>
      <w:r>
        <w:t>Who Were Not Proficient in the 8</w:t>
      </w:r>
      <w:r w:rsidRPr="0087215D">
        <w:rPr>
          <w:vertAlign w:val="superscript"/>
        </w:rPr>
        <w:t>th</w:t>
      </w:r>
      <w:r>
        <w:t xml:space="preserve"> Grade </w:t>
      </w:r>
      <w:r w:rsidRPr="00DD2508">
        <w:t xml:space="preserve">by Fourth Year Accountability </w:t>
      </w:r>
      <w:proofErr w:type="gramStart"/>
      <w:r w:rsidRPr="00DD2508">
        <w:t>Cohort</w:t>
      </w:r>
      <w:proofErr w:type="gramEnd"/>
      <w:r>
        <w:t xml:space="preserve"> </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350"/>
        <w:gridCol w:w="1350"/>
        <w:gridCol w:w="1350"/>
        <w:gridCol w:w="1350"/>
        <w:gridCol w:w="2483"/>
      </w:tblGrid>
      <w:tr w:rsidR="00A14633" w:rsidRPr="00DD2508" w14:paraId="33CAE29A" w14:textId="77777777" w:rsidTr="0098460C">
        <w:trPr>
          <w:trHeight w:val="758"/>
          <w:jc w:val="center"/>
        </w:trPr>
        <w:tc>
          <w:tcPr>
            <w:tcW w:w="1400" w:type="dxa"/>
            <w:shd w:val="clear" w:color="auto" w:fill="auto"/>
            <w:vAlign w:val="center"/>
          </w:tcPr>
          <w:p w14:paraId="762D72BF" w14:textId="77777777" w:rsidR="00A14633" w:rsidRPr="00DE3E14" w:rsidRDefault="00A14633" w:rsidP="0098460C">
            <w:pPr>
              <w:pStyle w:val="TableText"/>
            </w:pPr>
            <w:r w:rsidRPr="00DE3E14">
              <w:lastRenderedPageBreak/>
              <w:t>Cohort Designation</w:t>
            </w:r>
          </w:p>
        </w:tc>
        <w:tc>
          <w:tcPr>
            <w:tcW w:w="1350" w:type="dxa"/>
          </w:tcPr>
          <w:p w14:paraId="4897FA61" w14:textId="77777777" w:rsidR="00A14633" w:rsidRDefault="00A14633" w:rsidP="0098460C">
            <w:pPr>
              <w:pStyle w:val="TableText"/>
            </w:pPr>
          </w:p>
          <w:p w14:paraId="096D31C9" w14:textId="77777777" w:rsidR="00A14633" w:rsidRDefault="00A14633" w:rsidP="0098460C">
            <w:pPr>
              <w:pStyle w:val="TableText"/>
            </w:pPr>
            <w:r>
              <w:t>Fourth</w:t>
            </w:r>
          </w:p>
          <w:p w14:paraId="3D1B97A1" w14:textId="77777777" w:rsidR="00A14633" w:rsidRPr="00DE3E14" w:rsidRDefault="00A14633" w:rsidP="0098460C">
            <w:pPr>
              <w:pStyle w:val="TableText"/>
            </w:pPr>
            <w:r>
              <w:t>Year</w:t>
            </w:r>
          </w:p>
        </w:tc>
        <w:tc>
          <w:tcPr>
            <w:tcW w:w="1350" w:type="dxa"/>
            <w:vAlign w:val="center"/>
          </w:tcPr>
          <w:p w14:paraId="6694CA63" w14:textId="77777777" w:rsidR="00A14633" w:rsidRPr="00DE3E14" w:rsidRDefault="00A14633" w:rsidP="0098460C">
            <w:pPr>
              <w:pStyle w:val="TableText"/>
            </w:pPr>
            <w:r>
              <w:t>Number in Cohort not Proficient in 8</w:t>
            </w:r>
            <w:r w:rsidRPr="57F71D55">
              <w:rPr>
                <w:vertAlign w:val="superscript"/>
              </w:rPr>
              <w:t>th</w:t>
            </w:r>
            <w:r>
              <w:t xml:space="preserve"> Grade </w:t>
            </w:r>
          </w:p>
          <w:p w14:paraId="75251C11" w14:textId="77777777" w:rsidR="00A14633" w:rsidRPr="00DE3E14" w:rsidRDefault="00A14633" w:rsidP="0098460C">
            <w:pPr>
              <w:pStyle w:val="TableText"/>
            </w:pPr>
            <w:r>
              <w:t>(a)</w:t>
            </w:r>
          </w:p>
        </w:tc>
        <w:tc>
          <w:tcPr>
            <w:tcW w:w="1350" w:type="dxa"/>
            <w:vAlign w:val="center"/>
          </w:tcPr>
          <w:p w14:paraId="2BB2ABCB" w14:textId="77777777" w:rsidR="00A14633" w:rsidRDefault="00A14633" w:rsidP="0098460C">
            <w:pPr>
              <w:pStyle w:val="TableText"/>
            </w:pPr>
            <w:r>
              <w:t xml:space="preserve">Number Exempted with No Valid Score </w:t>
            </w:r>
          </w:p>
          <w:p w14:paraId="007548B7" w14:textId="77777777" w:rsidR="00A14633" w:rsidRDefault="00A14633" w:rsidP="0098460C">
            <w:pPr>
              <w:pStyle w:val="TableText"/>
            </w:pPr>
            <w:r>
              <w:t>(b)</w:t>
            </w:r>
          </w:p>
        </w:tc>
        <w:tc>
          <w:tcPr>
            <w:tcW w:w="1350" w:type="dxa"/>
            <w:vAlign w:val="center"/>
          </w:tcPr>
          <w:p w14:paraId="2E735046" w14:textId="77777777" w:rsidR="00A14633" w:rsidRDefault="00A14633" w:rsidP="0098460C">
            <w:pPr>
              <w:pStyle w:val="TableText"/>
            </w:pPr>
            <w:r>
              <w:t>Number Scoring at Least Level 4 (c)</w:t>
            </w:r>
          </w:p>
        </w:tc>
        <w:tc>
          <w:tcPr>
            <w:tcW w:w="2483" w:type="dxa"/>
            <w:tcBorders>
              <w:top w:val="single" w:sz="12" w:space="0" w:color="auto"/>
              <w:left w:val="single" w:sz="12" w:space="0" w:color="auto"/>
              <w:right w:val="single" w:sz="12" w:space="0" w:color="auto"/>
            </w:tcBorders>
            <w:vAlign w:val="center"/>
          </w:tcPr>
          <w:p w14:paraId="18DB6553" w14:textId="5FE38ADF" w:rsidR="00A14633" w:rsidRPr="00DE3E14" w:rsidRDefault="00A14633" w:rsidP="0098460C">
            <w:pPr>
              <w:pStyle w:val="TableText"/>
            </w:pPr>
            <w:r>
              <w:t>Percent Scoring at Least Level 4 Among Students with Valid Score</w:t>
            </w:r>
            <w:r>
              <w:br/>
              <w:t>(c)/(a-b)</w:t>
            </w:r>
          </w:p>
        </w:tc>
      </w:tr>
      <w:tr w:rsidR="00A14633" w:rsidRPr="00DD2508" w14:paraId="7B42EFDF" w14:textId="77777777" w:rsidTr="0098460C">
        <w:trPr>
          <w:trHeight w:val="228"/>
          <w:jc w:val="center"/>
        </w:trPr>
        <w:tc>
          <w:tcPr>
            <w:tcW w:w="1400" w:type="dxa"/>
          </w:tcPr>
          <w:p w14:paraId="09640E0B" w14:textId="4BA26B88" w:rsidR="00A14633" w:rsidRPr="00DE3E14" w:rsidRDefault="008B5C21" w:rsidP="0098460C">
            <w:pPr>
              <w:pStyle w:val="TableText"/>
            </w:pPr>
            <w:r>
              <w:t>2015</w:t>
            </w:r>
          </w:p>
        </w:tc>
        <w:tc>
          <w:tcPr>
            <w:tcW w:w="1350" w:type="dxa"/>
          </w:tcPr>
          <w:p w14:paraId="5E7B80E4" w14:textId="6F3E942C" w:rsidR="00A14633" w:rsidRPr="00DE3E14" w:rsidRDefault="008B5C21" w:rsidP="0098460C">
            <w:pPr>
              <w:pStyle w:val="TableText"/>
            </w:pPr>
            <w:r>
              <w:t>2018-19</w:t>
            </w:r>
          </w:p>
        </w:tc>
        <w:tc>
          <w:tcPr>
            <w:tcW w:w="1350" w:type="dxa"/>
          </w:tcPr>
          <w:p w14:paraId="430C9890" w14:textId="77777777" w:rsidR="00A14633" w:rsidRPr="00DE3E14" w:rsidRDefault="00A14633" w:rsidP="0098460C">
            <w:pPr>
              <w:pStyle w:val="TableText"/>
            </w:pPr>
          </w:p>
        </w:tc>
        <w:tc>
          <w:tcPr>
            <w:tcW w:w="1350" w:type="dxa"/>
          </w:tcPr>
          <w:p w14:paraId="5545937E" w14:textId="77777777" w:rsidR="00A14633" w:rsidRDefault="00A14633" w:rsidP="0098460C">
            <w:pPr>
              <w:pStyle w:val="TableText"/>
            </w:pPr>
            <w:r>
              <w:t>0</w:t>
            </w:r>
          </w:p>
        </w:tc>
        <w:tc>
          <w:tcPr>
            <w:tcW w:w="1350" w:type="dxa"/>
          </w:tcPr>
          <w:p w14:paraId="6938380A" w14:textId="77777777" w:rsidR="00A14633" w:rsidRDefault="00A14633" w:rsidP="0098460C">
            <w:pPr>
              <w:pStyle w:val="TableText"/>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2CCACDB9" w14:textId="77777777" w:rsidR="00A14633" w:rsidRPr="00DE3E14" w:rsidRDefault="00A14633" w:rsidP="0098460C">
            <w:pPr>
              <w:pStyle w:val="TableText"/>
              <w:rPr>
                <w:b/>
              </w:rPr>
            </w:pPr>
          </w:p>
        </w:tc>
      </w:tr>
      <w:tr w:rsidR="00A14633" w:rsidRPr="00DD2508" w14:paraId="6AEE691D" w14:textId="77777777" w:rsidTr="0098460C">
        <w:trPr>
          <w:trHeight w:val="228"/>
          <w:jc w:val="center"/>
        </w:trPr>
        <w:tc>
          <w:tcPr>
            <w:tcW w:w="1400" w:type="dxa"/>
          </w:tcPr>
          <w:p w14:paraId="51F92AA8" w14:textId="2605DCD5" w:rsidR="00A14633" w:rsidRPr="00DE3E14" w:rsidRDefault="008B5C21" w:rsidP="0098460C">
            <w:pPr>
              <w:pStyle w:val="TableText"/>
            </w:pPr>
            <w:r>
              <w:t>2016</w:t>
            </w:r>
          </w:p>
        </w:tc>
        <w:tc>
          <w:tcPr>
            <w:tcW w:w="1350" w:type="dxa"/>
          </w:tcPr>
          <w:p w14:paraId="5EE6578E" w14:textId="3CB95E8F" w:rsidR="00A14633" w:rsidRPr="00DE3E14" w:rsidRDefault="008B5C21" w:rsidP="0098460C">
            <w:pPr>
              <w:pStyle w:val="TableText"/>
            </w:pPr>
            <w:r>
              <w:t>2019-20</w:t>
            </w:r>
          </w:p>
        </w:tc>
        <w:tc>
          <w:tcPr>
            <w:tcW w:w="1350" w:type="dxa"/>
          </w:tcPr>
          <w:p w14:paraId="45B9CB56" w14:textId="77777777" w:rsidR="00A14633" w:rsidRPr="00DE3E14" w:rsidRDefault="00A14633" w:rsidP="0098460C">
            <w:pPr>
              <w:pStyle w:val="TableText"/>
            </w:pPr>
          </w:p>
        </w:tc>
        <w:tc>
          <w:tcPr>
            <w:tcW w:w="1350" w:type="dxa"/>
          </w:tcPr>
          <w:p w14:paraId="03BA798A" w14:textId="7CA4D8B7" w:rsidR="00A14633" w:rsidRDefault="00A14633" w:rsidP="0098460C">
            <w:pPr>
              <w:pStyle w:val="TableText"/>
            </w:pPr>
          </w:p>
        </w:tc>
        <w:tc>
          <w:tcPr>
            <w:tcW w:w="1350" w:type="dxa"/>
          </w:tcPr>
          <w:p w14:paraId="23D547B3" w14:textId="77777777" w:rsidR="00A14633" w:rsidRDefault="00A14633" w:rsidP="0098460C">
            <w:pPr>
              <w:pStyle w:val="TableText"/>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482C6A14" w14:textId="77777777" w:rsidR="00A14633" w:rsidRPr="00DE3E14" w:rsidRDefault="00A14633" w:rsidP="0098460C">
            <w:pPr>
              <w:pStyle w:val="TableText"/>
            </w:pPr>
          </w:p>
        </w:tc>
      </w:tr>
      <w:tr w:rsidR="00A14633" w:rsidRPr="00DD2508" w14:paraId="2AF48F26" w14:textId="77777777" w:rsidTr="0098460C">
        <w:trPr>
          <w:trHeight w:val="260"/>
          <w:jc w:val="center"/>
        </w:trPr>
        <w:tc>
          <w:tcPr>
            <w:tcW w:w="1400" w:type="dxa"/>
          </w:tcPr>
          <w:p w14:paraId="5743744C" w14:textId="32CC7BCA" w:rsidR="00A14633" w:rsidRPr="00DE3E14" w:rsidRDefault="008B5C21" w:rsidP="0098460C">
            <w:pPr>
              <w:pStyle w:val="TableText"/>
            </w:pPr>
            <w:r>
              <w:t>2017</w:t>
            </w:r>
          </w:p>
        </w:tc>
        <w:tc>
          <w:tcPr>
            <w:tcW w:w="1350" w:type="dxa"/>
          </w:tcPr>
          <w:p w14:paraId="51D15DB4" w14:textId="2F65C39D" w:rsidR="00A14633" w:rsidRPr="00DE3E14" w:rsidRDefault="008B5C21" w:rsidP="0098460C">
            <w:pPr>
              <w:pStyle w:val="TableText"/>
            </w:pPr>
            <w:r>
              <w:t>2020-21</w:t>
            </w:r>
          </w:p>
        </w:tc>
        <w:tc>
          <w:tcPr>
            <w:tcW w:w="1350" w:type="dxa"/>
            <w:tcBorders>
              <w:bottom w:val="single" w:sz="4" w:space="0" w:color="auto"/>
            </w:tcBorders>
          </w:tcPr>
          <w:p w14:paraId="680490EA" w14:textId="0FBCE01C" w:rsidR="00A14633" w:rsidRPr="00DE3E14" w:rsidRDefault="00A14633" w:rsidP="0098460C">
            <w:pPr>
              <w:pStyle w:val="TableText"/>
            </w:pPr>
          </w:p>
        </w:tc>
        <w:tc>
          <w:tcPr>
            <w:tcW w:w="1350" w:type="dxa"/>
            <w:tcBorders>
              <w:bottom w:val="single" w:sz="4" w:space="0" w:color="auto"/>
            </w:tcBorders>
          </w:tcPr>
          <w:p w14:paraId="123848A3" w14:textId="53F8ED85" w:rsidR="00A14633" w:rsidRDefault="00A14633" w:rsidP="0098460C">
            <w:pPr>
              <w:pStyle w:val="TableText"/>
            </w:pPr>
          </w:p>
        </w:tc>
        <w:tc>
          <w:tcPr>
            <w:tcW w:w="1350" w:type="dxa"/>
            <w:tcBorders>
              <w:bottom w:val="single" w:sz="4" w:space="0" w:color="auto"/>
            </w:tcBorders>
          </w:tcPr>
          <w:p w14:paraId="144750B6" w14:textId="096A7436" w:rsidR="00A14633" w:rsidRDefault="00A14633" w:rsidP="0098460C">
            <w:pPr>
              <w:pStyle w:val="TableText"/>
            </w:pPr>
          </w:p>
        </w:tc>
        <w:tc>
          <w:tcPr>
            <w:tcW w:w="2483" w:type="dxa"/>
            <w:tcBorders>
              <w:top w:val="single" w:sz="4" w:space="0" w:color="auto"/>
              <w:left w:val="single" w:sz="12" w:space="0" w:color="auto"/>
              <w:bottom w:val="single" w:sz="12" w:space="0" w:color="auto"/>
              <w:right w:val="single" w:sz="12" w:space="0" w:color="auto"/>
            </w:tcBorders>
            <w:shd w:val="clear" w:color="auto" w:fill="auto"/>
          </w:tcPr>
          <w:p w14:paraId="0EF01223" w14:textId="2AE0B41D" w:rsidR="00A14633" w:rsidRPr="00DE3E14" w:rsidRDefault="00A14633" w:rsidP="0098460C">
            <w:pPr>
              <w:pStyle w:val="TableText"/>
            </w:pPr>
          </w:p>
        </w:tc>
      </w:tr>
    </w:tbl>
    <w:p w14:paraId="5F24C61E" w14:textId="77777777" w:rsidR="009502D1" w:rsidRDefault="009502D1" w:rsidP="009502D1">
      <w:pPr>
        <w:rPr>
          <w:rFonts w:ascii="Calibri" w:hAnsi="Calibri"/>
          <w:szCs w:val="23"/>
        </w:rPr>
      </w:pPr>
    </w:p>
    <w:p w14:paraId="20D156A0" w14:textId="1D5345F7" w:rsidR="009502D1" w:rsidRPr="006846D8" w:rsidRDefault="00887F40" w:rsidP="009502D1">
      <w:pPr>
        <w:pStyle w:val="MeasureTitle"/>
      </w:pPr>
      <w:r>
        <w:t>Goal 4</w:t>
      </w:r>
      <w:r w:rsidR="009502D1" w:rsidRPr="00DD2508">
        <w:t xml:space="preserve">: </w:t>
      </w:r>
      <w:r w:rsidR="009502D1">
        <w:t>Growth</w:t>
      </w:r>
      <w:r w:rsidR="009502D1" w:rsidRPr="00DD2508">
        <w:t xml:space="preserve"> Measure</w:t>
      </w:r>
    </w:p>
    <w:p w14:paraId="19F4F6EB" w14:textId="331B2FC0" w:rsidR="009502D1" w:rsidRDefault="009502D1" w:rsidP="009502D1">
      <w:pPr>
        <w:pStyle w:val="MeasureText"/>
        <w:rPr>
          <w:i/>
        </w:rPr>
      </w:pPr>
      <w:r w:rsidRPr="003B5EE1">
        <w:t xml:space="preserve">Each year, </w:t>
      </w:r>
      <w:r>
        <w:t>75</w:t>
      </w:r>
      <w:r w:rsidRPr="003B5EE1">
        <w:t xml:space="preserve"> percent of students in the high school Accountability Cohort who did not score proficient on their New York State 8</w:t>
      </w:r>
      <w:r w:rsidRPr="003B5EE1">
        <w:rPr>
          <w:vertAlign w:val="superscript"/>
        </w:rPr>
        <w:t>th</w:t>
      </w:r>
      <w:r w:rsidRPr="003B5EE1">
        <w:t xml:space="preserve"> grade </w:t>
      </w:r>
      <w:r w:rsidR="006952E6">
        <w:t>mathematics</w:t>
      </w:r>
      <w:r w:rsidRPr="003B5EE1">
        <w:t xml:space="preserve"> exam will </w:t>
      </w:r>
      <w:r>
        <w:t xml:space="preserve">at least partially </w:t>
      </w:r>
      <w:r w:rsidRPr="003B5EE1">
        <w:t xml:space="preserve">meet </w:t>
      </w:r>
      <w:r>
        <w:t>Common Core expectations</w:t>
      </w:r>
      <w:r w:rsidRPr="003B5EE1">
        <w:t xml:space="preserve"> (currently scoring </w:t>
      </w:r>
      <w:r>
        <w:t xml:space="preserve">at Performance Level 3 </w:t>
      </w:r>
      <w:r>
        <w:rPr>
          <w:rFonts w:asciiTheme="minorHAnsi" w:hAnsiTheme="minorHAnsi"/>
        </w:rPr>
        <w:t xml:space="preserve">on </w:t>
      </w:r>
      <w:r w:rsidR="006952E6">
        <w:rPr>
          <w:rFonts w:asciiTheme="minorHAnsi" w:hAnsiTheme="minorHAnsi"/>
        </w:rPr>
        <w:t>a Regents mathematics exam)</w:t>
      </w:r>
      <w:r w:rsidRPr="003B5EE1">
        <w:t xml:space="preserve"> by the completion of their fourth year in the cohort.</w:t>
      </w:r>
    </w:p>
    <w:p w14:paraId="65B15116" w14:textId="77777777" w:rsidR="009502D1" w:rsidRPr="00DD2508" w:rsidRDefault="009502D1" w:rsidP="009502D1">
      <w:pPr>
        <w:pStyle w:val="Heading2"/>
      </w:pPr>
      <w:r w:rsidRPr="00DD2508">
        <w:t>Method</w:t>
      </w:r>
    </w:p>
    <w:p w14:paraId="5E80B047" w14:textId="30F5B546" w:rsidR="009502D1" w:rsidRDefault="009502D1" w:rsidP="009502D1">
      <w:pPr>
        <w:rPr>
          <w:rFonts w:ascii="Calibri" w:hAnsi="Calibri"/>
          <w:szCs w:val="23"/>
        </w:rPr>
      </w:pPr>
      <w:r w:rsidRPr="00DD2508">
        <w:rPr>
          <w:rFonts w:ascii="Calibri" w:hAnsi="Calibri"/>
          <w:szCs w:val="23"/>
        </w:rPr>
        <w:t xml:space="preserve">The school </w:t>
      </w:r>
      <w:r>
        <w:rPr>
          <w:rFonts w:ascii="Calibri" w:hAnsi="Calibri"/>
          <w:szCs w:val="23"/>
        </w:rPr>
        <w:t xml:space="preserve">demonstrates the effectiveness of its </w:t>
      </w:r>
      <w:r w:rsidR="006952E6">
        <w:rPr>
          <w:rFonts w:ascii="Calibri" w:hAnsi="Calibri"/>
          <w:szCs w:val="23"/>
        </w:rPr>
        <w:t>mathematics</w:t>
      </w:r>
      <w:r>
        <w:rPr>
          <w:rFonts w:ascii="Calibri" w:hAnsi="Calibri"/>
          <w:szCs w:val="23"/>
        </w:rPr>
        <w:t xml:space="preserve"> program by enabling students who were not meeting proficiency standards in the eighth grade to </w:t>
      </w:r>
      <w:r w:rsidR="006952E6">
        <w:rPr>
          <w:rFonts w:ascii="Calibri" w:hAnsi="Calibri"/>
          <w:szCs w:val="23"/>
        </w:rPr>
        <w:t xml:space="preserve">move to </w:t>
      </w:r>
      <w:r>
        <w:rPr>
          <w:rFonts w:ascii="Calibri" w:hAnsi="Calibri"/>
          <w:szCs w:val="23"/>
        </w:rPr>
        <w:t>meet</w:t>
      </w:r>
      <w:r w:rsidR="006952E6">
        <w:rPr>
          <w:rFonts w:ascii="Calibri" w:hAnsi="Calibri"/>
          <w:szCs w:val="23"/>
        </w:rPr>
        <w:t>ing</w:t>
      </w:r>
      <w:r>
        <w:rPr>
          <w:rFonts w:ascii="Calibri" w:hAnsi="Calibri"/>
          <w:szCs w:val="23"/>
        </w:rPr>
        <w:t xml:space="preserve"> the English requirement for graduation.  </w:t>
      </w:r>
    </w:p>
    <w:p w14:paraId="09F7743B" w14:textId="77777777" w:rsidR="009502D1" w:rsidRPr="00DD2508" w:rsidRDefault="009502D1" w:rsidP="009502D1">
      <w:pPr>
        <w:pStyle w:val="Heading2"/>
      </w:pPr>
      <w:r w:rsidRPr="00347C7D">
        <w:t>Results And Evaluation</w:t>
      </w:r>
    </w:p>
    <w:p w14:paraId="34B7064D" w14:textId="77777777" w:rsidR="00DA251D" w:rsidRDefault="00DA251D" w:rsidP="00DA251D">
      <w:pPr>
        <w:rPr>
          <w:rFonts w:ascii="Calibri" w:hAnsi="Calibri"/>
          <w:szCs w:val="23"/>
        </w:rPr>
      </w:pPr>
      <w:r>
        <w:rPr>
          <w:rFonts w:ascii="Calibri" w:hAnsi="Calibri"/>
          <w:szCs w:val="23"/>
        </w:rPr>
        <w:t>Troy Prep students do not take the New York State 8</w:t>
      </w:r>
      <w:r w:rsidRPr="00DA251D">
        <w:rPr>
          <w:rFonts w:ascii="Calibri" w:hAnsi="Calibri"/>
          <w:szCs w:val="23"/>
          <w:vertAlign w:val="superscript"/>
        </w:rPr>
        <w:t>th</w:t>
      </w:r>
      <w:r>
        <w:rPr>
          <w:rFonts w:ascii="Calibri" w:hAnsi="Calibri"/>
          <w:szCs w:val="23"/>
        </w:rPr>
        <w:t xml:space="preserve"> Grade Mathematics Exam, therefore there are no numbers to compare in column a.</w:t>
      </w:r>
    </w:p>
    <w:p w14:paraId="02282C12" w14:textId="77777777" w:rsidR="00184492" w:rsidRPr="00DD2508" w:rsidRDefault="00184492" w:rsidP="009502D1">
      <w:pPr>
        <w:rPr>
          <w:rFonts w:ascii="Calibri" w:hAnsi="Calibri"/>
          <w:szCs w:val="23"/>
        </w:rPr>
      </w:pPr>
    </w:p>
    <w:p w14:paraId="4CFDE64C" w14:textId="60D17F0F" w:rsidR="009502D1" w:rsidRDefault="009502D1" w:rsidP="009502D1">
      <w:pPr>
        <w:pStyle w:val="TableHeader"/>
      </w:pPr>
      <w:r>
        <w:t xml:space="preserve">Percent Achieving at Least Performance Level 3 on </w:t>
      </w:r>
      <w:r w:rsidR="006952E6">
        <w:t>a Mathematics Regents E</w:t>
      </w:r>
      <w:r>
        <w:t xml:space="preserve">xam among Students </w:t>
      </w:r>
    </w:p>
    <w:p w14:paraId="4378D5A4" w14:textId="77777777" w:rsidR="009502D1" w:rsidRDefault="009502D1" w:rsidP="009502D1">
      <w:pPr>
        <w:pStyle w:val="TableHeader"/>
      </w:pPr>
      <w:r>
        <w:t>Who Were Not Proficient in the 8</w:t>
      </w:r>
      <w:r w:rsidRPr="0087215D">
        <w:rPr>
          <w:vertAlign w:val="superscript"/>
        </w:rPr>
        <w:t>th</w:t>
      </w:r>
      <w:r>
        <w:t xml:space="preserve"> Grade </w:t>
      </w:r>
      <w:r w:rsidRPr="00DD2508">
        <w:t>by Fourth Year Accountability Cohort</w:t>
      </w:r>
      <w:r>
        <w:t xml:space="preserve"> </w:t>
      </w:r>
      <w:r w:rsidRPr="7D51821A">
        <w:rPr>
          <w:rStyle w:val="FootnoteReference"/>
          <w:b/>
          <w:bCs/>
        </w:rPr>
        <w:footnoteReference w:id="5"/>
      </w:r>
      <w:r w:rsidRPr="00DD2508">
        <w:t xml:space="preserve"> </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1350"/>
        <w:gridCol w:w="1350"/>
        <w:gridCol w:w="1350"/>
        <w:gridCol w:w="1350"/>
        <w:gridCol w:w="2483"/>
      </w:tblGrid>
      <w:tr w:rsidR="00D40D26" w:rsidRPr="00D40D26" w14:paraId="646223A7" w14:textId="77777777" w:rsidTr="0098460C">
        <w:trPr>
          <w:trHeight w:val="758"/>
          <w:jc w:val="center"/>
        </w:trPr>
        <w:tc>
          <w:tcPr>
            <w:tcW w:w="1400" w:type="dxa"/>
            <w:shd w:val="clear" w:color="auto" w:fill="auto"/>
            <w:vAlign w:val="center"/>
          </w:tcPr>
          <w:p w14:paraId="531766FB" w14:textId="77777777" w:rsidR="00D40D26" w:rsidRPr="00D40D26" w:rsidRDefault="00D40D26" w:rsidP="00D40D26">
            <w:pPr>
              <w:spacing w:after="0"/>
              <w:jc w:val="center"/>
              <w:rPr>
                <w:rFonts w:ascii="Calibri" w:hAnsi="Calibri"/>
                <w:sz w:val="20"/>
              </w:rPr>
            </w:pPr>
            <w:r w:rsidRPr="00D40D26">
              <w:rPr>
                <w:rFonts w:ascii="Calibri" w:hAnsi="Calibri"/>
                <w:sz w:val="20"/>
              </w:rPr>
              <w:t>Cohort Designation</w:t>
            </w:r>
          </w:p>
        </w:tc>
        <w:tc>
          <w:tcPr>
            <w:tcW w:w="1350" w:type="dxa"/>
          </w:tcPr>
          <w:p w14:paraId="43D69728" w14:textId="77777777" w:rsidR="00D40D26" w:rsidRPr="00D40D26" w:rsidRDefault="00D40D26" w:rsidP="00D40D26">
            <w:pPr>
              <w:spacing w:after="0"/>
              <w:jc w:val="center"/>
              <w:rPr>
                <w:rFonts w:ascii="Calibri" w:hAnsi="Calibri"/>
                <w:sz w:val="20"/>
              </w:rPr>
            </w:pPr>
          </w:p>
          <w:p w14:paraId="1A71A98F" w14:textId="77777777" w:rsidR="00D40D26" w:rsidRPr="00D40D26" w:rsidRDefault="00D40D26" w:rsidP="00D40D26">
            <w:pPr>
              <w:spacing w:after="0"/>
              <w:jc w:val="center"/>
              <w:rPr>
                <w:rFonts w:ascii="Calibri" w:hAnsi="Calibri"/>
                <w:sz w:val="20"/>
              </w:rPr>
            </w:pPr>
            <w:r w:rsidRPr="00D40D26">
              <w:rPr>
                <w:rFonts w:ascii="Calibri" w:hAnsi="Calibri"/>
                <w:sz w:val="20"/>
              </w:rPr>
              <w:t>Fourth</w:t>
            </w:r>
          </w:p>
          <w:p w14:paraId="15828621" w14:textId="77777777" w:rsidR="00D40D26" w:rsidRPr="00D40D26" w:rsidRDefault="00D40D26" w:rsidP="00D40D26">
            <w:pPr>
              <w:spacing w:after="0"/>
              <w:jc w:val="center"/>
              <w:rPr>
                <w:rFonts w:ascii="Calibri" w:hAnsi="Calibri"/>
                <w:sz w:val="20"/>
              </w:rPr>
            </w:pPr>
            <w:r w:rsidRPr="00D40D26">
              <w:rPr>
                <w:rFonts w:ascii="Calibri" w:hAnsi="Calibri"/>
                <w:sz w:val="20"/>
              </w:rPr>
              <w:t>Year</w:t>
            </w:r>
          </w:p>
        </w:tc>
        <w:tc>
          <w:tcPr>
            <w:tcW w:w="1350" w:type="dxa"/>
            <w:vAlign w:val="center"/>
          </w:tcPr>
          <w:p w14:paraId="4B6055C9" w14:textId="77777777" w:rsidR="00D40D26" w:rsidRPr="00D40D26" w:rsidRDefault="00D40D26" w:rsidP="00D40D26">
            <w:pPr>
              <w:spacing w:after="0"/>
              <w:jc w:val="center"/>
              <w:rPr>
                <w:rFonts w:ascii="Calibri" w:hAnsi="Calibri"/>
                <w:sz w:val="20"/>
              </w:rPr>
            </w:pPr>
            <w:r w:rsidRPr="00D40D26">
              <w:rPr>
                <w:rFonts w:ascii="Calibri" w:hAnsi="Calibri"/>
                <w:sz w:val="20"/>
              </w:rPr>
              <w:t>Number in Cohort not Proficient in 8</w:t>
            </w:r>
            <w:r w:rsidRPr="00D40D26">
              <w:rPr>
                <w:rFonts w:ascii="Calibri" w:hAnsi="Calibri"/>
                <w:sz w:val="20"/>
                <w:vertAlign w:val="superscript"/>
              </w:rPr>
              <w:t>th</w:t>
            </w:r>
            <w:r w:rsidRPr="00D40D26">
              <w:rPr>
                <w:rFonts w:ascii="Calibri" w:hAnsi="Calibri"/>
                <w:sz w:val="20"/>
              </w:rPr>
              <w:t xml:space="preserve"> Grade </w:t>
            </w:r>
          </w:p>
          <w:p w14:paraId="49C7E9E5" w14:textId="77777777" w:rsidR="00D40D26" w:rsidRPr="00D40D26" w:rsidRDefault="00D40D26" w:rsidP="00D40D26">
            <w:pPr>
              <w:spacing w:after="0"/>
              <w:jc w:val="center"/>
              <w:rPr>
                <w:rFonts w:ascii="Calibri" w:hAnsi="Calibri"/>
                <w:sz w:val="20"/>
              </w:rPr>
            </w:pPr>
            <w:r w:rsidRPr="00D40D26">
              <w:rPr>
                <w:rFonts w:ascii="Calibri" w:hAnsi="Calibri"/>
                <w:sz w:val="20"/>
              </w:rPr>
              <w:t>(a)</w:t>
            </w:r>
          </w:p>
        </w:tc>
        <w:tc>
          <w:tcPr>
            <w:tcW w:w="1350" w:type="dxa"/>
            <w:vAlign w:val="center"/>
          </w:tcPr>
          <w:p w14:paraId="1564C2EC" w14:textId="77777777" w:rsidR="00D40D26" w:rsidRPr="00D40D26" w:rsidRDefault="00D40D26" w:rsidP="00D40D26">
            <w:pPr>
              <w:spacing w:after="0"/>
              <w:jc w:val="center"/>
              <w:rPr>
                <w:rFonts w:ascii="Calibri" w:hAnsi="Calibri"/>
                <w:sz w:val="20"/>
              </w:rPr>
            </w:pPr>
            <w:r w:rsidRPr="00D40D26">
              <w:rPr>
                <w:rFonts w:ascii="Calibri" w:hAnsi="Calibri"/>
                <w:sz w:val="20"/>
              </w:rPr>
              <w:t xml:space="preserve">Number Exempted with No Valid Score </w:t>
            </w:r>
          </w:p>
          <w:p w14:paraId="55968B36" w14:textId="77777777" w:rsidR="00D40D26" w:rsidRPr="00D40D26" w:rsidRDefault="00D40D26" w:rsidP="00D40D26">
            <w:pPr>
              <w:spacing w:after="0"/>
              <w:jc w:val="center"/>
              <w:rPr>
                <w:rFonts w:ascii="Calibri" w:hAnsi="Calibri"/>
                <w:sz w:val="20"/>
              </w:rPr>
            </w:pPr>
            <w:r w:rsidRPr="00D40D26">
              <w:rPr>
                <w:rFonts w:ascii="Calibri" w:hAnsi="Calibri"/>
                <w:sz w:val="20"/>
              </w:rPr>
              <w:t>(b)</w:t>
            </w:r>
          </w:p>
        </w:tc>
        <w:tc>
          <w:tcPr>
            <w:tcW w:w="1350" w:type="dxa"/>
            <w:vAlign w:val="center"/>
          </w:tcPr>
          <w:p w14:paraId="0B67684B" w14:textId="2DD48707" w:rsidR="00D40D26" w:rsidRPr="00D40D26" w:rsidRDefault="00D40D26" w:rsidP="00D40D26">
            <w:pPr>
              <w:spacing w:after="0"/>
              <w:jc w:val="center"/>
              <w:rPr>
                <w:rFonts w:ascii="Calibri" w:hAnsi="Calibri"/>
                <w:sz w:val="20"/>
              </w:rPr>
            </w:pPr>
            <w:r w:rsidRPr="00D40D26">
              <w:rPr>
                <w:rFonts w:ascii="Calibri" w:hAnsi="Calibri"/>
                <w:sz w:val="20"/>
              </w:rPr>
              <w:t>Number Scoring at Least Level</w:t>
            </w:r>
            <w:r>
              <w:rPr>
                <w:rFonts w:ascii="Calibri" w:hAnsi="Calibri"/>
                <w:sz w:val="20"/>
              </w:rPr>
              <w:t xml:space="preserve"> 3</w:t>
            </w:r>
            <w:r w:rsidRPr="00D40D26">
              <w:rPr>
                <w:rFonts w:ascii="Calibri" w:hAnsi="Calibri"/>
                <w:sz w:val="20"/>
              </w:rPr>
              <w:t xml:space="preserve"> (c)</w:t>
            </w:r>
          </w:p>
        </w:tc>
        <w:tc>
          <w:tcPr>
            <w:tcW w:w="2483" w:type="dxa"/>
            <w:tcBorders>
              <w:top w:val="single" w:sz="12" w:space="0" w:color="auto"/>
              <w:left w:val="single" w:sz="12" w:space="0" w:color="auto"/>
              <w:right w:val="single" w:sz="12" w:space="0" w:color="auto"/>
            </w:tcBorders>
            <w:vAlign w:val="center"/>
          </w:tcPr>
          <w:p w14:paraId="1918B846" w14:textId="77777777" w:rsidR="00D40D26" w:rsidRPr="00D40D26" w:rsidRDefault="00D40D26" w:rsidP="00D40D26">
            <w:pPr>
              <w:spacing w:after="0"/>
              <w:jc w:val="center"/>
              <w:rPr>
                <w:rFonts w:ascii="Calibri" w:hAnsi="Calibri"/>
                <w:sz w:val="20"/>
              </w:rPr>
            </w:pPr>
            <w:r w:rsidRPr="00D40D26">
              <w:rPr>
                <w:rFonts w:ascii="Calibri" w:hAnsi="Calibri"/>
                <w:sz w:val="20"/>
              </w:rPr>
              <w:t>Percent Scoring at Least Level 3 Among Students with Valid Score</w:t>
            </w:r>
            <w:r w:rsidRPr="00D40D26">
              <w:rPr>
                <w:rFonts w:ascii="Calibri" w:hAnsi="Calibri"/>
                <w:sz w:val="20"/>
              </w:rPr>
              <w:br/>
              <w:t>(c)/(a-b)</w:t>
            </w:r>
          </w:p>
        </w:tc>
      </w:tr>
      <w:tr w:rsidR="00D40D26" w:rsidRPr="00D40D26" w14:paraId="22E2F631" w14:textId="77777777" w:rsidTr="0098460C">
        <w:trPr>
          <w:trHeight w:val="228"/>
          <w:jc w:val="center"/>
        </w:trPr>
        <w:tc>
          <w:tcPr>
            <w:tcW w:w="1400" w:type="dxa"/>
          </w:tcPr>
          <w:p w14:paraId="23FEAFC9" w14:textId="7B41E3C9" w:rsidR="00D40D26" w:rsidRPr="00D40D26" w:rsidRDefault="008B5C21" w:rsidP="00D40D26">
            <w:pPr>
              <w:spacing w:after="0"/>
              <w:jc w:val="center"/>
              <w:rPr>
                <w:rFonts w:ascii="Calibri" w:hAnsi="Calibri"/>
                <w:sz w:val="20"/>
              </w:rPr>
            </w:pPr>
            <w:r>
              <w:rPr>
                <w:rFonts w:ascii="Calibri" w:hAnsi="Calibri"/>
                <w:sz w:val="20"/>
              </w:rPr>
              <w:t>2015</w:t>
            </w:r>
          </w:p>
        </w:tc>
        <w:tc>
          <w:tcPr>
            <w:tcW w:w="1350" w:type="dxa"/>
          </w:tcPr>
          <w:p w14:paraId="7CAA7DFE" w14:textId="515772F8" w:rsidR="00D40D26" w:rsidRPr="00D40D26" w:rsidRDefault="008B5C21" w:rsidP="00D40D26">
            <w:pPr>
              <w:spacing w:after="0"/>
              <w:jc w:val="center"/>
              <w:rPr>
                <w:rFonts w:ascii="Calibri" w:hAnsi="Calibri"/>
                <w:sz w:val="20"/>
              </w:rPr>
            </w:pPr>
            <w:r>
              <w:rPr>
                <w:rFonts w:ascii="Calibri" w:hAnsi="Calibri"/>
                <w:sz w:val="20"/>
              </w:rPr>
              <w:t>2018-19</w:t>
            </w:r>
          </w:p>
        </w:tc>
        <w:tc>
          <w:tcPr>
            <w:tcW w:w="1350" w:type="dxa"/>
          </w:tcPr>
          <w:p w14:paraId="33B08085" w14:textId="77777777" w:rsidR="00D40D26" w:rsidRPr="00D40D26" w:rsidRDefault="00D40D26" w:rsidP="00D40D26">
            <w:pPr>
              <w:spacing w:after="0"/>
              <w:jc w:val="center"/>
              <w:rPr>
                <w:rFonts w:ascii="Calibri" w:hAnsi="Calibri"/>
                <w:sz w:val="20"/>
              </w:rPr>
            </w:pPr>
          </w:p>
        </w:tc>
        <w:tc>
          <w:tcPr>
            <w:tcW w:w="1350" w:type="dxa"/>
          </w:tcPr>
          <w:p w14:paraId="153F42EA" w14:textId="77777777" w:rsidR="00D40D26" w:rsidRPr="00D40D26" w:rsidRDefault="00D40D26" w:rsidP="00D40D26">
            <w:pPr>
              <w:spacing w:after="0"/>
              <w:jc w:val="center"/>
              <w:rPr>
                <w:rFonts w:ascii="Calibri" w:hAnsi="Calibri"/>
                <w:sz w:val="20"/>
              </w:rPr>
            </w:pPr>
            <w:r w:rsidRPr="00D40D26">
              <w:rPr>
                <w:rFonts w:ascii="Calibri" w:hAnsi="Calibri"/>
                <w:sz w:val="20"/>
              </w:rPr>
              <w:t>0</w:t>
            </w:r>
          </w:p>
        </w:tc>
        <w:tc>
          <w:tcPr>
            <w:tcW w:w="1350" w:type="dxa"/>
          </w:tcPr>
          <w:p w14:paraId="36F6C142" w14:textId="77777777" w:rsidR="00D40D26" w:rsidRPr="00D40D26" w:rsidRDefault="00D40D26" w:rsidP="00D40D26">
            <w:pPr>
              <w:spacing w:after="0"/>
              <w:jc w:val="center"/>
              <w:rPr>
                <w:rFonts w:ascii="Calibri" w:hAnsi="Calibri"/>
                <w:sz w:val="20"/>
              </w:rPr>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3360C7EF" w14:textId="77777777" w:rsidR="00D40D26" w:rsidRPr="00D40D26" w:rsidRDefault="00D40D26" w:rsidP="00D40D26">
            <w:pPr>
              <w:spacing w:after="0"/>
              <w:jc w:val="center"/>
              <w:rPr>
                <w:rFonts w:ascii="Calibri" w:hAnsi="Calibri"/>
                <w:b/>
                <w:sz w:val="20"/>
              </w:rPr>
            </w:pPr>
          </w:p>
        </w:tc>
      </w:tr>
      <w:tr w:rsidR="00D40D26" w:rsidRPr="00D40D26" w14:paraId="5CCB84D0" w14:textId="77777777" w:rsidTr="0098460C">
        <w:trPr>
          <w:trHeight w:val="228"/>
          <w:jc w:val="center"/>
        </w:trPr>
        <w:tc>
          <w:tcPr>
            <w:tcW w:w="1400" w:type="dxa"/>
          </w:tcPr>
          <w:p w14:paraId="780B6B85" w14:textId="4D20FCE7" w:rsidR="00D40D26" w:rsidRPr="00D40D26" w:rsidRDefault="008B5C21" w:rsidP="00D40D26">
            <w:pPr>
              <w:spacing w:after="0"/>
              <w:jc w:val="center"/>
              <w:rPr>
                <w:rFonts w:ascii="Calibri" w:hAnsi="Calibri"/>
                <w:sz w:val="20"/>
              </w:rPr>
            </w:pPr>
            <w:r>
              <w:rPr>
                <w:rFonts w:ascii="Calibri" w:hAnsi="Calibri"/>
                <w:sz w:val="20"/>
              </w:rPr>
              <w:t>2016</w:t>
            </w:r>
          </w:p>
        </w:tc>
        <w:tc>
          <w:tcPr>
            <w:tcW w:w="1350" w:type="dxa"/>
          </w:tcPr>
          <w:p w14:paraId="6928D695" w14:textId="113130C0" w:rsidR="00D40D26" w:rsidRPr="00D40D26" w:rsidRDefault="008B5C21" w:rsidP="00D40D26">
            <w:pPr>
              <w:spacing w:after="0"/>
              <w:jc w:val="center"/>
              <w:rPr>
                <w:rFonts w:ascii="Calibri" w:hAnsi="Calibri"/>
                <w:sz w:val="20"/>
              </w:rPr>
            </w:pPr>
            <w:r>
              <w:rPr>
                <w:rFonts w:ascii="Calibri" w:hAnsi="Calibri"/>
                <w:sz w:val="20"/>
              </w:rPr>
              <w:t>2019-20</w:t>
            </w:r>
          </w:p>
        </w:tc>
        <w:tc>
          <w:tcPr>
            <w:tcW w:w="1350" w:type="dxa"/>
          </w:tcPr>
          <w:p w14:paraId="5EBD0957" w14:textId="77777777" w:rsidR="00D40D26" w:rsidRPr="00D40D26" w:rsidRDefault="00D40D26" w:rsidP="00D40D26">
            <w:pPr>
              <w:spacing w:after="0"/>
              <w:jc w:val="center"/>
              <w:rPr>
                <w:rFonts w:ascii="Calibri" w:hAnsi="Calibri"/>
                <w:sz w:val="20"/>
              </w:rPr>
            </w:pPr>
          </w:p>
        </w:tc>
        <w:tc>
          <w:tcPr>
            <w:tcW w:w="1350" w:type="dxa"/>
          </w:tcPr>
          <w:p w14:paraId="151C2813" w14:textId="2A3BAA28" w:rsidR="00D40D26" w:rsidRPr="00D40D26" w:rsidRDefault="00D40D26" w:rsidP="00D40D26">
            <w:pPr>
              <w:spacing w:after="0"/>
              <w:jc w:val="center"/>
              <w:rPr>
                <w:rFonts w:ascii="Calibri" w:hAnsi="Calibri"/>
                <w:sz w:val="20"/>
              </w:rPr>
            </w:pPr>
          </w:p>
        </w:tc>
        <w:tc>
          <w:tcPr>
            <w:tcW w:w="1350" w:type="dxa"/>
          </w:tcPr>
          <w:p w14:paraId="743A0FBB" w14:textId="77777777" w:rsidR="00D40D26" w:rsidRPr="00D40D26" w:rsidRDefault="00D40D26" w:rsidP="00D40D26">
            <w:pPr>
              <w:spacing w:after="0"/>
              <w:jc w:val="center"/>
              <w:rPr>
                <w:rFonts w:ascii="Calibri" w:hAnsi="Calibri"/>
                <w:sz w:val="20"/>
              </w:rPr>
            </w:pPr>
          </w:p>
        </w:tc>
        <w:tc>
          <w:tcPr>
            <w:tcW w:w="2483" w:type="dxa"/>
            <w:tcBorders>
              <w:top w:val="single" w:sz="4" w:space="0" w:color="auto"/>
              <w:left w:val="single" w:sz="12" w:space="0" w:color="auto"/>
              <w:bottom w:val="single" w:sz="4" w:space="0" w:color="auto"/>
              <w:right w:val="single" w:sz="12" w:space="0" w:color="auto"/>
            </w:tcBorders>
            <w:shd w:val="clear" w:color="auto" w:fill="auto"/>
          </w:tcPr>
          <w:p w14:paraId="727A66ED" w14:textId="77777777" w:rsidR="00D40D26" w:rsidRPr="00D40D26" w:rsidRDefault="00D40D26" w:rsidP="00D40D26">
            <w:pPr>
              <w:spacing w:after="0"/>
              <w:jc w:val="center"/>
              <w:rPr>
                <w:rFonts w:ascii="Calibri" w:hAnsi="Calibri"/>
                <w:sz w:val="20"/>
              </w:rPr>
            </w:pPr>
          </w:p>
        </w:tc>
      </w:tr>
      <w:tr w:rsidR="00D40D26" w:rsidRPr="00D40D26" w14:paraId="78581AB7" w14:textId="77777777" w:rsidTr="0098460C">
        <w:trPr>
          <w:trHeight w:val="260"/>
          <w:jc w:val="center"/>
        </w:trPr>
        <w:tc>
          <w:tcPr>
            <w:tcW w:w="1400" w:type="dxa"/>
          </w:tcPr>
          <w:p w14:paraId="06B2FD00" w14:textId="63585EF7" w:rsidR="00D40D26" w:rsidRPr="00D40D26" w:rsidRDefault="008B5C21" w:rsidP="00D40D26">
            <w:pPr>
              <w:spacing w:after="0"/>
              <w:jc w:val="center"/>
              <w:rPr>
                <w:rFonts w:ascii="Calibri" w:hAnsi="Calibri"/>
                <w:sz w:val="20"/>
              </w:rPr>
            </w:pPr>
            <w:r>
              <w:rPr>
                <w:rFonts w:ascii="Calibri" w:hAnsi="Calibri"/>
                <w:sz w:val="20"/>
              </w:rPr>
              <w:t>2017</w:t>
            </w:r>
          </w:p>
        </w:tc>
        <w:tc>
          <w:tcPr>
            <w:tcW w:w="1350" w:type="dxa"/>
          </w:tcPr>
          <w:p w14:paraId="1BA0AFE2" w14:textId="60D8C79B" w:rsidR="00D40D26" w:rsidRPr="00D40D26" w:rsidRDefault="008B5C21" w:rsidP="00D40D26">
            <w:pPr>
              <w:spacing w:after="0"/>
              <w:jc w:val="center"/>
              <w:rPr>
                <w:rFonts w:ascii="Calibri" w:hAnsi="Calibri"/>
                <w:sz w:val="20"/>
              </w:rPr>
            </w:pPr>
            <w:r>
              <w:rPr>
                <w:rFonts w:ascii="Calibri" w:hAnsi="Calibri"/>
                <w:sz w:val="20"/>
              </w:rPr>
              <w:t>2020-21</w:t>
            </w:r>
          </w:p>
        </w:tc>
        <w:tc>
          <w:tcPr>
            <w:tcW w:w="1350" w:type="dxa"/>
            <w:tcBorders>
              <w:bottom w:val="single" w:sz="4" w:space="0" w:color="auto"/>
            </w:tcBorders>
          </w:tcPr>
          <w:p w14:paraId="7E88447E" w14:textId="77777777" w:rsidR="00D40D26" w:rsidRPr="00D40D26" w:rsidRDefault="00D40D26" w:rsidP="00D40D26">
            <w:pPr>
              <w:spacing w:after="0"/>
              <w:jc w:val="center"/>
              <w:rPr>
                <w:rFonts w:ascii="Calibri" w:hAnsi="Calibri"/>
                <w:sz w:val="20"/>
              </w:rPr>
            </w:pPr>
          </w:p>
        </w:tc>
        <w:tc>
          <w:tcPr>
            <w:tcW w:w="1350" w:type="dxa"/>
            <w:tcBorders>
              <w:bottom w:val="single" w:sz="4" w:space="0" w:color="auto"/>
            </w:tcBorders>
          </w:tcPr>
          <w:p w14:paraId="4CB89C58" w14:textId="77777777" w:rsidR="00D40D26" w:rsidRPr="00D40D26" w:rsidRDefault="00D40D26" w:rsidP="00D40D26">
            <w:pPr>
              <w:spacing w:after="0"/>
              <w:jc w:val="center"/>
              <w:rPr>
                <w:rFonts w:ascii="Calibri" w:hAnsi="Calibri"/>
                <w:sz w:val="20"/>
              </w:rPr>
            </w:pPr>
          </w:p>
        </w:tc>
        <w:tc>
          <w:tcPr>
            <w:tcW w:w="1350" w:type="dxa"/>
            <w:tcBorders>
              <w:bottom w:val="single" w:sz="4" w:space="0" w:color="auto"/>
            </w:tcBorders>
          </w:tcPr>
          <w:p w14:paraId="6152BE7F" w14:textId="77777777" w:rsidR="00D40D26" w:rsidRPr="00D40D26" w:rsidRDefault="00D40D26" w:rsidP="00D40D26">
            <w:pPr>
              <w:spacing w:after="0"/>
              <w:jc w:val="center"/>
              <w:rPr>
                <w:rFonts w:ascii="Calibri" w:hAnsi="Calibri"/>
                <w:sz w:val="20"/>
              </w:rPr>
            </w:pPr>
          </w:p>
        </w:tc>
        <w:tc>
          <w:tcPr>
            <w:tcW w:w="2483" w:type="dxa"/>
            <w:tcBorders>
              <w:top w:val="single" w:sz="4" w:space="0" w:color="auto"/>
              <w:left w:val="single" w:sz="12" w:space="0" w:color="auto"/>
              <w:bottom w:val="single" w:sz="12" w:space="0" w:color="auto"/>
              <w:right w:val="single" w:sz="12" w:space="0" w:color="auto"/>
            </w:tcBorders>
            <w:shd w:val="clear" w:color="auto" w:fill="auto"/>
          </w:tcPr>
          <w:p w14:paraId="3E6308DF" w14:textId="77777777" w:rsidR="00D40D26" w:rsidRPr="00D40D26" w:rsidRDefault="00D40D26" w:rsidP="00D40D26">
            <w:pPr>
              <w:spacing w:after="0"/>
              <w:jc w:val="center"/>
              <w:rPr>
                <w:rFonts w:ascii="Calibri" w:hAnsi="Calibri"/>
                <w:sz w:val="20"/>
              </w:rPr>
            </w:pPr>
          </w:p>
        </w:tc>
      </w:tr>
    </w:tbl>
    <w:p w14:paraId="7C7F1C77" w14:textId="77777777" w:rsidR="009502D1" w:rsidRPr="00072413" w:rsidRDefault="009502D1" w:rsidP="009502D1"/>
    <w:p w14:paraId="3374046E" w14:textId="6C799076" w:rsidR="009502D1" w:rsidRPr="00DD2508" w:rsidRDefault="009502D1" w:rsidP="009502D1">
      <w:pPr>
        <w:rPr>
          <w:rFonts w:ascii="Calibri" w:hAnsi="Calibri"/>
          <w:b/>
          <w:color w:val="000000"/>
          <w:szCs w:val="23"/>
        </w:rPr>
      </w:pPr>
    </w:p>
    <w:p w14:paraId="04DACBE7" w14:textId="1DF58112" w:rsidR="009502D1" w:rsidRPr="00977126" w:rsidRDefault="009502D1" w:rsidP="009502D1">
      <w:pPr>
        <w:pStyle w:val="Heading2"/>
      </w:pPr>
      <w:r w:rsidRPr="00E515AF">
        <w:t xml:space="preserve">Summary of the High School </w:t>
      </w:r>
      <w:r w:rsidR="00AE76C1" w:rsidRPr="00E515AF">
        <w:t>M</w:t>
      </w:r>
      <w:r w:rsidR="000A3F62" w:rsidRPr="00E515AF">
        <w:t>athematics Goal</w:t>
      </w:r>
    </w:p>
    <w:p w14:paraId="4D3FECC5" w14:textId="54E8FCF0" w:rsidR="009502D1" w:rsidRPr="00DD2508" w:rsidRDefault="00DA251D" w:rsidP="00347C7D">
      <w:pPr>
        <w:pStyle w:val="TableText"/>
        <w:jc w:val="left"/>
      </w:pPr>
      <w:r w:rsidRPr="00DA251D">
        <w:rPr>
          <w:rFonts w:asciiTheme="minorHAnsi" w:hAnsiTheme="minorHAnsi"/>
          <w:sz w:val="23"/>
        </w:rPr>
        <w:t>The 201</w:t>
      </w:r>
      <w:r>
        <w:rPr>
          <w:rFonts w:asciiTheme="minorHAnsi" w:hAnsiTheme="minorHAnsi"/>
          <w:sz w:val="23"/>
        </w:rPr>
        <w:t>7</w:t>
      </w:r>
      <w:r w:rsidRPr="00DA251D">
        <w:rPr>
          <w:rFonts w:asciiTheme="minorHAnsi" w:hAnsiTheme="minorHAnsi"/>
          <w:sz w:val="23"/>
        </w:rPr>
        <w:t xml:space="preserve"> Accountability Cohort of </w:t>
      </w:r>
      <w:r>
        <w:rPr>
          <w:rFonts w:asciiTheme="minorHAnsi" w:hAnsiTheme="minorHAnsi"/>
          <w:sz w:val="23"/>
        </w:rPr>
        <w:t>Troy Prep</w:t>
      </w:r>
      <w:r w:rsidRPr="00DA251D">
        <w:rPr>
          <w:rFonts w:asciiTheme="minorHAnsi" w:hAnsiTheme="minorHAnsi"/>
          <w:sz w:val="23"/>
        </w:rPr>
        <w:t xml:space="preserve"> Charter School met and exceeded </w:t>
      </w:r>
      <w:r w:rsidR="00347C7D">
        <w:rPr>
          <w:rFonts w:asciiTheme="minorHAnsi" w:hAnsiTheme="minorHAnsi"/>
          <w:sz w:val="23"/>
        </w:rPr>
        <w:t>2</w:t>
      </w:r>
      <w:r w:rsidRPr="00DA251D">
        <w:rPr>
          <w:rFonts w:asciiTheme="minorHAnsi" w:hAnsiTheme="minorHAnsi"/>
          <w:sz w:val="23"/>
        </w:rPr>
        <w:t xml:space="preserve"> of </w:t>
      </w:r>
      <w:r w:rsidR="00347C7D">
        <w:rPr>
          <w:rFonts w:asciiTheme="minorHAnsi" w:hAnsiTheme="minorHAnsi"/>
          <w:sz w:val="23"/>
        </w:rPr>
        <w:t>2</w:t>
      </w:r>
      <w:r w:rsidRPr="00DA251D">
        <w:rPr>
          <w:rFonts w:asciiTheme="minorHAnsi" w:hAnsiTheme="minorHAnsi"/>
          <w:sz w:val="23"/>
        </w:rPr>
        <w:t xml:space="preserve"> of the</w:t>
      </w:r>
      <w:r>
        <w:rPr>
          <w:rFonts w:asciiTheme="minorHAnsi" w:hAnsiTheme="minorHAnsi"/>
          <w:sz w:val="23"/>
        </w:rPr>
        <w:t xml:space="preserve"> </w:t>
      </w:r>
      <w:r w:rsidRPr="00DA251D">
        <w:rPr>
          <w:rFonts w:asciiTheme="minorHAnsi" w:hAnsiTheme="minorHAnsi"/>
          <w:sz w:val="23"/>
        </w:rPr>
        <w:t xml:space="preserve">mathematics goals for school year </w:t>
      </w:r>
      <w:r w:rsidR="00347C7D">
        <w:rPr>
          <w:rFonts w:asciiTheme="minorHAnsi" w:hAnsiTheme="minorHAnsi"/>
          <w:sz w:val="23"/>
        </w:rPr>
        <w:t>2020-2021</w:t>
      </w:r>
      <w:r w:rsidRPr="00DA251D">
        <w:rPr>
          <w:rFonts w:asciiTheme="minorHAnsi" w:hAnsiTheme="minorHAnsi"/>
          <w:sz w:val="23"/>
        </w:rPr>
        <w:t>.  The school will update the report as the district comparison data becomes available.</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6482"/>
        <w:gridCol w:w="1602"/>
      </w:tblGrid>
      <w:tr w:rsidR="009502D1" w:rsidRPr="00DD2508" w14:paraId="12ED5198" w14:textId="77777777" w:rsidTr="009502D1">
        <w:trPr>
          <w:jc w:val="center"/>
        </w:trPr>
        <w:tc>
          <w:tcPr>
            <w:tcW w:w="1258" w:type="dxa"/>
            <w:shd w:val="clear" w:color="auto" w:fill="auto"/>
            <w:vAlign w:val="center"/>
          </w:tcPr>
          <w:p w14:paraId="286B1A49" w14:textId="77777777" w:rsidR="009502D1" w:rsidRPr="00DE3E14" w:rsidRDefault="009502D1" w:rsidP="009502D1">
            <w:pPr>
              <w:pStyle w:val="TableText"/>
            </w:pPr>
            <w:r w:rsidRPr="00DE3E14">
              <w:lastRenderedPageBreak/>
              <w:t>Type</w:t>
            </w:r>
          </w:p>
        </w:tc>
        <w:tc>
          <w:tcPr>
            <w:tcW w:w="6482" w:type="dxa"/>
            <w:shd w:val="clear" w:color="auto" w:fill="auto"/>
            <w:vAlign w:val="center"/>
          </w:tcPr>
          <w:p w14:paraId="2FDC1865" w14:textId="77777777" w:rsidR="009502D1" w:rsidRPr="00DE3E14" w:rsidRDefault="009502D1" w:rsidP="009502D1">
            <w:pPr>
              <w:pStyle w:val="TableText"/>
            </w:pPr>
            <w:r w:rsidRPr="00DE3E14">
              <w:t>Me</w:t>
            </w:r>
            <w:r>
              <w:t>asure</w:t>
            </w:r>
          </w:p>
        </w:tc>
        <w:tc>
          <w:tcPr>
            <w:tcW w:w="1602" w:type="dxa"/>
            <w:vAlign w:val="center"/>
          </w:tcPr>
          <w:p w14:paraId="29A0A52C" w14:textId="77777777" w:rsidR="009502D1" w:rsidRPr="00DE3E14" w:rsidRDefault="009502D1" w:rsidP="009502D1">
            <w:pPr>
              <w:pStyle w:val="TableText"/>
            </w:pPr>
            <w:r w:rsidRPr="00DE3E14">
              <w:t>Outcome</w:t>
            </w:r>
          </w:p>
        </w:tc>
      </w:tr>
      <w:tr w:rsidR="009502D1" w:rsidRPr="00DD2508" w14:paraId="2E436318" w14:textId="77777777" w:rsidTr="009502D1">
        <w:trPr>
          <w:jc w:val="center"/>
        </w:trPr>
        <w:tc>
          <w:tcPr>
            <w:tcW w:w="1258" w:type="dxa"/>
            <w:shd w:val="clear" w:color="auto" w:fill="auto"/>
            <w:vAlign w:val="center"/>
          </w:tcPr>
          <w:p w14:paraId="355FE812" w14:textId="77777777" w:rsidR="009502D1" w:rsidRPr="00DE3E14" w:rsidRDefault="009502D1" w:rsidP="009502D1">
            <w:pPr>
              <w:pStyle w:val="TableText"/>
            </w:pPr>
            <w:r w:rsidRPr="00DE3E14">
              <w:t>Absolute</w:t>
            </w:r>
          </w:p>
        </w:tc>
        <w:tc>
          <w:tcPr>
            <w:tcW w:w="6482" w:type="dxa"/>
            <w:shd w:val="clear" w:color="auto" w:fill="auto"/>
            <w:vAlign w:val="center"/>
          </w:tcPr>
          <w:p w14:paraId="3B56C8B1" w14:textId="36449001" w:rsidR="009502D1" w:rsidRPr="00466B8D" w:rsidRDefault="009502D1">
            <w:pPr>
              <w:pStyle w:val="TableText"/>
              <w:jc w:val="left"/>
            </w:pPr>
            <w:r w:rsidRPr="00F855C6">
              <w:t xml:space="preserve">Each year, 65 percent of students in the high school Accountability Cohort will meet </w:t>
            </w:r>
            <w:r>
              <w:t>or exceed Common Core expectations</w:t>
            </w:r>
            <w:r w:rsidRPr="00F855C6">
              <w:t xml:space="preserve"> (currently scoring </w:t>
            </w:r>
            <w:r>
              <w:t xml:space="preserve">at or above Performance Level 4 on </w:t>
            </w:r>
            <w:r w:rsidR="006952E6">
              <w:t xml:space="preserve">a Regents mathematics exam) </w:t>
            </w:r>
            <w:r w:rsidRPr="00F855C6">
              <w:t>by the completion of their fourth year in the cohort.</w:t>
            </w:r>
          </w:p>
        </w:tc>
        <w:tc>
          <w:tcPr>
            <w:tcW w:w="1602" w:type="dxa"/>
            <w:vAlign w:val="center"/>
          </w:tcPr>
          <w:p w14:paraId="0B5DF317" w14:textId="73174E85" w:rsidR="009502D1" w:rsidRPr="00DE3E14" w:rsidRDefault="00347C7D" w:rsidP="009502D1">
            <w:pPr>
              <w:pStyle w:val="TableText"/>
              <w:rPr>
                <w:highlight w:val="green"/>
              </w:rPr>
            </w:pPr>
            <w:r>
              <w:rPr>
                <w:highlight w:val="green"/>
              </w:rPr>
              <w:t>Achieved</w:t>
            </w:r>
          </w:p>
        </w:tc>
      </w:tr>
      <w:tr w:rsidR="009502D1" w:rsidRPr="00DD2508" w14:paraId="7F8C286E" w14:textId="77777777" w:rsidTr="009502D1">
        <w:trPr>
          <w:jc w:val="center"/>
        </w:trPr>
        <w:tc>
          <w:tcPr>
            <w:tcW w:w="1258" w:type="dxa"/>
            <w:shd w:val="clear" w:color="auto" w:fill="auto"/>
            <w:vAlign w:val="center"/>
          </w:tcPr>
          <w:p w14:paraId="6A3D49DC" w14:textId="77777777" w:rsidR="009502D1" w:rsidRPr="00DE3E14" w:rsidRDefault="009502D1" w:rsidP="009502D1">
            <w:pPr>
              <w:pStyle w:val="TableText"/>
            </w:pPr>
            <w:r w:rsidRPr="00DE3E14">
              <w:t>Absolute</w:t>
            </w:r>
          </w:p>
          <w:p w14:paraId="4C477B53" w14:textId="77777777" w:rsidR="009502D1" w:rsidRPr="00DE3E14" w:rsidRDefault="009502D1" w:rsidP="009502D1">
            <w:pPr>
              <w:pStyle w:val="TableText"/>
            </w:pPr>
          </w:p>
        </w:tc>
        <w:tc>
          <w:tcPr>
            <w:tcW w:w="6482" w:type="dxa"/>
            <w:shd w:val="clear" w:color="auto" w:fill="auto"/>
            <w:vAlign w:val="center"/>
          </w:tcPr>
          <w:p w14:paraId="6D530966" w14:textId="28714222" w:rsidR="009502D1" w:rsidRPr="00466B8D" w:rsidRDefault="009502D1">
            <w:pPr>
              <w:pStyle w:val="TableText"/>
              <w:jc w:val="left"/>
            </w:pPr>
            <w:r>
              <w:t>Each year, 80</w:t>
            </w:r>
            <w:r w:rsidRPr="00F855C6">
              <w:t xml:space="preserve"> percent of students in the high school Accountability Cohort will </w:t>
            </w:r>
            <w:r>
              <w:t>at least partially meet Common Core expectations</w:t>
            </w:r>
            <w:r w:rsidRPr="00F855C6">
              <w:t xml:space="preserve"> (currently scoring </w:t>
            </w:r>
            <w:r>
              <w:t xml:space="preserve">at or above Performance Level 3 on </w:t>
            </w:r>
            <w:r w:rsidR="006952E6">
              <w:t>a Regents mathematics exam)</w:t>
            </w:r>
            <w:r w:rsidRPr="00F855C6">
              <w:t xml:space="preserve"> by the completion of their fourth year in the cohort.</w:t>
            </w:r>
          </w:p>
        </w:tc>
        <w:tc>
          <w:tcPr>
            <w:tcW w:w="1602" w:type="dxa"/>
            <w:vAlign w:val="center"/>
          </w:tcPr>
          <w:p w14:paraId="259C7DA0" w14:textId="37F77300" w:rsidR="009502D1" w:rsidRPr="00DE3E14" w:rsidRDefault="00347C7D" w:rsidP="009502D1">
            <w:pPr>
              <w:pStyle w:val="TableText"/>
              <w:rPr>
                <w:highlight w:val="green"/>
              </w:rPr>
            </w:pPr>
            <w:r>
              <w:rPr>
                <w:highlight w:val="green"/>
              </w:rPr>
              <w:t>Achieved</w:t>
            </w:r>
          </w:p>
        </w:tc>
      </w:tr>
      <w:tr w:rsidR="00824466" w:rsidRPr="00DD2508" w14:paraId="5892F23F" w14:textId="77777777" w:rsidTr="009502D1">
        <w:trPr>
          <w:jc w:val="center"/>
        </w:trPr>
        <w:tc>
          <w:tcPr>
            <w:tcW w:w="1258" w:type="dxa"/>
            <w:shd w:val="clear" w:color="auto" w:fill="auto"/>
            <w:vAlign w:val="center"/>
          </w:tcPr>
          <w:p w14:paraId="3EF804D7" w14:textId="77777777" w:rsidR="00824466" w:rsidRPr="00DE3E14" w:rsidRDefault="00824466" w:rsidP="00824466">
            <w:pPr>
              <w:pStyle w:val="TableText"/>
            </w:pPr>
            <w:r w:rsidRPr="00DE3E14">
              <w:t>Absolute</w:t>
            </w:r>
          </w:p>
        </w:tc>
        <w:tc>
          <w:tcPr>
            <w:tcW w:w="6482" w:type="dxa"/>
            <w:shd w:val="clear" w:color="auto" w:fill="auto"/>
            <w:vAlign w:val="center"/>
          </w:tcPr>
          <w:p w14:paraId="4BDE6FC4" w14:textId="3E1AC804" w:rsidR="00824466" w:rsidRPr="00B32F66" w:rsidRDefault="00824466" w:rsidP="00824466">
            <w:pPr>
              <w:pStyle w:val="TableText"/>
              <w:jc w:val="left"/>
            </w:pPr>
            <w:r w:rsidRPr="00466B8D">
              <w:t xml:space="preserve">Each year, the Performance </w:t>
            </w:r>
            <w:r>
              <w:t>Index</w:t>
            </w:r>
            <w:r w:rsidRPr="00466B8D">
              <w:t xml:space="preserve"> (</w:t>
            </w:r>
            <w:r>
              <w:t>PI) in mathematics</w:t>
            </w:r>
            <w:r w:rsidRPr="00466B8D">
              <w:t xml:space="preserve"> of students completing their fourth year in the Accountability Cohort will meet the </w:t>
            </w:r>
            <w:r>
              <w:t>state Measure of Interim Progress</w:t>
            </w:r>
            <w:r w:rsidRPr="00466B8D">
              <w:t xml:space="preserve"> (</w:t>
            </w:r>
            <w:r>
              <w:t>MIP</w:t>
            </w:r>
            <w:r w:rsidRPr="00466B8D">
              <w:t xml:space="preserve">) set forth in the state’s </w:t>
            </w:r>
            <w:r>
              <w:t>ESSA</w:t>
            </w:r>
            <w:r w:rsidRPr="00466B8D">
              <w:t xml:space="preserve"> accountability system.</w:t>
            </w:r>
            <w:r>
              <w:t xml:space="preserve"> </w:t>
            </w:r>
          </w:p>
        </w:tc>
        <w:tc>
          <w:tcPr>
            <w:tcW w:w="1602" w:type="dxa"/>
            <w:vAlign w:val="center"/>
          </w:tcPr>
          <w:p w14:paraId="2F728CDE" w14:textId="699E45FB" w:rsidR="00824466" w:rsidRPr="00DE3E14" w:rsidRDefault="00824466" w:rsidP="00824466">
            <w:pPr>
              <w:pStyle w:val="TableText"/>
              <w:rPr>
                <w:highlight w:val="green"/>
              </w:rPr>
            </w:pPr>
            <w:r w:rsidRPr="00824466">
              <w:t>N/A</w:t>
            </w:r>
          </w:p>
        </w:tc>
      </w:tr>
      <w:tr w:rsidR="00824466" w:rsidRPr="00DD2508" w14:paraId="001E8F2A" w14:textId="77777777" w:rsidTr="009502D1">
        <w:trPr>
          <w:jc w:val="center"/>
        </w:trPr>
        <w:tc>
          <w:tcPr>
            <w:tcW w:w="1258" w:type="dxa"/>
            <w:shd w:val="clear" w:color="auto" w:fill="auto"/>
            <w:vAlign w:val="center"/>
          </w:tcPr>
          <w:p w14:paraId="18642D50" w14:textId="77777777" w:rsidR="00824466" w:rsidRPr="00DE3E14" w:rsidRDefault="00824466" w:rsidP="00824466">
            <w:pPr>
              <w:pStyle w:val="TableText"/>
            </w:pPr>
            <w:r>
              <w:t>Comparative</w:t>
            </w:r>
          </w:p>
        </w:tc>
        <w:tc>
          <w:tcPr>
            <w:tcW w:w="6482" w:type="dxa"/>
            <w:shd w:val="clear" w:color="auto" w:fill="auto"/>
            <w:vAlign w:val="center"/>
          </w:tcPr>
          <w:p w14:paraId="562B020B" w14:textId="2AB1C2CF" w:rsidR="00824466" w:rsidRPr="00466B8D" w:rsidRDefault="00824466" w:rsidP="00824466">
            <w:pPr>
              <w:pStyle w:val="TableText"/>
              <w:jc w:val="left"/>
            </w:pPr>
            <w:r>
              <w:t>Each year, the percentage of students in the Total Cohort meeting or exceeding Common Core expectations on a Regents mathematics exam will exceed the percentage of comparable students from the district meeting or exceeding Common Core expectations.</w:t>
            </w:r>
          </w:p>
        </w:tc>
        <w:tc>
          <w:tcPr>
            <w:tcW w:w="1602" w:type="dxa"/>
            <w:vAlign w:val="center"/>
          </w:tcPr>
          <w:p w14:paraId="4AFA51BD" w14:textId="3906E817" w:rsidR="00824466" w:rsidRPr="00DE3E14" w:rsidRDefault="00824466" w:rsidP="00824466">
            <w:pPr>
              <w:pStyle w:val="TableText"/>
              <w:rPr>
                <w:highlight w:val="green"/>
              </w:rPr>
            </w:pPr>
            <w:r w:rsidRPr="00824466">
              <w:t>N/A</w:t>
            </w:r>
          </w:p>
        </w:tc>
      </w:tr>
      <w:tr w:rsidR="00824466" w:rsidRPr="00DD2508" w14:paraId="6885EE72" w14:textId="77777777" w:rsidTr="009502D1">
        <w:trPr>
          <w:jc w:val="center"/>
        </w:trPr>
        <w:tc>
          <w:tcPr>
            <w:tcW w:w="1258" w:type="dxa"/>
            <w:shd w:val="clear" w:color="auto" w:fill="auto"/>
            <w:vAlign w:val="center"/>
          </w:tcPr>
          <w:p w14:paraId="2F66E705" w14:textId="77777777" w:rsidR="00824466" w:rsidRPr="00DE3E14" w:rsidRDefault="00824466" w:rsidP="00824466">
            <w:pPr>
              <w:pStyle w:val="TableText"/>
            </w:pPr>
            <w:r>
              <w:t>Comparative</w:t>
            </w:r>
          </w:p>
        </w:tc>
        <w:tc>
          <w:tcPr>
            <w:tcW w:w="6482" w:type="dxa"/>
            <w:shd w:val="clear" w:color="auto" w:fill="auto"/>
            <w:vAlign w:val="center"/>
          </w:tcPr>
          <w:p w14:paraId="19B97D77" w14:textId="59C00897" w:rsidR="00824466" w:rsidRPr="00466B8D" w:rsidRDefault="00824466" w:rsidP="00824466">
            <w:pPr>
              <w:pStyle w:val="TableText"/>
              <w:jc w:val="left"/>
            </w:pPr>
            <w:r>
              <w:t>Each year, the percentage of students in the Total Cohort partially meeting Common Core expectations on a Regents mathematics exam will exceed the percentage of comparable students in the district at least partially meeting Common Core expectations.</w:t>
            </w:r>
          </w:p>
        </w:tc>
        <w:tc>
          <w:tcPr>
            <w:tcW w:w="1602" w:type="dxa"/>
            <w:vAlign w:val="center"/>
          </w:tcPr>
          <w:p w14:paraId="7C0F0D80" w14:textId="42DF0EE1" w:rsidR="00824466" w:rsidRPr="00DE3E14" w:rsidRDefault="00824466" w:rsidP="00824466">
            <w:pPr>
              <w:pStyle w:val="TableText"/>
              <w:rPr>
                <w:highlight w:val="green"/>
              </w:rPr>
            </w:pPr>
            <w:r w:rsidRPr="00824466">
              <w:t>N/A</w:t>
            </w:r>
          </w:p>
        </w:tc>
      </w:tr>
      <w:tr w:rsidR="00824466" w:rsidRPr="00DD2508" w14:paraId="5E37EC23" w14:textId="77777777" w:rsidTr="009502D1">
        <w:trPr>
          <w:jc w:val="center"/>
        </w:trPr>
        <w:tc>
          <w:tcPr>
            <w:tcW w:w="1258" w:type="dxa"/>
            <w:shd w:val="clear" w:color="auto" w:fill="auto"/>
            <w:vAlign w:val="center"/>
          </w:tcPr>
          <w:p w14:paraId="75196A7F" w14:textId="77777777" w:rsidR="00824466" w:rsidRPr="00DE3E14" w:rsidRDefault="00824466" w:rsidP="00824466">
            <w:pPr>
              <w:pStyle w:val="TableText"/>
            </w:pPr>
            <w:r>
              <w:t>Comparative</w:t>
            </w:r>
          </w:p>
        </w:tc>
        <w:tc>
          <w:tcPr>
            <w:tcW w:w="6482" w:type="dxa"/>
            <w:shd w:val="clear" w:color="auto" w:fill="auto"/>
            <w:vAlign w:val="center"/>
          </w:tcPr>
          <w:p w14:paraId="6B17773B" w14:textId="5B45674E" w:rsidR="00824466" w:rsidRPr="00466B8D" w:rsidRDefault="00824466" w:rsidP="00824466">
            <w:pPr>
              <w:pStyle w:val="TableText"/>
              <w:jc w:val="left"/>
            </w:pPr>
            <w:r w:rsidRPr="00E02A17">
              <w:t xml:space="preserve">Each year, the Performance </w:t>
            </w:r>
            <w:r>
              <w:t>Index</w:t>
            </w:r>
            <w:r w:rsidRPr="00E02A17">
              <w:t xml:space="preserve"> (</w:t>
            </w:r>
            <w:r>
              <w:t>PI</w:t>
            </w:r>
            <w:r w:rsidRPr="00E02A17">
              <w:t xml:space="preserve">) in Regents </w:t>
            </w:r>
            <w:r>
              <w:t>mathematics</w:t>
            </w:r>
            <w:r w:rsidRPr="00E02A17">
              <w:t xml:space="preserve"> of students in the fourth year of their high school Accoun</w:t>
            </w:r>
            <w:r>
              <w:t xml:space="preserve">tability Cohort will exceed that </w:t>
            </w:r>
            <w:r w:rsidRPr="00E02A17">
              <w:t xml:space="preserve">of comparable students from the </w:t>
            </w:r>
            <w:r>
              <w:t>school distric</w:t>
            </w:r>
            <w:r w:rsidR="00830B3D">
              <w:t xml:space="preserve">t of comparison.  </w:t>
            </w:r>
          </w:p>
        </w:tc>
        <w:tc>
          <w:tcPr>
            <w:tcW w:w="1602" w:type="dxa"/>
            <w:vAlign w:val="center"/>
          </w:tcPr>
          <w:p w14:paraId="7E45FE40" w14:textId="7571A8EC" w:rsidR="00824466" w:rsidRPr="00DE3E14" w:rsidRDefault="00824466" w:rsidP="00824466">
            <w:pPr>
              <w:pStyle w:val="TableText"/>
              <w:rPr>
                <w:highlight w:val="green"/>
              </w:rPr>
            </w:pPr>
            <w:r w:rsidRPr="00824466">
              <w:t>N/A</w:t>
            </w:r>
          </w:p>
        </w:tc>
      </w:tr>
      <w:tr w:rsidR="00824466" w:rsidRPr="00DD2508" w14:paraId="64FAFB00" w14:textId="77777777" w:rsidTr="009502D1">
        <w:trPr>
          <w:jc w:val="center"/>
        </w:trPr>
        <w:tc>
          <w:tcPr>
            <w:tcW w:w="1258" w:type="dxa"/>
            <w:shd w:val="clear" w:color="auto" w:fill="auto"/>
            <w:vAlign w:val="center"/>
          </w:tcPr>
          <w:p w14:paraId="226AE38B" w14:textId="77777777" w:rsidR="00824466" w:rsidRDefault="00824466" w:rsidP="00824466">
            <w:pPr>
              <w:pStyle w:val="TableText"/>
            </w:pPr>
            <w:r>
              <w:t>Growth</w:t>
            </w:r>
          </w:p>
        </w:tc>
        <w:tc>
          <w:tcPr>
            <w:tcW w:w="6482" w:type="dxa"/>
            <w:shd w:val="clear" w:color="auto" w:fill="auto"/>
            <w:vAlign w:val="center"/>
          </w:tcPr>
          <w:p w14:paraId="79A80364" w14:textId="1C06CC7E" w:rsidR="00824466" w:rsidRPr="00E02A17" w:rsidRDefault="00824466" w:rsidP="00824466">
            <w:pPr>
              <w:pStyle w:val="TableText"/>
              <w:jc w:val="left"/>
            </w:pPr>
            <w:r>
              <w:t>Each year, 50</w:t>
            </w:r>
            <w:r w:rsidRPr="00F855C6">
              <w:t xml:space="preserve"> percent of students in the high school Accountability Cohort who did not score profic</w:t>
            </w:r>
            <w:r>
              <w:t>ient on their New York State 8</w:t>
            </w:r>
            <w:r w:rsidRPr="00FF7D0A">
              <w:rPr>
                <w:vertAlign w:val="superscript"/>
              </w:rPr>
              <w:t>th</w:t>
            </w:r>
            <w:r w:rsidRPr="00F855C6">
              <w:t xml:space="preserve"> grade </w:t>
            </w:r>
            <w:r>
              <w:t xml:space="preserve">mathematics exam will meet or exceed Common Core expectations </w:t>
            </w:r>
            <w:r w:rsidRPr="00F855C6">
              <w:t xml:space="preserve">(currently scoring </w:t>
            </w:r>
            <w:r>
              <w:t xml:space="preserve">at or above Performance Level 4 on a Regents mathematics exam) </w:t>
            </w:r>
            <w:r w:rsidRPr="00F855C6">
              <w:t>by the completion of their fourth year in the cohort.</w:t>
            </w:r>
          </w:p>
        </w:tc>
        <w:tc>
          <w:tcPr>
            <w:tcW w:w="1602" w:type="dxa"/>
            <w:vAlign w:val="center"/>
          </w:tcPr>
          <w:p w14:paraId="3D970080" w14:textId="7333FF41" w:rsidR="00824466" w:rsidRPr="00347C7D" w:rsidRDefault="00347C7D" w:rsidP="00824466">
            <w:pPr>
              <w:pStyle w:val="TableText"/>
            </w:pPr>
            <w:r w:rsidRPr="00347C7D">
              <w:t>N/A</w:t>
            </w:r>
          </w:p>
        </w:tc>
      </w:tr>
      <w:tr w:rsidR="00824466" w:rsidRPr="00DD2508" w14:paraId="542B5F0B" w14:textId="77777777" w:rsidTr="009502D1">
        <w:trPr>
          <w:jc w:val="center"/>
        </w:trPr>
        <w:tc>
          <w:tcPr>
            <w:tcW w:w="1258" w:type="dxa"/>
            <w:shd w:val="clear" w:color="auto" w:fill="auto"/>
            <w:vAlign w:val="center"/>
          </w:tcPr>
          <w:p w14:paraId="0B7C1A4D" w14:textId="77777777" w:rsidR="00824466" w:rsidRDefault="00824466" w:rsidP="00824466">
            <w:pPr>
              <w:pStyle w:val="TableText"/>
            </w:pPr>
            <w:r>
              <w:t>Growth</w:t>
            </w:r>
          </w:p>
        </w:tc>
        <w:tc>
          <w:tcPr>
            <w:tcW w:w="6482" w:type="dxa"/>
            <w:shd w:val="clear" w:color="auto" w:fill="auto"/>
            <w:vAlign w:val="center"/>
          </w:tcPr>
          <w:p w14:paraId="3309B3A5" w14:textId="1741781E" w:rsidR="00824466" w:rsidRPr="00E02A17" w:rsidRDefault="00824466" w:rsidP="00824466">
            <w:pPr>
              <w:pStyle w:val="TableText"/>
              <w:jc w:val="left"/>
            </w:pPr>
            <w:r>
              <w:t>Each year, 75</w:t>
            </w:r>
            <w:r w:rsidRPr="00F855C6">
              <w:t xml:space="preserve"> percent of students in the high school Accountability Cohort who did not score profic</w:t>
            </w:r>
            <w:r>
              <w:t>ient on their New York State 8</w:t>
            </w:r>
            <w:r w:rsidRPr="00FF7D0A">
              <w:rPr>
                <w:vertAlign w:val="superscript"/>
              </w:rPr>
              <w:t>th</w:t>
            </w:r>
            <w:r w:rsidRPr="00F855C6">
              <w:t xml:space="preserve"> grade </w:t>
            </w:r>
            <w:r>
              <w:t>mathematics exam</w:t>
            </w:r>
            <w:r w:rsidRPr="00F855C6">
              <w:t xml:space="preserve"> </w:t>
            </w:r>
            <w:r>
              <w:t xml:space="preserve">will at least partially meet Common Core expectations </w:t>
            </w:r>
            <w:r w:rsidRPr="00F855C6">
              <w:t xml:space="preserve">(currently scoring </w:t>
            </w:r>
            <w:r>
              <w:t xml:space="preserve">at least Performance Level 3 on a Regents mathematics exam) </w:t>
            </w:r>
            <w:r w:rsidRPr="00F855C6">
              <w:t>by the completion of their fourth year in the cohort.</w:t>
            </w:r>
          </w:p>
        </w:tc>
        <w:tc>
          <w:tcPr>
            <w:tcW w:w="1602" w:type="dxa"/>
            <w:vAlign w:val="center"/>
          </w:tcPr>
          <w:p w14:paraId="163D9936" w14:textId="3D0A91AE" w:rsidR="00824466" w:rsidRPr="00347C7D" w:rsidRDefault="00347C7D" w:rsidP="00824466">
            <w:pPr>
              <w:pStyle w:val="TableText"/>
            </w:pPr>
            <w:r w:rsidRPr="00347C7D">
              <w:t>N/A</w:t>
            </w:r>
          </w:p>
        </w:tc>
      </w:tr>
    </w:tbl>
    <w:p w14:paraId="1EEA0C34" w14:textId="77777777" w:rsidR="009502D1" w:rsidRPr="00DD2508" w:rsidRDefault="009502D1" w:rsidP="009502D1">
      <w:pPr>
        <w:rPr>
          <w:rFonts w:ascii="Calibri" w:hAnsi="Calibri"/>
          <w:color w:val="000000"/>
          <w:szCs w:val="23"/>
        </w:rPr>
      </w:pPr>
    </w:p>
    <w:p w14:paraId="13E2ED40" w14:textId="77777777" w:rsidR="009502D1" w:rsidRPr="00DD2508" w:rsidRDefault="009502D1" w:rsidP="009502D1">
      <w:pPr>
        <w:pStyle w:val="Heading2"/>
      </w:pPr>
      <w:r w:rsidRPr="00DD2508">
        <w:t>Action Plan</w:t>
      </w:r>
    </w:p>
    <w:p w14:paraId="626B158A" w14:textId="0B5BC8C7" w:rsidR="00DA251D" w:rsidRPr="00DA251D" w:rsidRDefault="00DA251D" w:rsidP="00A70F9C">
      <w:pPr>
        <w:numPr>
          <w:ilvl w:val="0"/>
          <w:numId w:val="27"/>
        </w:numPr>
      </w:pPr>
      <w:r w:rsidRPr="00DA251D">
        <w:t xml:space="preserve">The high school instructional leadership team will continue to review teacher lesson plans, observe classroom </w:t>
      </w:r>
      <w:r w:rsidR="000153CF">
        <w:t>instruction</w:t>
      </w:r>
      <w:r w:rsidR="000153CF" w:rsidRPr="00DA251D">
        <w:t>,</w:t>
      </w:r>
      <w:r w:rsidRPr="00DA251D">
        <w:t xml:space="preserve"> and provide feedback on instruction.  </w:t>
      </w:r>
    </w:p>
    <w:p w14:paraId="41262E38" w14:textId="5B322454" w:rsidR="00DA251D" w:rsidRPr="00DA251D" w:rsidRDefault="00DA251D" w:rsidP="00A70F9C">
      <w:pPr>
        <w:numPr>
          <w:ilvl w:val="0"/>
          <w:numId w:val="27"/>
        </w:numPr>
      </w:pPr>
      <w:r w:rsidRPr="00DA251D">
        <w:t>The school’s leadership team will be responsible for identifying areas for growth and providing an extensive professional development program that meets the needs of both the school and individual teachers.  </w:t>
      </w:r>
    </w:p>
    <w:p w14:paraId="70C7E113" w14:textId="77777777" w:rsidR="00DA251D" w:rsidRPr="00DA251D" w:rsidRDefault="00DA251D" w:rsidP="00A70F9C">
      <w:pPr>
        <w:numPr>
          <w:ilvl w:val="0"/>
          <w:numId w:val="27"/>
        </w:numPr>
      </w:pPr>
      <w:r w:rsidRPr="00DA251D">
        <w:t>The school’s leadership team will continue to review the effectiveness of the school’s curriculum and make necessary revisions to increase student achievement.  </w:t>
      </w:r>
    </w:p>
    <w:p w14:paraId="3F1281B9" w14:textId="77777777" w:rsidR="00DA251D" w:rsidRPr="00DA251D" w:rsidRDefault="00DA251D" w:rsidP="00A70F9C">
      <w:pPr>
        <w:numPr>
          <w:ilvl w:val="0"/>
          <w:numId w:val="27"/>
        </w:numPr>
      </w:pPr>
      <w:r w:rsidRPr="00DA251D">
        <w:t>School leaders will continue to work with master teachers at the school to research and develop curriculum modifications that will ensure increased levels of student achievement and will continuously monitor the effectiveness of those modifications.  </w:t>
      </w:r>
    </w:p>
    <w:p w14:paraId="44077EBB" w14:textId="2DA88089" w:rsidR="00DA251D" w:rsidRPr="00DA251D" w:rsidRDefault="00DA251D" w:rsidP="00A70F9C">
      <w:pPr>
        <w:numPr>
          <w:ilvl w:val="0"/>
          <w:numId w:val="27"/>
        </w:numPr>
      </w:pPr>
      <w:r w:rsidRPr="00DA251D">
        <w:lastRenderedPageBreak/>
        <w:t>The school will continue to offer Regents/AP/SAT preparation beginning in the 9th grade and continuing through all four grades. </w:t>
      </w:r>
    </w:p>
    <w:p w14:paraId="6E95B4AE" w14:textId="603139D9" w:rsidR="00DA251D" w:rsidRPr="00DA251D" w:rsidRDefault="00DA251D" w:rsidP="00A70F9C">
      <w:pPr>
        <w:numPr>
          <w:ilvl w:val="0"/>
          <w:numId w:val="27"/>
        </w:numPr>
      </w:pPr>
      <w:r w:rsidRPr="00DA251D">
        <w:t>The school will continue to provide professional development before the school year, during the school year, and following the school year, during which teachers can review and discuss results</w:t>
      </w:r>
      <w:r w:rsidR="000153CF">
        <w:t>.</w:t>
      </w:r>
    </w:p>
    <w:p w14:paraId="004174DF" w14:textId="07751FA6" w:rsidR="00DA251D" w:rsidRPr="00DA251D" w:rsidRDefault="00DA251D" w:rsidP="00A70F9C">
      <w:pPr>
        <w:numPr>
          <w:ilvl w:val="0"/>
          <w:numId w:val="27"/>
        </w:numPr>
      </w:pPr>
      <w:r w:rsidRPr="00DA251D">
        <w:t xml:space="preserve">High school students will </w:t>
      </w:r>
      <w:r w:rsidR="000153CF">
        <w:t>be returning to full in-person learning in the 2021-2022 school year.</w:t>
      </w:r>
    </w:p>
    <w:p w14:paraId="3C67FAA6" w14:textId="2263FE95" w:rsidR="00056BFE" w:rsidRDefault="00EB48F9" w:rsidP="00056BFE">
      <w:pPr>
        <w:pStyle w:val="Heading1"/>
      </w:pPr>
      <w:r>
        <w:t xml:space="preserve">GOAL </w:t>
      </w:r>
      <w:r w:rsidR="00887F40">
        <w:t>5</w:t>
      </w:r>
      <w:r>
        <w:t xml:space="preserve">: </w:t>
      </w:r>
      <w:r w:rsidR="00D93F35">
        <w:t>SCIENCE</w:t>
      </w:r>
      <w:r w:rsidR="00017C0D">
        <w:t xml:space="preserve"> </w:t>
      </w:r>
      <w:bookmarkEnd w:id="4"/>
    </w:p>
    <w:p w14:paraId="1FD40F26" w14:textId="080DE5AB" w:rsidR="005F2596" w:rsidRPr="001A6830" w:rsidRDefault="005F2596" w:rsidP="008B5C21">
      <w:pPr>
        <w:pStyle w:val="Heading2"/>
      </w:pPr>
      <w:r>
        <w:t xml:space="preserve">Elementary </w:t>
      </w:r>
      <w:r w:rsidR="008B5C21">
        <w:t xml:space="preserve">AND MIDDLE </w:t>
      </w:r>
      <w:r>
        <w:t>Science</w:t>
      </w:r>
    </w:p>
    <w:p w14:paraId="2555DDD4" w14:textId="25E132B7" w:rsidR="005F2596" w:rsidRPr="00DD2508" w:rsidRDefault="005F2596" w:rsidP="005F2596">
      <w:pPr>
        <w:pStyle w:val="GoalTitle"/>
      </w:pPr>
      <w:r>
        <w:t>Goal 5</w:t>
      </w:r>
      <w:r w:rsidRPr="00DD2508">
        <w:t>: Science</w:t>
      </w:r>
    </w:p>
    <w:p w14:paraId="0BAC0545" w14:textId="3C17E566" w:rsidR="000153CF" w:rsidRDefault="000153CF" w:rsidP="000153CF">
      <w:pPr>
        <w:pStyle w:val="GoalText"/>
      </w:pPr>
      <w:r>
        <w:t>Each year, 75% percent of all tested students enrolled in at least their second year and performing at proficiency on the state science exam will be greater than that of all students in the same tested grades in the local school district.  Since the shift to remote learning in March 2020, the goal is the same with performing at proficiency on Troy Prep’s internal interim assessments.</w:t>
      </w:r>
    </w:p>
    <w:p w14:paraId="2CFB2151" w14:textId="77777777" w:rsidR="005F2596" w:rsidRPr="00DD2B8A" w:rsidRDefault="005F2596" w:rsidP="005F2596">
      <w:pPr>
        <w:pStyle w:val="Heading2"/>
      </w:pPr>
      <w:r w:rsidRPr="003D00FB">
        <w:t>Background</w:t>
      </w:r>
    </w:p>
    <w:p w14:paraId="2AC40C50" w14:textId="77777777" w:rsidR="000153CF" w:rsidRPr="000153CF" w:rsidRDefault="000153CF" w:rsidP="000153CF">
      <w:pPr>
        <w:rPr>
          <w:rFonts w:ascii="Calibri" w:hAnsi="Calibri"/>
        </w:rPr>
      </w:pPr>
      <w:r w:rsidRPr="000153CF">
        <w:rPr>
          <w:rFonts w:ascii="Calibri" w:hAnsi="Calibri"/>
        </w:rPr>
        <w:t xml:space="preserve">The science curriculum at Troy Prep has been designed to provide a solid foundation for students in the essential understandings of elementary and middle science as outlined in the New York State standards. </w:t>
      </w:r>
    </w:p>
    <w:p w14:paraId="3E191468" w14:textId="77777777" w:rsidR="000153CF" w:rsidRPr="000153CF" w:rsidRDefault="000153CF" w:rsidP="000153CF">
      <w:pPr>
        <w:rPr>
          <w:rFonts w:ascii="Calibri" w:hAnsi="Calibri"/>
        </w:rPr>
      </w:pPr>
      <w:r w:rsidRPr="000153CF">
        <w:rPr>
          <w:rFonts w:ascii="Calibri" w:hAnsi="Calibri"/>
        </w:rPr>
        <w:t xml:space="preserve">Troy Prep continues to partner with Uncommon Schools to procure </w:t>
      </w:r>
      <w:proofErr w:type="gramStart"/>
      <w:r w:rsidRPr="000153CF">
        <w:rPr>
          <w:rFonts w:ascii="Calibri" w:hAnsi="Calibri"/>
        </w:rPr>
        <w:t>externally-developed</w:t>
      </w:r>
      <w:proofErr w:type="gramEnd"/>
      <w:r w:rsidRPr="000153CF">
        <w:rPr>
          <w:rFonts w:ascii="Calibri" w:hAnsi="Calibri"/>
        </w:rPr>
        <w:t xml:space="preserve">, Common Core-aligned curriculum and assessments, which are based on the successful outcomes of the highest performing schools in the network.  </w:t>
      </w:r>
    </w:p>
    <w:p w14:paraId="6330AE39" w14:textId="77777777" w:rsidR="000153CF" w:rsidRPr="000153CF" w:rsidRDefault="000153CF" w:rsidP="000153CF">
      <w:pPr>
        <w:rPr>
          <w:rFonts w:ascii="Calibri" w:hAnsi="Calibri"/>
        </w:rPr>
      </w:pPr>
      <w:r w:rsidRPr="000153CF">
        <w:rPr>
          <w:rFonts w:ascii="Calibri" w:hAnsi="Calibri"/>
        </w:rPr>
        <w:t xml:space="preserve">Science instruction consistently reinforced both math and reading skills, and our science teachers frequently worked closely with both our Math and English Language Arts teachers to ensure that common approaches and language were used to reinforce cross-curricular content. For example, during the Scientific Method and Measurement unit, students worked with units of measurement, tools of measurement, and conversions between units of measure, reinforcing important math skills. </w:t>
      </w:r>
    </w:p>
    <w:p w14:paraId="5D98B5BE" w14:textId="77777777" w:rsidR="000153CF" w:rsidRPr="000153CF" w:rsidRDefault="000153CF" w:rsidP="000153CF">
      <w:pPr>
        <w:rPr>
          <w:rFonts w:ascii="Calibri" w:hAnsi="Calibri"/>
        </w:rPr>
      </w:pPr>
      <w:r w:rsidRPr="000153CF">
        <w:rPr>
          <w:rFonts w:ascii="Calibri" w:hAnsi="Calibri"/>
        </w:rPr>
        <w:t>In terms of supporting literacy, professional development time is dedicated to determining how to best expose students to nonfiction texts during science class each week and how to encourage them to access and use scientific texts for their own learning and study. This exposure to nonfiction provided an important opportunity for students to practice and continue to develop their reading comprehension and vocabulary skills.</w:t>
      </w:r>
    </w:p>
    <w:p w14:paraId="7CED1AC8" w14:textId="5E0CBCF0" w:rsidR="005F2596" w:rsidRDefault="000153CF" w:rsidP="000153CF">
      <w:pPr>
        <w:rPr>
          <w:rFonts w:ascii="Calibri" w:hAnsi="Calibri"/>
        </w:rPr>
      </w:pPr>
      <w:r w:rsidRPr="000153CF">
        <w:rPr>
          <w:rFonts w:ascii="Calibri" w:hAnsi="Calibri"/>
        </w:rPr>
        <w:t>During the shift to fully remote learning in March 2020</w:t>
      </w:r>
      <w:r>
        <w:rPr>
          <w:rFonts w:ascii="Calibri" w:hAnsi="Calibri"/>
        </w:rPr>
        <w:t xml:space="preserve"> and into early October 2020</w:t>
      </w:r>
      <w:r w:rsidRPr="000153CF">
        <w:rPr>
          <w:rFonts w:ascii="Calibri" w:hAnsi="Calibri"/>
        </w:rPr>
        <w:t xml:space="preserve">, Troy Prep Elementary students continued to incorporate Science instruction into Reading and Math instruction which consists of students watching a video and completing a task 2 days a week and completing passage practice or problem-solving tasks 3 days a week. Teachers assigned Science </w:t>
      </w:r>
      <w:r w:rsidRPr="000153CF">
        <w:rPr>
          <w:rFonts w:ascii="Calibri" w:hAnsi="Calibri"/>
        </w:rPr>
        <w:lastRenderedPageBreak/>
        <w:t>based books through the EPIC! website that aligned to the Science materials that were presented in the videos and packets.</w:t>
      </w:r>
    </w:p>
    <w:p w14:paraId="24C5503F" w14:textId="4AAE77C0" w:rsidR="000153CF" w:rsidRPr="00317100" w:rsidRDefault="000153CF" w:rsidP="000153CF">
      <w:pPr>
        <w:rPr>
          <w:rFonts w:ascii="Calibri" w:hAnsi="Calibri"/>
          <w:szCs w:val="23"/>
        </w:rPr>
      </w:pPr>
      <w:r>
        <w:rPr>
          <w:rFonts w:ascii="Calibri" w:hAnsi="Calibri"/>
        </w:rPr>
        <w:t xml:space="preserve">Troy Prep transitioned to option in-person hybrid learning in early </w:t>
      </w:r>
      <w:proofErr w:type="gramStart"/>
      <w:r>
        <w:rPr>
          <w:rFonts w:ascii="Calibri" w:hAnsi="Calibri"/>
        </w:rPr>
        <w:t>October,</w:t>
      </w:r>
      <w:proofErr w:type="gramEnd"/>
      <w:r>
        <w:rPr>
          <w:rFonts w:ascii="Calibri" w:hAnsi="Calibri"/>
        </w:rPr>
        <w:t xml:space="preserve"> 2020. During that time, students who opted into in-person hybrid learning attended school at least twice a week, up to four times a week. During this time, they resumed their in-person science instruction. For remote students, and during remote days, students attended Zoom Science instruction with their Science teacher.  Students had assignments that were completed through Google Classroom.</w:t>
      </w:r>
    </w:p>
    <w:p w14:paraId="2F2966BD" w14:textId="77777777" w:rsidR="005F2596" w:rsidRPr="00DD2508" w:rsidRDefault="005F2596" w:rsidP="005F2596">
      <w:pPr>
        <w:pStyle w:val="Heading2"/>
      </w:pPr>
      <w:r w:rsidRPr="00DD2508">
        <w:t>Method</w:t>
      </w:r>
    </w:p>
    <w:p w14:paraId="46411F9F" w14:textId="698E63CC" w:rsidR="005F2596" w:rsidRDefault="000153CF" w:rsidP="005F2596">
      <w:pPr>
        <w:rPr>
          <w:rFonts w:ascii="Calibri" w:hAnsi="Calibri"/>
          <w:szCs w:val="23"/>
        </w:rPr>
      </w:pPr>
      <w:r w:rsidRPr="000153CF">
        <w:rPr>
          <w:rFonts w:ascii="Calibri" w:eastAsia="Calibri" w:hAnsi="Calibri" w:cs="Calibri"/>
          <w:szCs w:val="23"/>
        </w:rPr>
        <w:t xml:space="preserve">The school administered two internal interim Science assessments </w:t>
      </w:r>
      <w:r>
        <w:rPr>
          <w:rFonts w:ascii="Calibri" w:eastAsia="Calibri" w:hAnsi="Calibri" w:cs="Calibri"/>
          <w:szCs w:val="23"/>
        </w:rPr>
        <w:t>in the 2020-21 school year.</w:t>
      </w:r>
    </w:p>
    <w:p w14:paraId="4B66F6BF" w14:textId="77777777" w:rsidR="005F2596" w:rsidRPr="00DD2508" w:rsidRDefault="005F2596" w:rsidP="005F2596">
      <w:pPr>
        <w:pStyle w:val="Heading2"/>
      </w:pPr>
      <w:r w:rsidRPr="00DD2508">
        <w:t>Results</w:t>
      </w:r>
      <w:r>
        <w:t xml:space="preserve"> and evaluation</w:t>
      </w:r>
    </w:p>
    <w:p w14:paraId="745055A1" w14:textId="77777777" w:rsidR="000153CF" w:rsidRPr="000153CF" w:rsidRDefault="000153CF" w:rsidP="000153CF">
      <w:pPr>
        <w:pStyle w:val="Heading2"/>
        <w:rPr>
          <w:rFonts w:ascii="Calibri" w:eastAsia="Calibri" w:hAnsi="Calibri" w:cs="Calibri"/>
          <w:bCs w:val="0"/>
          <w:caps w:val="0"/>
          <w:color w:val="404040" w:themeColor="text1" w:themeTint="BF"/>
          <w:sz w:val="23"/>
          <w:szCs w:val="23"/>
        </w:rPr>
      </w:pPr>
      <w:r w:rsidRPr="000153CF">
        <w:rPr>
          <w:rFonts w:ascii="Calibri" w:eastAsia="Calibri" w:hAnsi="Calibri" w:cs="Calibri"/>
          <w:bCs w:val="0"/>
          <w:caps w:val="0"/>
          <w:color w:val="404040" w:themeColor="text1" w:themeTint="BF"/>
          <w:sz w:val="23"/>
          <w:szCs w:val="23"/>
        </w:rPr>
        <w:t>Troy Prep students took 2 rounds of internal Interim Assessments that were compared to other Uncommon Schools in our network.</w:t>
      </w:r>
    </w:p>
    <w:p w14:paraId="480DAE40" w14:textId="389E278D" w:rsidR="000153CF" w:rsidRPr="000153CF" w:rsidRDefault="000153CF" w:rsidP="000153CF">
      <w:pPr>
        <w:pStyle w:val="Heading2"/>
        <w:rPr>
          <w:rFonts w:ascii="Calibri" w:eastAsia="Calibri" w:hAnsi="Calibri" w:cs="Calibri"/>
          <w:bCs w:val="0"/>
          <w:caps w:val="0"/>
          <w:color w:val="404040" w:themeColor="text1" w:themeTint="BF"/>
          <w:sz w:val="23"/>
          <w:szCs w:val="23"/>
        </w:rPr>
      </w:pPr>
      <w:r w:rsidRPr="000153CF">
        <w:rPr>
          <w:rFonts w:ascii="Calibri" w:eastAsia="Calibri" w:hAnsi="Calibri" w:cs="Calibri"/>
          <w:bCs w:val="0"/>
          <w:caps w:val="0"/>
          <w:color w:val="404040" w:themeColor="text1" w:themeTint="BF"/>
          <w:sz w:val="23"/>
          <w:szCs w:val="23"/>
        </w:rPr>
        <w:t xml:space="preserve">During Troy Prep’s </w:t>
      </w:r>
      <w:r>
        <w:rPr>
          <w:rFonts w:ascii="Calibri" w:eastAsia="Calibri" w:hAnsi="Calibri" w:cs="Calibri"/>
          <w:bCs w:val="0"/>
          <w:caps w:val="0"/>
          <w:color w:val="404040" w:themeColor="text1" w:themeTint="BF"/>
          <w:sz w:val="23"/>
          <w:szCs w:val="23"/>
        </w:rPr>
        <w:t>first</w:t>
      </w:r>
      <w:r w:rsidRPr="000153CF">
        <w:rPr>
          <w:rFonts w:ascii="Calibri" w:eastAsia="Calibri" w:hAnsi="Calibri" w:cs="Calibri"/>
          <w:bCs w:val="0"/>
          <w:caps w:val="0"/>
          <w:color w:val="404040" w:themeColor="text1" w:themeTint="BF"/>
          <w:sz w:val="23"/>
          <w:szCs w:val="23"/>
        </w:rPr>
        <w:t xml:space="preserve"> round of internal Interim Assessments, students in 8th grade scored an </w:t>
      </w:r>
      <w:r>
        <w:rPr>
          <w:rFonts w:ascii="Calibri" w:eastAsia="Calibri" w:hAnsi="Calibri" w:cs="Calibri"/>
          <w:bCs w:val="0"/>
          <w:caps w:val="0"/>
          <w:color w:val="404040" w:themeColor="text1" w:themeTint="BF"/>
          <w:sz w:val="23"/>
          <w:szCs w:val="23"/>
        </w:rPr>
        <w:t>1</w:t>
      </w:r>
      <w:r w:rsidRPr="000153CF">
        <w:rPr>
          <w:rFonts w:ascii="Calibri" w:eastAsia="Calibri" w:hAnsi="Calibri" w:cs="Calibri"/>
          <w:bCs w:val="0"/>
          <w:caps w:val="0"/>
          <w:color w:val="404040" w:themeColor="text1" w:themeTint="BF"/>
          <w:sz w:val="23"/>
          <w:szCs w:val="23"/>
        </w:rPr>
        <w:t xml:space="preserve">% lower than the Uncommon Schools average. </w:t>
      </w:r>
    </w:p>
    <w:p w14:paraId="48F20A62" w14:textId="21575566" w:rsidR="000153CF" w:rsidRPr="000153CF" w:rsidRDefault="000153CF" w:rsidP="000153CF">
      <w:pPr>
        <w:pStyle w:val="Heading2"/>
        <w:rPr>
          <w:rFonts w:ascii="Calibri" w:eastAsia="Calibri" w:hAnsi="Calibri" w:cs="Calibri"/>
          <w:bCs w:val="0"/>
          <w:caps w:val="0"/>
          <w:color w:val="404040" w:themeColor="text1" w:themeTint="BF"/>
          <w:sz w:val="23"/>
          <w:szCs w:val="23"/>
        </w:rPr>
      </w:pPr>
      <w:r w:rsidRPr="000153CF">
        <w:rPr>
          <w:rFonts w:ascii="Calibri" w:eastAsia="Calibri" w:hAnsi="Calibri" w:cs="Calibri"/>
          <w:bCs w:val="0"/>
          <w:caps w:val="0"/>
          <w:color w:val="404040" w:themeColor="text1" w:themeTint="BF"/>
          <w:sz w:val="23"/>
          <w:szCs w:val="23"/>
        </w:rPr>
        <w:t xml:space="preserve">Troy Prep students in 8th grade outperformed </w:t>
      </w:r>
      <w:r>
        <w:rPr>
          <w:rFonts w:ascii="Calibri" w:eastAsia="Calibri" w:hAnsi="Calibri" w:cs="Calibri"/>
          <w:bCs w:val="0"/>
          <w:caps w:val="0"/>
          <w:color w:val="404040" w:themeColor="text1" w:themeTint="BF"/>
          <w:sz w:val="23"/>
          <w:szCs w:val="23"/>
        </w:rPr>
        <w:t>were consistent with the</w:t>
      </w:r>
      <w:r w:rsidRPr="000153CF">
        <w:rPr>
          <w:rFonts w:ascii="Calibri" w:eastAsia="Calibri" w:hAnsi="Calibri" w:cs="Calibri"/>
          <w:bCs w:val="0"/>
          <w:caps w:val="0"/>
          <w:color w:val="404040" w:themeColor="text1" w:themeTint="BF"/>
          <w:sz w:val="23"/>
          <w:szCs w:val="23"/>
        </w:rPr>
        <w:t xml:space="preserve"> Uncommon Schools average by </w:t>
      </w:r>
      <w:r>
        <w:rPr>
          <w:rFonts w:ascii="Calibri" w:eastAsia="Calibri" w:hAnsi="Calibri" w:cs="Calibri"/>
          <w:bCs w:val="0"/>
          <w:caps w:val="0"/>
          <w:color w:val="404040" w:themeColor="text1" w:themeTint="BF"/>
          <w:sz w:val="23"/>
          <w:szCs w:val="23"/>
        </w:rPr>
        <w:t xml:space="preserve">on their second interim assessment, with 49% of students </w:t>
      </w:r>
      <w:r w:rsidR="00944F8F">
        <w:rPr>
          <w:rFonts w:ascii="Calibri" w:eastAsia="Calibri" w:hAnsi="Calibri" w:cs="Calibri"/>
          <w:bCs w:val="0"/>
          <w:caps w:val="0"/>
          <w:color w:val="404040" w:themeColor="text1" w:themeTint="BF"/>
          <w:sz w:val="23"/>
          <w:szCs w:val="23"/>
        </w:rPr>
        <w:t>scoring</w:t>
      </w:r>
      <w:r>
        <w:rPr>
          <w:rFonts w:ascii="Calibri" w:eastAsia="Calibri" w:hAnsi="Calibri" w:cs="Calibri"/>
          <w:bCs w:val="0"/>
          <w:caps w:val="0"/>
          <w:color w:val="404040" w:themeColor="text1" w:themeTint="BF"/>
          <w:sz w:val="23"/>
          <w:szCs w:val="23"/>
        </w:rPr>
        <w:t xml:space="preserve"> proficient o</w:t>
      </w:r>
      <w:r w:rsidR="00944F8F">
        <w:rPr>
          <w:rFonts w:ascii="Calibri" w:eastAsia="Calibri" w:hAnsi="Calibri" w:cs="Calibri"/>
          <w:bCs w:val="0"/>
          <w:caps w:val="0"/>
          <w:color w:val="404040" w:themeColor="text1" w:themeTint="BF"/>
          <w:sz w:val="23"/>
          <w:szCs w:val="23"/>
        </w:rPr>
        <w:t>r</w:t>
      </w:r>
      <w:r>
        <w:rPr>
          <w:rFonts w:ascii="Calibri" w:eastAsia="Calibri" w:hAnsi="Calibri" w:cs="Calibri"/>
          <w:bCs w:val="0"/>
          <w:caps w:val="0"/>
          <w:color w:val="404040" w:themeColor="text1" w:themeTint="BF"/>
          <w:sz w:val="23"/>
          <w:szCs w:val="23"/>
        </w:rPr>
        <w:t xml:space="preserve"> advanced proficient. 50</w:t>
      </w:r>
      <w:r w:rsidRPr="000153CF">
        <w:rPr>
          <w:rFonts w:ascii="Calibri" w:eastAsia="Calibri" w:hAnsi="Calibri" w:cs="Calibri"/>
          <w:bCs w:val="0"/>
          <w:caps w:val="0"/>
          <w:color w:val="404040" w:themeColor="text1" w:themeTint="BF"/>
          <w:sz w:val="23"/>
          <w:szCs w:val="23"/>
        </w:rPr>
        <w:t>% of students who were in their second year scored either proficient or advanced proficient.</w:t>
      </w:r>
    </w:p>
    <w:p w14:paraId="5241FE3E" w14:textId="77777777" w:rsidR="000153CF" w:rsidRDefault="000153CF" w:rsidP="000153CF">
      <w:pPr>
        <w:pStyle w:val="Heading2"/>
        <w:rPr>
          <w:rFonts w:ascii="Calibri" w:eastAsia="Calibri" w:hAnsi="Calibri" w:cs="Calibri"/>
          <w:bCs w:val="0"/>
          <w:caps w:val="0"/>
          <w:color w:val="404040" w:themeColor="text1" w:themeTint="BF"/>
          <w:sz w:val="23"/>
          <w:szCs w:val="23"/>
        </w:rPr>
      </w:pPr>
      <w:r w:rsidRPr="000153CF">
        <w:rPr>
          <w:rFonts w:ascii="Calibri" w:eastAsia="Calibri" w:hAnsi="Calibri" w:cs="Calibri"/>
          <w:bCs w:val="0"/>
          <w:caps w:val="0"/>
          <w:color w:val="404040" w:themeColor="text1" w:themeTint="BF"/>
          <w:sz w:val="23"/>
          <w:szCs w:val="23"/>
        </w:rPr>
        <w:t xml:space="preserve">Troy Prep did not meet the goal of students scoring at proficiency on our internal interim assessments.  </w:t>
      </w:r>
    </w:p>
    <w:p w14:paraId="5087EF3C" w14:textId="26602A42" w:rsidR="005F2596" w:rsidRPr="00D17F56" w:rsidRDefault="005F2596" w:rsidP="000153CF">
      <w:pPr>
        <w:pStyle w:val="Heading2"/>
      </w:pPr>
      <w:r w:rsidRPr="00D17F56">
        <w:t xml:space="preserve">Additional </w:t>
      </w:r>
      <w:r w:rsidR="008B5C21">
        <w:t xml:space="preserve">CONTEXT AND </w:t>
      </w:r>
      <w:r w:rsidRPr="00D17F56">
        <w:t>Evidence</w:t>
      </w:r>
    </w:p>
    <w:p w14:paraId="29C990E3" w14:textId="77777777" w:rsidR="00944F8F" w:rsidRPr="00944F8F" w:rsidRDefault="00944F8F" w:rsidP="00944F8F">
      <w:pPr>
        <w:pStyle w:val="Heading2"/>
        <w:rPr>
          <w:rFonts w:ascii="Calibri" w:eastAsia="Calibri" w:hAnsi="Calibri" w:cs="Calibri"/>
          <w:bCs w:val="0"/>
          <w:caps w:val="0"/>
          <w:color w:val="404040" w:themeColor="text1" w:themeTint="BF"/>
          <w:sz w:val="23"/>
          <w:szCs w:val="20"/>
        </w:rPr>
      </w:pPr>
      <w:r w:rsidRPr="00944F8F">
        <w:rPr>
          <w:rFonts w:ascii="Calibri" w:eastAsia="Calibri" w:hAnsi="Calibri" w:cs="Calibri"/>
          <w:bCs w:val="0"/>
          <w:caps w:val="0"/>
          <w:color w:val="404040" w:themeColor="text1" w:themeTint="BF"/>
          <w:sz w:val="23"/>
          <w:szCs w:val="20"/>
        </w:rPr>
        <w:t>Troy Prep has met the Absolute Measure each year since 2015-2016 in Grade 4 Science. In 2016-2017, 94% of students met the absolute measure in Science. In 2017-18, 95% of students met the absolute measure. In 2018-19, 84% of students met the absolute measure. These students have received high-quality Science instruction since starting at Troy Prep in Kindergarten, which attributes to the strong results each year.</w:t>
      </w:r>
    </w:p>
    <w:p w14:paraId="17C739E8" w14:textId="055D40F9" w:rsidR="005F2596" w:rsidRPr="003E63E0" w:rsidRDefault="00944F8F" w:rsidP="00944F8F">
      <w:pPr>
        <w:rPr>
          <w:rFonts w:ascii="Calibri" w:hAnsi="Calibri"/>
          <w:b/>
          <w:color w:val="000000"/>
          <w:sz w:val="16"/>
          <w:szCs w:val="16"/>
          <w:u w:val="single"/>
        </w:rPr>
      </w:pPr>
      <w:r w:rsidRPr="00944F8F">
        <w:rPr>
          <w:rFonts w:ascii="Calibri" w:eastAsia="Calibri" w:hAnsi="Calibri" w:cs="Calibri"/>
        </w:rPr>
        <w:t xml:space="preserve">Troy Prep has historically met the 8th grade measure. In 2016-17, 92% of 2nd year students passed the Living Environment Regents exam.  In 2018-19, 78% of 2nd year students passed the exam. </w:t>
      </w:r>
      <w:r>
        <w:rPr>
          <w:rFonts w:ascii="Calibri" w:eastAsia="Calibri" w:hAnsi="Calibri" w:cs="Calibri"/>
        </w:rPr>
        <w:t>65% of students earned an exemption from the Living Environments Regents.</w:t>
      </w:r>
    </w:p>
    <w:p w14:paraId="510533F3" w14:textId="77777777" w:rsidR="005F2596" w:rsidRPr="00977126" w:rsidRDefault="005F2596" w:rsidP="005F2596">
      <w:pPr>
        <w:pStyle w:val="Heading2"/>
      </w:pPr>
      <w:r w:rsidRPr="00977126">
        <w:t xml:space="preserve">Summary of the </w:t>
      </w:r>
      <w:r>
        <w:t xml:space="preserve">Elementary </w:t>
      </w:r>
      <w:r w:rsidRPr="00977126">
        <w:t>Science Goal</w:t>
      </w:r>
    </w:p>
    <w:p w14:paraId="66FEC303" w14:textId="77777777" w:rsidR="00944F8F" w:rsidRDefault="00944F8F" w:rsidP="005F2596">
      <w:pPr>
        <w:pStyle w:val="Heading2"/>
        <w:rPr>
          <w:rFonts w:eastAsia="Times New Roman" w:cs="Times New Roman"/>
          <w:bCs w:val="0"/>
          <w:caps w:val="0"/>
          <w:color w:val="404040" w:themeColor="text1" w:themeTint="BF"/>
          <w:sz w:val="23"/>
          <w:szCs w:val="20"/>
        </w:rPr>
      </w:pPr>
      <w:r w:rsidRPr="00944F8F">
        <w:rPr>
          <w:rFonts w:eastAsia="Times New Roman" w:cs="Times New Roman"/>
          <w:bCs w:val="0"/>
          <w:caps w:val="0"/>
          <w:color w:val="404040" w:themeColor="text1" w:themeTint="BF"/>
          <w:sz w:val="23"/>
          <w:szCs w:val="20"/>
        </w:rPr>
        <w:t>Troy Prep did not achieve their Science goals for the 2020</w:t>
      </w:r>
      <w:r>
        <w:rPr>
          <w:rFonts w:eastAsia="Times New Roman" w:cs="Times New Roman"/>
          <w:bCs w:val="0"/>
          <w:caps w:val="0"/>
          <w:color w:val="404040" w:themeColor="text1" w:themeTint="BF"/>
          <w:sz w:val="23"/>
          <w:szCs w:val="20"/>
        </w:rPr>
        <w:t>-21</w:t>
      </w:r>
      <w:r w:rsidRPr="00944F8F">
        <w:rPr>
          <w:rFonts w:eastAsia="Times New Roman" w:cs="Times New Roman"/>
          <w:bCs w:val="0"/>
          <w:caps w:val="0"/>
          <w:color w:val="404040" w:themeColor="text1" w:themeTint="BF"/>
          <w:sz w:val="23"/>
          <w:szCs w:val="20"/>
        </w:rPr>
        <w:t xml:space="preserve"> school year. While 4th grade students did not take assessments directly in Science in the 2019-2020 school year, the 8th grade students did not perform at or above proficiency on their 2 internal interim Assessments.</w:t>
      </w:r>
    </w:p>
    <w:p w14:paraId="4E15A0B3" w14:textId="2764F459" w:rsidR="005F2596" w:rsidRPr="00DD2508" w:rsidRDefault="005F2596" w:rsidP="005F2596">
      <w:pPr>
        <w:pStyle w:val="Heading2"/>
      </w:pPr>
      <w:r w:rsidRPr="00DD2508">
        <w:t>Action Plan</w:t>
      </w:r>
    </w:p>
    <w:p w14:paraId="49D84D8E" w14:textId="7BA8778C" w:rsidR="00944F8F" w:rsidRDefault="00944F8F" w:rsidP="00944F8F">
      <w:pPr>
        <w:widowControl w:val="0"/>
        <w:ind w:right="-18"/>
        <w:rPr>
          <w:rFonts w:ascii="Calibri" w:hAnsi="Calibri"/>
        </w:rPr>
      </w:pPr>
      <w:r>
        <w:rPr>
          <w:rFonts w:ascii="Calibri" w:hAnsi="Calibri"/>
        </w:rPr>
        <w:t>While Troy Prep has been pleased with its 4</w:t>
      </w:r>
      <w:r>
        <w:rPr>
          <w:rFonts w:ascii="Calibri" w:hAnsi="Calibri"/>
          <w:vertAlign w:val="superscript"/>
        </w:rPr>
        <w:t>th</w:t>
      </w:r>
      <w:r>
        <w:rPr>
          <w:rFonts w:ascii="Calibri" w:hAnsi="Calibri"/>
        </w:rPr>
        <w:t xml:space="preserve"> grade science results in the past, we acknowledge that </w:t>
      </w:r>
      <w:r>
        <w:rPr>
          <w:rFonts w:ascii="Calibri" w:hAnsi="Calibri"/>
        </w:rPr>
        <w:lastRenderedPageBreak/>
        <w:t>there is always room for improvement, especially given the 20-21 8</w:t>
      </w:r>
      <w:r>
        <w:rPr>
          <w:rFonts w:ascii="Calibri" w:hAnsi="Calibri"/>
          <w:vertAlign w:val="superscript"/>
        </w:rPr>
        <w:t>th</w:t>
      </w:r>
      <w:r>
        <w:rPr>
          <w:rFonts w:ascii="Calibri" w:hAnsi="Calibri"/>
        </w:rPr>
        <w:t xml:space="preserve"> grade internal Interim Assessment results. Troy Prep plans to do the following things to ensure that students continue to progress in this measure:</w:t>
      </w:r>
    </w:p>
    <w:p w14:paraId="0A24249E" w14:textId="77777777" w:rsidR="00944F8F" w:rsidRDefault="00944F8F" w:rsidP="00A70F9C">
      <w:pPr>
        <w:numPr>
          <w:ilvl w:val="0"/>
          <w:numId w:val="28"/>
        </w:numPr>
        <w:spacing w:after="0"/>
        <w:rPr>
          <w:rFonts w:ascii="Calibri" w:hAnsi="Calibri"/>
        </w:rPr>
      </w:pPr>
      <w:r>
        <w:rPr>
          <w:rFonts w:ascii="Calibri" w:hAnsi="Calibri"/>
        </w:rPr>
        <w:t>Implement the Reading Taxonomy and Science Taxonomy techniques in all Science classes to continue to improve teaching practices in these classes</w:t>
      </w:r>
    </w:p>
    <w:p w14:paraId="279D87AF" w14:textId="77777777" w:rsidR="00944F8F" w:rsidRDefault="00944F8F" w:rsidP="00A70F9C">
      <w:pPr>
        <w:numPr>
          <w:ilvl w:val="0"/>
          <w:numId w:val="28"/>
        </w:numPr>
        <w:spacing w:after="0"/>
        <w:rPr>
          <w:rFonts w:ascii="Calibri" w:hAnsi="Calibri"/>
        </w:rPr>
      </w:pPr>
      <w:r>
        <w:rPr>
          <w:rFonts w:ascii="Calibri" w:hAnsi="Calibri"/>
        </w:rPr>
        <w:t>Continue to prepare our 8th grade students for the Living Environment Regents in June</w:t>
      </w:r>
    </w:p>
    <w:p w14:paraId="616B0696" w14:textId="77777777" w:rsidR="00944F8F" w:rsidRDefault="00944F8F" w:rsidP="00A70F9C">
      <w:pPr>
        <w:numPr>
          <w:ilvl w:val="0"/>
          <w:numId w:val="28"/>
        </w:numPr>
        <w:spacing w:after="0"/>
        <w:rPr>
          <w:rFonts w:ascii="Calibri" w:hAnsi="Calibri"/>
        </w:rPr>
      </w:pPr>
      <w:r>
        <w:rPr>
          <w:rFonts w:ascii="Calibri" w:hAnsi="Calibri"/>
        </w:rPr>
        <w:t>Continue to use fourth, fifth and sixth grade science curriculum to provide students with the essential understandings and skills that will prepare them for more in-depth study of Chemistry, Biology, and Physics during seventh and eighth grade</w:t>
      </w:r>
    </w:p>
    <w:p w14:paraId="61E8834E" w14:textId="77777777" w:rsidR="00944F8F" w:rsidRDefault="00944F8F" w:rsidP="00A70F9C">
      <w:pPr>
        <w:numPr>
          <w:ilvl w:val="0"/>
          <w:numId w:val="28"/>
        </w:numPr>
        <w:spacing w:after="0"/>
        <w:rPr>
          <w:rFonts w:ascii="Calibri" w:hAnsi="Calibri"/>
        </w:rPr>
      </w:pPr>
      <w:r>
        <w:rPr>
          <w:rFonts w:ascii="Calibri" w:hAnsi="Calibri"/>
        </w:rPr>
        <w:t>Encourage collaboration between science and literacy teachers so that comprehension and vocabulary strategies taught in reading class are incorporated into science class during non-fiction lessons. Science teachers will be responsible for teaching all textbook features through science instruction.  These skills will then be reinforced by the reading teacher while reading non-fiction texts. In addition, Science and Writing teachers will continue to collaborate to give students practice in research and non-fiction writing.</w:t>
      </w:r>
    </w:p>
    <w:p w14:paraId="300226DF" w14:textId="77777777" w:rsidR="00944F8F" w:rsidRDefault="00944F8F" w:rsidP="00A70F9C">
      <w:pPr>
        <w:numPr>
          <w:ilvl w:val="0"/>
          <w:numId w:val="28"/>
        </w:numPr>
        <w:spacing w:after="0"/>
        <w:rPr>
          <w:rFonts w:ascii="Calibri" w:hAnsi="Calibri"/>
        </w:rPr>
      </w:pPr>
      <w:r>
        <w:rPr>
          <w:rFonts w:ascii="Calibri" w:hAnsi="Calibri"/>
        </w:rPr>
        <w:t xml:space="preserve">Provide professional development and common planning time dedicated to collaboration between science, math, and literacy teachers to ensure that the science curriculum continues to reinforce essential math and reading comprehension skills. The class schedule was created with these periods in mind. Each of these teachers has at least one period a week that they can meet with their counterpart to discuss these skills. As mentioned previously we will also be using our PD time as a staff to focus on this. Observations, lesson review and video will be used to help provide feedback to our teachers on this topic. </w:t>
      </w:r>
    </w:p>
    <w:p w14:paraId="712A5F5C" w14:textId="77777777" w:rsidR="005F2596" w:rsidRPr="005F2596" w:rsidRDefault="005F2596" w:rsidP="005F2596"/>
    <w:p w14:paraId="3BC23B29" w14:textId="40FFAE2A" w:rsidR="00F3049D" w:rsidRPr="00F3049D" w:rsidRDefault="006C26DE" w:rsidP="0075382B">
      <w:pPr>
        <w:pStyle w:val="Heading2"/>
      </w:pPr>
      <w:bookmarkStart w:id="5" w:name="SocialStudies"/>
      <w:r>
        <w:t>High School Science</w:t>
      </w:r>
    </w:p>
    <w:p w14:paraId="487D1F58" w14:textId="57666328" w:rsidR="00056BFE" w:rsidRPr="00DD2508" w:rsidRDefault="00056BFE" w:rsidP="00056BFE">
      <w:pPr>
        <w:pStyle w:val="MeasureTitle"/>
      </w:pPr>
      <w:r w:rsidRPr="00DD2508">
        <w:t xml:space="preserve">Goal </w:t>
      </w:r>
      <w:r w:rsidR="00887F40">
        <w:t>5</w:t>
      </w:r>
      <w:r w:rsidRPr="00DD2508">
        <w:t>: Absolute Measure</w:t>
      </w:r>
    </w:p>
    <w:p w14:paraId="03283E47" w14:textId="77777777" w:rsidR="00056BFE" w:rsidRPr="00DD2508" w:rsidRDefault="00056BFE" w:rsidP="00056BFE">
      <w:pPr>
        <w:pStyle w:val="MeasureText"/>
        <w:rPr>
          <w:i/>
        </w:rPr>
      </w:pPr>
      <w:r w:rsidRPr="00DD2508">
        <w:t xml:space="preserve">Each year, 75 percent of students in the high school Accountability Cohort will score at least 65 on </w:t>
      </w:r>
      <w:r>
        <w:t>a</w:t>
      </w:r>
      <w:r w:rsidRPr="00DD2508">
        <w:t xml:space="preserve"> New York State Regents </w:t>
      </w:r>
      <w:r>
        <w:t>science</w:t>
      </w:r>
      <w:r w:rsidRPr="00DD2508">
        <w:t xml:space="preserve"> exam by the completion of their fourth year in the cohort.</w:t>
      </w:r>
    </w:p>
    <w:p w14:paraId="39E9CBF6" w14:textId="77777777" w:rsidR="00056BFE" w:rsidRPr="00DD2508" w:rsidRDefault="00056BFE" w:rsidP="00056BFE">
      <w:pPr>
        <w:pStyle w:val="Heading2"/>
      </w:pPr>
      <w:r w:rsidRPr="00DD2508">
        <w:t>Method</w:t>
      </w:r>
    </w:p>
    <w:p w14:paraId="5D2963C4" w14:textId="1ABE9289" w:rsidR="0075382B" w:rsidRDefault="0075382B" w:rsidP="0075382B">
      <w:r w:rsidRPr="00DD2508">
        <w:t xml:space="preserve">New York State </w:t>
      </w:r>
      <w:r>
        <w:t xml:space="preserve">schools </w:t>
      </w:r>
      <w:r w:rsidRPr="00DD2508">
        <w:t>administer multiple high school science assessments; current Regent exams are Living Environment, Earth Science, Chemistry and Physics.  The school</w:t>
      </w:r>
      <w:r w:rsidR="006257EE">
        <w:t xml:space="preserve"> did not</w:t>
      </w:r>
      <w:r w:rsidRPr="00DD2508">
        <w:t xml:space="preserve"> administer</w:t>
      </w:r>
      <w:r w:rsidR="006257EE">
        <w:t xml:space="preserve"> any exams in 2020-21 school </w:t>
      </w:r>
      <w:proofErr w:type="gramStart"/>
      <w:r w:rsidR="006257EE">
        <w:t xml:space="preserve">year </w:t>
      </w:r>
      <w:r w:rsidRPr="00614650">
        <w:t>.</w:t>
      </w:r>
      <w:proofErr w:type="gramEnd"/>
      <w:r w:rsidRPr="00614650">
        <w:t xml:space="preserve"> </w:t>
      </w:r>
      <w:r>
        <w:t xml:space="preserve">It scores </w:t>
      </w:r>
      <w:r w:rsidRPr="00DD2508">
        <w:t>Regents on a scale from 0 to 100</w:t>
      </w:r>
      <w:r>
        <w:t xml:space="preserve">; </w:t>
      </w:r>
      <w:r w:rsidRPr="00DD2508">
        <w:t>students must score at least 65 to pass.  This measure requires students in each Accountability Cohort to pass any one of the Regents science exams by their fourth year in the cohort.  Students may have taken a particular Regents science exam multiple times or have taken multiple science exams</w:t>
      </w:r>
      <w:r>
        <w:t>.</w:t>
      </w:r>
      <w:r w:rsidRPr="00DD2508">
        <w:t xml:space="preserve">  Students ha</w:t>
      </w:r>
      <w:r>
        <w:t>ve</w:t>
      </w:r>
      <w:r w:rsidRPr="00DD2508">
        <w:t xml:space="preserve"> until the summer of their fourth year to pass a science exam.  </w:t>
      </w:r>
    </w:p>
    <w:p w14:paraId="0731ADAE" w14:textId="77777777" w:rsidR="0075382B" w:rsidRPr="001008FB" w:rsidRDefault="0075382B" w:rsidP="0075382B">
      <w:pPr>
        <w:rPr>
          <w:b/>
          <w:bCs/>
        </w:rPr>
      </w:pPr>
      <w:r w:rsidRPr="57F71D55">
        <w:rPr>
          <w:b/>
          <w:bCs/>
        </w:rPr>
        <w:t>Due to the state’s cance</w:t>
      </w:r>
      <w:r>
        <w:rPr>
          <w:b/>
          <w:bCs/>
        </w:rPr>
        <w:t xml:space="preserve">llation of multiple </w:t>
      </w:r>
      <w:r w:rsidRPr="57F71D55">
        <w:rPr>
          <w:b/>
          <w:bCs/>
        </w:rPr>
        <w:t>administrations of the Regents</w:t>
      </w:r>
      <w:r>
        <w:rPr>
          <w:b/>
          <w:bCs/>
        </w:rPr>
        <w:t xml:space="preserve"> exams in 2019-20 and 2020-21, some students in the 2017</w:t>
      </w:r>
      <w:r w:rsidRPr="57F71D55">
        <w:rPr>
          <w:b/>
          <w:bCs/>
        </w:rPr>
        <w:t xml:space="preserve"> Cohort who had not previously sat for the exam but were sc</w:t>
      </w:r>
      <w:r>
        <w:rPr>
          <w:b/>
          <w:bCs/>
        </w:rPr>
        <w:t xml:space="preserve">heduled to sit for this exam during a cancellation </w:t>
      </w:r>
      <w:r w:rsidRPr="57F71D55">
        <w:rPr>
          <w:b/>
          <w:bCs/>
        </w:rPr>
        <w:t xml:space="preserve">would be exempted from the graduation requirement.  As such, the school should report both the number of students who were exempted from the exam as well as the percentage </w:t>
      </w:r>
      <w:r>
        <w:rPr>
          <w:b/>
          <w:bCs/>
        </w:rPr>
        <w:t>of students passing</w:t>
      </w:r>
      <w:r w:rsidRPr="57F71D55">
        <w:rPr>
          <w:b/>
          <w:bCs/>
        </w:rPr>
        <w:t xml:space="preserve"> among the students who sat for the exam.</w:t>
      </w:r>
    </w:p>
    <w:p w14:paraId="64C0C34F" w14:textId="7429A77A" w:rsidR="00056BFE" w:rsidRPr="00DD2508" w:rsidRDefault="00056BFE" w:rsidP="00056BFE">
      <w:pPr>
        <w:pStyle w:val="Heading2"/>
      </w:pPr>
      <w:r w:rsidRPr="00BA3D44">
        <w:lastRenderedPageBreak/>
        <w:t>Results</w:t>
      </w:r>
      <w:r w:rsidR="008C409B" w:rsidRPr="00BA3D44">
        <w:t xml:space="preserve"> and Evaluation</w:t>
      </w:r>
    </w:p>
    <w:p w14:paraId="7F7DA15C" w14:textId="0CA48F33" w:rsidR="006257EE" w:rsidRDefault="006257EE" w:rsidP="006257EE">
      <w:r>
        <w:t xml:space="preserve">Troy Prep Charter School had </w:t>
      </w:r>
      <w:r w:rsidR="00BA3D44">
        <w:t>94</w:t>
      </w:r>
      <w:r>
        <w:t xml:space="preserve">% of students in the 2017 cohort passed the Living Environment Regents with a score of 65 or higher </w:t>
      </w:r>
      <w:r w:rsidR="00BA3D44">
        <w:t>with 7 who</w:t>
      </w:r>
      <w:r>
        <w:t xml:space="preserve"> were exempt from the exam. Students did not sit for the living environment exam.</w:t>
      </w:r>
    </w:p>
    <w:p w14:paraId="52118F68" w14:textId="1FBBB621" w:rsidR="00056BFE" w:rsidRDefault="006257EE" w:rsidP="006257EE">
      <w:r>
        <w:t>This measure was met and exceeded, for the 2020-2021 school year.</w:t>
      </w:r>
    </w:p>
    <w:p w14:paraId="5FCED709" w14:textId="2C39B38B" w:rsidR="00BA3D44" w:rsidRDefault="00BA3D44" w:rsidP="006257EE">
      <w:r>
        <w:t>Of the 2018 cohort, 90% of students passed the Living Environment Regents with a score of 65 or higher with 10 students exempt with no valid score.  The 2017 cohort had 81% of students pass with 16 exempt and the 2020 cohort had 44 students exempt with no valid score. No students sat for the exam.</w:t>
      </w:r>
    </w:p>
    <w:p w14:paraId="06B75D3B" w14:textId="77777777" w:rsidR="00056BFE" w:rsidRDefault="00056BFE" w:rsidP="00056BFE">
      <w:pPr>
        <w:pStyle w:val="TableHeader"/>
      </w:pPr>
      <w:r>
        <w:t xml:space="preserve">Science </w:t>
      </w:r>
      <w:r w:rsidRPr="00DD2508">
        <w:t xml:space="preserve">Regents Passing Rate </w:t>
      </w:r>
      <w:r>
        <w:t xml:space="preserve">with a Score of 65 </w:t>
      </w:r>
    </w:p>
    <w:p w14:paraId="438048BF" w14:textId="77777777" w:rsidR="00056BFE" w:rsidRPr="00DD2508" w:rsidRDefault="00056BFE" w:rsidP="00056BFE">
      <w:pPr>
        <w:pStyle w:val="TableHeader"/>
      </w:pPr>
      <w:r w:rsidRPr="00DD2508">
        <w:t>by Fourth Year Accountability Cohort</w:t>
      </w:r>
      <w:r w:rsidRPr="7D51821A">
        <w:rPr>
          <w:rStyle w:val="FootnoteReference"/>
          <w:b/>
          <w:bCs/>
        </w:rPr>
        <w:footnoteReference w:id="6"/>
      </w:r>
      <w:r w:rsidRPr="00DD2508">
        <w:t xml:space="preserve">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990"/>
        <w:gridCol w:w="900"/>
        <w:gridCol w:w="1685"/>
        <w:gridCol w:w="1809"/>
        <w:gridCol w:w="2520"/>
      </w:tblGrid>
      <w:tr w:rsidR="001008FB" w:rsidRPr="00DD2508" w14:paraId="7CB5C51B" w14:textId="77777777" w:rsidTr="001008FB">
        <w:trPr>
          <w:trHeight w:val="758"/>
          <w:jc w:val="center"/>
        </w:trPr>
        <w:tc>
          <w:tcPr>
            <w:tcW w:w="1255" w:type="dxa"/>
            <w:shd w:val="clear" w:color="auto" w:fill="auto"/>
            <w:vAlign w:val="center"/>
          </w:tcPr>
          <w:p w14:paraId="39F3B0F8" w14:textId="77777777" w:rsidR="001008FB" w:rsidRPr="00DE3E14" w:rsidRDefault="001008FB" w:rsidP="0098460C">
            <w:pPr>
              <w:pStyle w:val="TableText"/>
            </w:pPr>
            <w:r w:rsidRPr="00DE3E14">
              <w:t>Cohort Designation</w:t>
            </w:r>
          </w:p>
        </w:tc>
        <w:tc>
          <w:tcPr>
            <w:tcW w:w="990" w:type="dxa"/>
          </w:tcPr>
          <w:p w14:paraId="54D8DE81" w14:textId="77777777" w:rsidR="001008FB" w:rsidRDefault="001008FB" w:rsidP="0098460C">
            <w:pPr>
              <w:pStyle w:val="TableText"/>
            </w:pPr>
          </w:p>
          <w:p w14:paraId="1EDCCE7C" w14:textId="77777777" w:rsidR="001008FB" w:rsidRDefault="001008FB" w:rsidP="0098460C">
            <w:pPr>
              <w:pStyle w:val="TableText"/>
            </w:pPr>
            <w:r>
              <w:t>Fourth</w:t>
            </w:r>
          </w:p>
          <w:p w14:paraId="17EA39CD" w14:textId="77777777" w:rsidR="001008FB" w:rsidRPr="00DE3E14" w:rsidRDefault="001008FB" w:rsidP="0098460C">
            <w:pPr>
              <w:pStyle w:val="TableText"/>
            </w:pPr>
            <w:r>
              <w:t>Year</w:t>
            </w:r>
          </w:p>
        </w:tc>
        <w:tc>
          <w:tcPr>
            <w:tcW w:w="900" w:type="dxa"/>
            <w:vAlign w:val="center"/>
          </w:tcPr>
          <w:p w14:paraId="0FB81D48" w14:textId="77777777" w:rsidR="001008FB" w:rsidRPr="00DE3E14" w:rsidRDefault="001008FB" w:rsidP="0098460C">
            <w:pPr>
              <w:pStyle w:val="TableText"/>
            </w:pPr>
            <w:r>
              <w:t xml:space="preserve">Number in Cohort </w:t>
            </w:r>
          </w:p>
          <w:p w14:paraId="2548024A" w14:textId="77777777" w:rsidR="001008FB" w:rsidRPr="00DE3E14" w:rsidRDefault="001008FB" w:rsidP="0098460C">
            <w:pPr>
              <w:pStyle w:val="TableText"/>
            </w:pPr>
            <w:r>
              <w:t>(a)</w:t>
            </w:r>
          </w:p>
        </w:tc>
        <w:tc>
          <w:tcPr>
            <w:tcW w:w="1685" w:type="dxa"/>
            <w:vAlign w:val="center"/>
          </w:tcPr>
          <w:p w14:paraId="568C8E06" w14:textId="77777777" w:rsidR="001008FB" w:rsidRDefault="001008FB" w:rsidP="0098460C">
            <w:pPr>
              <w:pStyle w:val="TableText"/>
            </w:pPr>
            <w:r>
              <w:t xml:space="preserve">Number Exempted with No Valid Score </w:t>
            </w:r>
          </w:p>
          <w:p w14:paraId="69315E69" w14:textId="77777777" w:rsidR="001008FB" w:rsidRDefault="001008FB" w:rsidP="0098460C">
            <w:pPr>
              <w:pStyle w:val="TableText"/>
            </w:pPr>
            <w:r>
              <w:t>(b)</w:t>
            </w:r>
          </w:p>
        </w:tc>
        <w:tc>
          <w:tcPr>
            <w:tcW w:w="1809" w:type="dxa"/>
            <w:tcBorders>
              <w:top w:val="single" w:sz="12" w:space="0" w:color="auto"/>
              <w:left w:val="single" w:sz="12" w:space="0" w:color="auto"/>
              <w:right w:val="single" w:sz="12" w:space="0" w:color="auto"/>
            </w:tcBorders>
            <w:vAlign w:val="center"/>
          </w:tcPr>
          <w:p w14:paraId="25FFC101" w14:textId="506A12FF" w:rsidR="001008FB" w:rsidRDefault="001008FB" w:rsidP="0098460C">
            <w:pPr>
              <w:pStyle w:val="TableText"/>
            </w:pPr>
            <w:r>
              <w:t xml:space="preserve">Number Passing with at Least a 65 </w:t>
            </w:r>
          </w:p>
          <w:p w14:paraId="5F9C1B8D" w14:textId="77777777" w:rsidR="001008FB" w:rsidRDefault="001008FB" w:rsidP="0098460C">
            <w:pPr>
              <w:pStyle w:val="TableText"/>
            </w:pPr>
            <w:r>
              <w:t>(c)</w:t>
            </w:r>
          </w:p>
        </w:tc>
        <w:tc>
          <w:tcPr>
            <w:tcW w:w="2520" w:type="dxa"/>
            <w:tcBorders>
              <w:top w:val="single" w:sz="12" w:space="0" w:color="auto"/>
              <w:left w:val="single" w:sz="12" w:space="0" w:color="auto"/>
              <w:right w:val="single" w:sz="12" w:space="0" w:color="auto"/>
            </w:tcBorders>
            <w:vAlign w:val="center"/>
          </w:tcPr>
          <w:p w14:paraId="02D9E869" w14:textId="44B0BC1C" w:rsidR="001008FB" w:rsidRDefault="001008FB" w:rsidP="001008FB">
            <w:pPr>
              <w:pStyle w:val="TableText"/>
            </w:pPr>
            <w:r>
              <w:t>Percent Passing Among Students with Valid Score</w:t>
            </w:r>
            <w:r>
              <w:br/>
              <w:t>(c)/(a-b)</w:t>
            </w:r>
          </w:p>
        </w:tc>
      </w:tr>
      <w:tr w:rsidR="001008FB" w:rsidRPr="00DD2508" w14:paraId="511063CA" w14:textId="77777777" w:rsidTr="001008FB">
        <w:trPr>
          <w:trHeight w:val="228"/>
          <w:jc w:val="center"/>
        </w:trPr>
        <w:tc>
          <w:tcPr>
            <w:tcW w:w="1255" w:type="dxa"/>
          </w:tcPr>
          <w:p w14:paraId="64578928" w14:textId="678BFABC" w:rsidR="001008FB" w:rsidRPr="00DE3E14" w:rsidRDefault="0075382B" w:rsidP="0098460C">
            <w:pPr>
              <w:pStyle w:val="TableText"/>
            </w:pPr>
            <w:r>
              <w:t>2015</w:t>
            </w:r>
          </w:p>
        </w:tc>
        <w:tc>
          <w:tcPr>
            <w:tcW w:w="990" w:type="dxa"/>
          </w:tcPr>
          <w:p w14:paraId="0D35A71D" w14:textId="4173B21B" w:rsidR="001008FB" w:rsidRPr="00DE3E14" w:rsidRDefault="0075382B" w:rsidP="0098460C">
            <w:pPr>
              <w:pStyle w:val="TableText"/>
            </w:pPr>
            <w:r>
              <w:t>2018-19</w:t>
            </w:r>
          </w:p>
        </w:tc>
        <w:tc>
          <w:tcPr>
            <w:tcW w:w="900" w:type="dxa"/>
          </w:tcPr>
          <w:p w14:paraId="5E58C65F" w14:textId="77777777" w:rsidR="001008FB" w:rsidRPr="00DE3E14" w:rsidRDefault="001008FB" w:rsidP="0098460C">
            <w:pPr>
              <w:pStyle w:val="TableText"/>
            </w:pPr>
          </w:p>
        </w:tc>
        <w:tc>
          <w:tcPr>
            <w:tcW w:w="1685" w:type="dxa"/>
          </w:tcPr>
          <w:p w14:paraId="0EBF0541" w14:textId="77777777" w:rsidR="001008FB" w:rsidRDefault="001008FB" w:rsidP="0098460C">
            <w:pPr>
              <w:pStyle w:val="TableText"/>
            </w:pPr>
            <w:r>
              <w:t>0</w:t>
            </w:r>
          </w:p>
        </w:tc>
        <w:tc>
          <w:tcPr>
            <w:tcW w:w="1809" w:type="dxa"/>
            <w:tcBorders>
              <w:top w:val="single" w:sz="4" w:space="0" w:color="auto"/>
              <w:left w:val="single" w:sz="12" w:space="0" w:color="auto"/>
              <w:bottom w:val="single" w:sz="4" w:space="0" w:color="auto"/>
              <w:right w:val="single" w:sz="12" w:space="0" w:color="auto"/>
            </w:tcBorders>
            <w:shd w:val="clear" w:color="auto" w:fill="auto"/>
          </w:tcPr>
          <w:p w14:paraId="513940D1" w14:textId="77777777" w:rsidR="001008FB" w:rsidRDefault="001008FB"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1C78603A" w14:textId="77777777" w:rsidR="001008FB" w:rsidRDefault="001008FB" w:rsidP="0098460C">
            <w:pPr>
              <w:pStyle w:val="TableText"/>
              <w:rPr>
                <w:b/>
                <w:bCs/>
              </w:rPr>
            </w:pPr>
          </w:p>
        </w:tc>
      </w:tr>
      <w:tr w:rsidR="001008FB" w:rsidRPr="00DD2508" w14:paraId="0C83ACC5" w14:textId="77777777" w:rsidTr="001008FB">
        <w:trPr>
          <w:trHeight w:val="228"/>
          <w:jc w:val="center"/>
        </w:trPr>
        <w:tc>
          <w:tcPr>
            <w:tcW w:w="1255" w:type="dxa"/>
          </w:tcPr>
          <w:p w14:paraId="7CD12A99" w14:textId="70F93DA2" w:rsidR="001008FB" w:rsidRPr="00DE3E14" w:rsidRDefault="0075382B" w:rsidP="0098460C">
            <w:pPr>
              <w:pStyle w:val="TableText"/>
            </w:pPr>
            <w:r>
              <w:t>2016</w:t>
            </w:r>
          </w:p>
        </w:tc>
        <w:tc>
          <w:tcPr>
            <w:tcW w:w="990" w:type="dxa"/>
          </w:tcPr>
          <w:p w14:paraId="7F5C3733" w14:textId="4D4B547C" w:rsidR="001008FB" w:rsidRPr="00DE3E14" w:rsidRDefault="0075382B" w:rsidP="0098460C">
            <w:pPr>
              <w:pStyle w:val="TableText"/>
            </w:pPr>
            <w:r>
              <w:t>2019-20</w:t>
            </w:r>
          </w:p>
        </w:tc>
        <w:tc>
          <w:tcPr>
            <w:tcW w:w="900" w:type="dxa"/>
          </w:tcPr>
          <w:p w14:paraId="0FBE970B" w14:textId="77777777" w:rsidR="001008FB" w:rsidRPr="00DE3E14" w:rsidRDefault="001008FB" w:rsidP="0098460C">
            <w:pPr>
              <w:pStyle w:val="TableText"/>
            </w:pPr>
          </w:p>
        </w:tc>
        <w:tc>
          <w:tcPr>
            <w:tcW w:w="1685" w:type="dxa"/>
          </w:tcPr>
          <w:p w14:paraId="1DB529AF" w14:textId="2941A86A" w:rsidR="001008FB" w:rsidRDefault="001008FB" w:rsidP="0098460C">
            <w:pPr>
              <w:pStyle w:val="TableText"/>
            </w:pPr>
          </w:p>
        </w:tc>
        <w:tc>
          <w:tcPr>
            <w:tcW w:w="1809" w:type="dxa"/>
            <w:tcBorders>
              <w:top w:val="single" w:sz="4" w:space="0" w:color="auto"/>
              <w:left w:val="single" w:sz="12" w:space="0" w:color="auto"/>
              <w:bottom w:val="single" w:sz="4" w:space="0" w:color="auto"/>
              <w:right w:val="single" w:sz="12" w:space="0" w:color="auto"/>
            </w:tcBorders>
            <w:shd w:val="clear" w:color="auto" w:fill="auto"/>
          </w:tcPr>
          <w:p w14:paraId="4A0CEA40" w14:textId="77777777" w:rsidR="001008FB" w:rsidRDefault="001008FB"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6C83849F" w14:textId="77777777" w:rsidR="001008FB" w:rsidRDefault="001008FB" w:rsidP="0098460C">
            <w:pPr>
              <w:pStyle w:val="TableText"/>
            </w:pPr>
          </w:p>
        </w:tc>
      </w:tr>
      <w:tr w:rsidR="001008FB" w:rsidRPr="00DD2508" w14:paraId="26BA9A95" w14:textId="77777777" w:rsidTr="001008FB">
        <w:trPr>
          <w:trHeight w:val="260"/>
          <w:jc w:val="center"/>
        </w:trPr>
        <w:tc>
          <w:tcPr>
            <w:tcW w:w="1255" w:type="dxa"/>
          </w:tcPr>
          <w:p w14:paraId="3287AF59" w14:textId="3156E4DD" w:rsidR="001008FB" w:rsidRPr="00DE3E14" w:rsidRDefault="0075382B" w:rsidP="0098460C">
            <w:pPr>
              <w:pStyle w:val="TableText"/>
            </w:pPr>
            <w:r>
              <w:t>2017</w:t>
            </w:r>
          </w:p>
        </w:tc>
        <w:tc>
          <w:tcPr>
            <w:tcW w:w="990" w:type="dxa"/>
          </w:tcPr>
          <w:p w14:paraId="1A5EC280" w14:textId="28751BD3" w:rsidR="001008FB" w:rsidRPr="00DE3E14" w:rsidRDefault="001008FB" w:rsidP="0098460C">
            <w:pPr>
              <w:pStyle w:val="TableText"/>
            </w:pPr>
            <w:r>
              <w:t>2</w:t>
            </w:r>
            <w:r w:rsidR="0075382B">
              <w:t>020-21</w:t>
            </w:r>
          </w:p>
        </w:tc>
        <w:tc>
          <w:tcPr>
            <w:tcW w:w="900" w:type="dxa"/>
            <w:tcBorders>
              <w:bottom w:val="single" w:sz="4" w:space="0" w:color="auto"/>
            </w:tcBorders>
          </w:tcPr>
          <w:p w14:paraId="405861D2" w14:textId="3040A5B0" w:rsidR="001008FB" w:rsidRPr="00DE3E14" w:rsidRDefault="00347C7D" w:rsidP="0098460C">
            <w:pPr>
              <w:pStyle w:val="TableText"/>
            </w:pPr>
            <w:r>
              <w:t>25</w:t>
            </w:r>
          </w:p>
        </w:tc>
        <w:tc>
          <w:tcPr>
            <w:tcW w:w="1685" w:type="dxa"/>
            <w:tcBorders>
              <w:bottom w:val="single" w:sz="4" w:space="0" w:color="auto"/>
            </w:tcBorders>
          </w:tcPr>
          <w:p w14:paraId="19AD8D68" w14:textId="110F9874" w:rsidR="001008FB" w:rsidRDefault="00BA3D44" w:rsidP="0098460C">
            <w:pPr>
              <w:pStyle w:val="TableText"/>
            </w:pPr>
            <w:r>
              <w:t>7</w:t>
            </w:r>
          </w:p>
        </w:tc>
        <w:tc>
          <w:tcPr>
            <w:tcW w:w="1809" w:type="dxa"/>
            <w:tcBorders>
              <w:top w:val="single" w:sz="4" w:space="0" w:color="auto"/>
              <w:left w:val="single" w:sz="12" w:space="0" w:color="auto"/>
              <w:bottom w:val="single" w:sz="12" w:space="0" w:color="auto"/>
              <w:right w:val="single" w:sz="12" w:space="0" w:color="auto"/>
            </w:tcBorders>
            <w:shd w:val="clear" w:color="auto" w:fill="auto"/>
          </w:tcPr>
          <w:p w14:paraId="321699A3" w14:textId="6B25E596" w:rsidR="001008FB" w:rsidRDefault="00347C7D" w:rsidP="0098460C">
            <w:pPr>
              <w:pStyle w:val="TableText"/>
            </w:pPr>
            <w:r>
              <w:t>17</w:t>
            </w:r>
          </w:p>
        </w:tc>
        <w:tc>
          <w:tcPr>
            <w:tcW w:w="2520" w:type="dxa"/>
            <w:tcBorders>
              <w:top w:val="single" w:sz="4" w:space="0" w:color="auto"/>
              <w:left w:val="single" w:sz="12" w:space="0" w:color="auto"/>
              <w:bottom w:val="single" w:sz="12" w:space="0" w:color="auto"/>
              <w:right w:val="single" w:sz="12" w:space="0" w:color="auto"/>
            </w:tcBorders>
            <w:shd w:val="clear" w:color="auto" w:fill="auto"/>
          </w:tcPr>
          <w:p w14:paraId="2810C74D" w14:textId="7B048930" w:rsidR="001008FB" w:rsidRDefault="00BA3D44" w:rsidP="0098460C">
            <w:pPr>
              <w:pStyle w:val="TableText"/>
            </w:pPr>
            <w:r>
              <w:t>94%</w:t>
            </w:r>
          </w:p>
        </w:tc>
      </w:tr>
    </w:tbl>
    <w:p w14:paraId="2CF42BE0" w14:textId="77777777" w:rsidR="00056BFE" w:rsidRPr="00DD2508" w:rsidRDefault="00056BFE" w:rsidP="00056BFE">
      <w:pPr>
        <w:pStyle w:val="TableHeader"/>
      </w:pPr>
      <w:r w:rsidRPr="00DD2508">
        <w:t>Science</w:t>
      </w:r>
      <w:r w:rsidRPr="003648CC">
        <w:t xml:space="preserve"> Regents Passing Rate </w:t>
      </w:r>
      <w:r>
        <w:t>with a score of 65</w:t>
      </w:r>
      <w:r w:rsidRPr="00DD2508">
        <w:t xml:space="preserve"> 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92"/>
        <w:gridCol w:w="16"/>
        <w:gridCol w:w="974"/>
        <w:gridCol w:w="990"/>
        <w:gridCol w:w="990"/>
        <w:gridCol w:w="1074"/>
        <w:gridCol w:w="1012"/>
      </w:tblGrid>
      <w:tr w:rsidR="00056BFE" w:rsidRPr="00DD2508" w14:paraId="2C93CD59" w14:textId="77777777" w:rsidTr="002C1A58">
        <w:trPr>
          <w:jc w:val="center"/>
        </w:trPr>
        <w:tc>
          <w:tcPr>
            <w:tcW w:w="1184" w:type="dxa"/>
            <w:vMerge w:val="restart"/>
            <w:vAlign w:val="center"/>
          </w:tcPr>
          <w:p w14:paraId="2E43EFC4" w14:textId="77777777" w:rsidR="00056BFE" w:rsidRPr="00DE3E14" w:rsidRDefault="00056BFE" w:rsidP="002C1A58">
            <w:pPr>
              <w:pStyle w:val="TableText"/>
            </w:pPr>
            <w:r w:rsidRPr="00DE3E14">
              <w:t>Cohort Designation</w:t>
            </w:r>
          </w:p>
        </w:tc>
        <w:tc>
          <w:tcPr>
            <w:tcW w:w="1982" w:type="dxa"/>
            <w:gridSpan w:val="3"/>
          </w:tcPr>
          <w:p w14:paraId="7F51FF4D" w14:textId="744CB2A7" w:rsidR="00056BFE" w:rsidRPr="00DE3E14" w:rsidRDefault="00056BFE" w:rsidP="002C1A58">
            <w:pPr>
              <w:pStyle w:val="TableText"/>
              <w:rPr>
                <w:bCs/>
              </w:rPr>
            </w:pPr>
            <w:r>
              <w:rPr>
                <w:bCs/>
              </w:rPr>
              <w:t>201</w:t>
            </w:r>
            <w:r w:rsidR="0075382B">
              <w:rPr>
                <w:bCs/>
              </w:rPr>
              <w:t>8</w:t>
            </w:r>
            <w:r>
              <w:rPr>
                <w:bCs/>
              </w:rPr>
              <w:t>-1</w:t>
            </w:r>
            <w:r w:rsidR="0075382B">
              <w:rPr>
                <w:bCs/>
              </w:rPr>
              <w:t>9</w:t>
            </w:r>
          </w:p>
        </w:tc>
        <w:tc>
          <w:tcPr>
            <w:tcW w:w="1980" w:type="dxa"/>
            <w:gridSpan w:val="2"/>
          </w:tcPr>
          <w:p w14:paraId="07BC29A8" w14:textId="20503031" w:rsidR="00056BFE" w:rsidRPr="00DE3E14" w:rsidRDefault="00056BFE" w:rsidP="002C1A58">
            <w:pPr>
              <w:pStyle w:val="TableText"/>
              <w:rPr>
                <w:bCs/>
              </w:rPr>
            </w:pPr>
            <w:r>
              <w:rPr>
                <w:bCs/>
              </w:rPr>
              <w:t>201</w:t>
            </w:r>
            <w:r w:rsidR="0075382B">
              <w:rPr>
                <w:bCs/>
              </w:rPr>
              <w:t>9-20</w:t>
            </w:r>
          </w:p>
        </w:tc>
        <w:tc>
          <w:tcPr>
            <w:tcW w:w="2086" w:type="dxa"/>
            <w:gridSpan w:val="2"/>
          </w:tcPr>
          <w:p w14:paraId="5896CF19" w14:textId="0DF352AF" w:rsidR="00056BFE" w:rsidRPr="00DE3E14" w:rsidRDefault="0075382B" w:rsidP="002C1A58">
            <w:pPr>
              <w:pStyle w:val="TableText"/>
              <w:rPr>
                <w:bCs/>
              </w:rPr>
            </w:pPr>
            <w:r>
              <w:rPr>
                <w:bCs/>
              </w:rPr>
              <w:t>2020-21</w:t>
            </w:r>
          </w:p>
        </w:tc>
      </w:tr>
      <w:tr w:rsidR="00056BFE" w:rsidRPr="00DD2508" w14:paraId="72FE3201" w14:textId="77777777" w:rsidTr="002C1A58">
        <w:trPr>
          <w:jc w:val="center"/>
        </w:trPr>
        <w:tc>
          <w:tcPr>
            <w:tcW w:w="1184" w:type="dxa"/>
            <w:vMerge/>
          </w:tcPr>
          <w:p w14:paraId="3D398BF3" w14:textId="77777777" w:rsidR="00056BFE" w:rsidRPr="00DE3E14" w:rsidRDefault="00056BFE" w:rsidP="002C1A58">
            <w:pPr>
              <w:pStyle w:val="TableText"/>
            </w:pPr>
          </w:p>
        </w:tc>
        <w:tc>
          <w:tcPr>
            <w:tcW w:w="1008" w:type="dxa"/>
            <w:gridSpan w:val="2"/>
            <w:tcBorders>
              <w:bottom w:val="single" w:sz="12" w:space="0" w:color="auto"/>
            </w:tcBorders>
          </w:tcPr>
          <w:p w14:paraId="63BAC117" w14:textId="77777777" w:rsidR="00056BFE" w:rsidRPr="00DE3E14" w:rsidRDefault="00056BFE" w:rsidP="002C1A58">
            <w:pPr>
              <w:pStyle w:val="TableText"/>
            </w:pPr>
            <w:r w:rsidRPr="00DE3E14">
              <w:t>Number in Cohort</w:t>
            </w:r>
          </w:p>
        </w:tc>
        <w:tc>
          <w:tcPr>
            <w:tcW w:w="974" w:type="dxa"/>
            <w:tcBorders>
              <w:bottom w:val="single" w:sz="12" w:space="0" w:color="auto"/>
            </w:tcBorders>
          </w:tcPr>
          <w:p w14:paraId="0E8E8B11" w14:textId="77777777" w:rsidR="00056BFE" w:rsidRPr="00DE3E14" w:rsidRDefault="00056BFE" w:rsidP="002C1A58">
            <w:pPr>
              <w:pStyle w:val="TableText"/>
            </w:pPr>
            <w:r w:rsidRPr="00DE3E14">
              <w:t>Percent Passing</w:t>
            </w:r>
          </w:p>
        </w:tc>
        <w:tc>
          <w:tcPr>
            <w:tcW w:w="990" w:type="dxa"/>
          </w:tcPr>
          <w:p w14:paraId="0D79BA62" w14:textId="77777777" w:rsidR="00056BFE" w:rsidRPr="00DE3E14" w:rsidRDefault="00056BFE" w:rsidP="002C1A58">
            <w:pPr>
              <w:pStyle w:val="TableText"/>
            </w:pPr>
            <w:r w:rsidRPr="00DE3E14">
              <w:t>Number in Cohort</w:t>
            </w:r>
          </w:p>
        </w:tc>
        <w:tc>
          <w:tcPr>
            <w:tcW w:w="990" w:type="dxa"/>
            <w:tcBorders>
              <w:bottom w:val="single" w:sz="8" w:space="0" w:color="auto"/>
            </w:tcBorders>
          </w:tcPr>
          <w:p w14:paraId="11F005B7" w14:textId="77777777" w:rsidR="00056BFE" w:rsidRPr="00DE3E14" w:rsidRDefault="00056BFE" w:rsidP="002C1A58">
            <w:pPr>
              <w:pStyle w:val="TableText"/>
            </w:pPr>
            <w:r w:rsidRPr="00DE3E14">
              <w:t>Percent Passing</w:t>
            </w:r>
          </w:p>
        </w:tc>
        <w:tc>
          <w:tcPr>
            <w:tcW w:w="1074" w:type="dxa"/>
            <w:tcBorders>
              <w:bottom w:val="single" w:sz="8" w:space="0" w:color="auto"/>
            </w:tcBorders>
          </w:tcPr>
          <w:p w14:paraId="4017F53A" w14:textId="77777777" w:rsidR="00056BFE" w:rsidRPr="00DE3E14" w:rsidRDefault="00056BFE" w:rsidP="002C1A58">
            <w:pPr>
              <w:pStyle w:val="TableText"/>
            </w:pPr>
            <w:r w:rsidRPr="00DE3E14">
              <w:t>Number in Cohort</w:t>
            </w:r>
          </w:p>
        </w:tc>
        <w:tc>
          <w:tcPr>
            <w:tcW w:w="1012" w:type="dxa"/>
            <w:tcBorders>
              <w:bottom w:val="single" w:sz="8" w:space="0" w:color="auto"/>
            </w:tcBorders>
          </w:tcPr>
          <w:p w14:paraId="7227914D" w14:textId="77777777" w:rsidR="00056BFE" w:rsidRPr="00DE3E14" w:rsidRDefault="00056BFE" w:rsidP="002C1A58">
            <w:pPr>
              <w:pStyle w:val="TableText"/>
            </w:pPr>
            <w:r w:rsidRPr="00DE3E14">
              <w:t>Percent Passing</w:t>
            </w:r>
          </w:p>
        </w:tc>
      </w:tr>
      <w:tr w:rsidR="00056BFE" w:rsidRPr="00DD2508" w14:paraId="604B798B" w14:textId="77777777" w:rsidTr="002C1A58">
        <w:trPr>
          <w:jc w:val="center"/>
        </w:trPr>
        <w:tc>
          <w:tcPr>
            <w:tcW w:w="1184" w:type="dxa"/>
          </w:tcPr>
          <w:p w14:paraId="1CD13418" w14:textId="021B4138" w:rsidR="00056BFE" w:rsidRPr="00DE3E14" w:rsidRDefault="00056BFE" w:rsidP="002C1A58">
            <w:pPr>
              <w:pStyle w:val="TableText"/>
              <w:rPr>
                <w:bCs/>
              </w:rPr>
            </w:pPr>
            <w:r w:rsidRPr="00DE3E14">
              <w:rPr>
                <w:bCs/>
              </w:rPr>
              <w:t>201</w:t>
            </w:r>
            <w:r w:rsidR="0075382B">
              <w:rPr>
                <w:bCs/>
              </w:rPr>
              <w:t>7</w:t>
            </w:r>
          </w:p>
        </w:tc>
        <w:tc>
          <w:tcPr>
            <w:tcW w:w="992" w:type="dxa"/>
          </w:tcPr>
          <w:p w14:paraId="20C84D92" w14:textId="77777777" w:rsidR="00056BFE" w:rsidRPr="00DE3E14" w:rsidRDefault="00056BFE" w:rsidP="002C1A58">
            <w:pPr>
              <w:pStyle w:val="TableText"/>
            </w:pPr>
          </w:p>
        </w:tc>
        <w:tc>
          <w:tcPr>
            <w:tcW w:w="990" w:type="dxa"/>
            <w:gridSpan w:val="2"/>
          </w:tcPr>
          <w:p w14:paraId="3F548D24" w14:textId="77777777" w:rsidR="00056BFE" w:rsidRPr="00DE3E14" w:rsidRDefault="00056BFE" w:rsidP="002C1A58">
            <w:pPr>
              <w:pStyle w:val="TableText"/>
            </w:pPr>
          </w:p>
        </w:tc>
        <w:tc>
          <w:tcPr>
            <w:tcW w:w="990" w:type="dxa"/>
            <w:tcBorders>
              <w:top w:val="single" w:sz="12" w:space="0" w:color="auto"/>
              <w:bottom w:val="single" w:sz="4" w:space="0" w:color="auto"/>
              <w:right w:val="single" w:sz="8" w:space="0" w:color="auto"/>
            </w:tcBorders>
            <w:shd w:val="clear" w:color="auto" w:fill="auto"/>
          </w:tcPr>
          <w:p w14:paraId="29B77346" w14:textId="77777777" w:rsidR="00056BFE" w:rsidRPr="00DE3E14" w:rsidRDefault="00056BFE" w:rsidP="002C1A58">
            <w:pPr>
              <w:pStyle w:val="TableText"/>
            </w:pP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7DCE0C0F" w14:textId="77777777" w:rsidR="00056BFE" w:rsidRPr="00DE3E14" w:rsidRDefault="00056BFE" w:rsidP="002C1A58">
            <w:pPr>
              <w:pStyle w:val="TableText"/>
            </w:pP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64B18E2A" w14:textId="13310C90" w:rsidR="00056BFE" w:rsidRPr="00DE3E14" w:rsidRDefault="00BA3D44" w:rsidP="002C1A58">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0AA7BEB2" w14:textId="5C391667" w:rsidR="00056BFE" w:rsidRPr="00DE3E14" w:rsidRDefault="00BA3D44" w:rsidP="002C1A58">
            <w:pPr>
              <w:pStyle w:val="TableText"/>
            </w:pPr>
            <w:r>
              <w:t>94%</w:t>
            </w:r>
          </w:p>
        </w:tc>
      </w:tr>
      <w:tr w:rsidR="00BA3D44" w:rsidRPr="00DD2508" w14:paraId="0E6B4899" w14:textId="77777777" w:rsidTr="002C1A58">
        <w:trPr>
          <w:jc w:val="center"/>
        </w:trPr>
        <w:tc>
          <w:tcPr>
            <w:tcW w:w="1184" w:type="dxa"/>
          </w:tcPr>
          <w:p w14:paraId="4A82C341" w14:textId="467E70A3" w:rsidR="00BA3D44" w:rsidRPr="00DE3E14" w:rsidRDefault="00BA3D44" w:rsidP="00BA3D44">
            <w:pPr>
              <w:pStyle w:val="TableText"/>
              <w:rPr>
                <w:bCs/>
              </w:rPr>
            </w:pPr>
            <w:r w:rsidRPr="00DE3E14">
              <w:rPr>
                <w:bCs/>
              </w:rPr>
              <w:t>201</w:t>
            </w:r>
            <w:r>
              <w:rPr>
                <w:bCs/>
              </w:rPr>
              <w:t>8</w:t>
            </w:r>
          </w:p>
        </w:tc>
        <w:tc>
          <w:tcPr>
            <w:tcW w:w="992" w:type="dxa"/>
          </w:tcPr>
          <w:p w14:paraId="158974D3" w14:textId="1DA26775" w:rsidR="00BA3D44" w:rsidRPr="00DE3E14" w:rsidRDefault="00BA3D44" w:rsidP="00BA3D44">
            <w:pPr>
              <w:pStyle w:val="TableText"/>
            </w:pPr>
            <w:r>
              <w:t>44</w:t>
            </w:r>
          </w:p>
        </w:tc>
        <w:tc>
          <w:tcPr>
            <w:tcW w:w="990" w:type="dxa"/>
            <w:gridSpan w:val="2"/>
          </w:tcPr>
          <w:p w14:paraId="55537ED2" w14:textId="7A67BEA7" w:rsidR="00BA3D44" w:rsidRPr="00DE3E14" w:rsidRDefault="00BA3D44" w:rsidP="00BA3D44">
            <w:pPr>
              <w:pStyle w:val="TableText"/>
            </w:pPr>
            <w:r>
              <w:t>84%</w:t>
            </w:r>
          </w:p>
        </w:tc>
        <w:tc>
          <w:tcPr>
            <w:tcW w:w="990" w:type="dxa"/>
            <w:tcBorders>
              <w:bottom w:val="single" w:sz="4" w:space="0" w:color="auto"/>
              <w:right w:val="single" w:sz="8" w:space="0" w:color="auto"/>
            </w:tcBorders>
            <w:shd w:val="clear" w:color="auto" w:fill="auto"/>
          </w:tcPr>
          <w:p w14:paraId="7F3512A8" w14:textId="790A13FC" w:rsidR="00BA3D44" w:rsidRPr="00DE3E14" w:rsidRDefault="00BA3D44" w:rsidP="00BA3D44">
            <w:pPr>
              <w:pStyle w:val="TableText"/>
            </w:pPr>
            <w:r>
              <w:t>30</w:t>
            </w: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3219A51A" w14:textId="12ADAC8D" w:rsidR="00BA3D44" w:rsidRPr="00DE3E14" w:rsidRDefault="00BA3D44" w:rsidP="00BA3D44">
            <w:pPr>
              <w:pStyle w:val="TableText"/>
            </w:pPr>
            <w:r>
              <w:t>77%</w:t>
            </w: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1CDFA9D8" w14:textId="7D4A6225" w:rsidR="00BA3D44" w:rsidRPr="00DE3E14" w:rsidRDefault="00BA3D44" w:rsidP="00BA3D44">
            <w:pPr>
              <w:pStyle w:val="TableText"/>
            </w:pPr>
            <w:r>
              <w:t>30</w:t>
            </w: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4B837D50" w14:textId="3E3C0F79" w:rsidR="00BA3D44" w:rsidRPr="00DE3E14" w:rsidRDefault="00BA3D44" w:rsidP="00BA3D44">
            <w:pPr>
              <w:pStyle w:val="TableText"/>
            </w:pPr>
            <w:r>
              <w:t>90%</w:t>
            </w:r>
          </w:p>
        </w:tc>
      </w:tr>
      <w:tr w:rsidR="00BA3D44" w:rsidRPr="00DD2508" w14:paraId="37CFFD40" w14:textId="77777777" w:rsidTr="002C1A58">
        <w:trPr>
          <w:jc w:val="center"/>
        </w:trPr>
        <w:tc>
          <w:tcPr>
            <w:tcW w:w="1184" w:type="dxa"/>
          </w:tcPr>
          <w:p w14:paraId="44CCC397" w14:textId="7D95BB7B" w:rsidR="00BA3D44" w:rsidRPr="00DE3E14" w:rsidRDefault="00BA3D44" w:rsidP="00BA3D44">
            <w:pPr>
              <w:pStyle w:val="TableText"/>
              <w:rPr>
                <w:bCs/>
              </w:rPr>
            </w:pPr>
            <w:r w:rsidRPr="00DE3E14">
              <w:rPr>
                <w:bCs/>
              </w:rPr>
              <w:t>201</w:t>
            </w:r>
            <w:r>
              <w:rPr>
                <w:bCs/>
              </w:rPr>
              <w:t>9</w:t>
            </w:r>
          </w:p>
        </w:tc>
        <w:tc>
          <w:tcPr>
            <w:tcW w:w="992" w:type="dxa"/>
            <w:shd w:val="clear" w:color="auto" w:fill="B3B3B3"/>
          </w:tcPr>
          <w:p w14:paraId="7E783F8F" w14:textId="77777777" w:rsidR="00BA3D44" w:rsidRPr="00DE3E14" w:rsidRDefault="00BA3D44" w:rsidP="00BA3D44">
            <w:pPr>
              <w:pStyle w:val="TableText"/>
            </w:pPr>
          </w:p>
        </w:tc>
        <w:tc>
          <w:tcPr>
            <w:tcW w:w="990" w:type="dxa"/>
            <w:gridSpan w:val="2"/>
            <w:shd w:val="clear" w:color="auto" w:fill="B3B3B3"/>
          </w:tcPr>
          <w:p w14:paraId="662B4AA1" w14:textId="77777777" w:rsidR="00BA3D44" w:rsidRPr="00DE3E14" w:rsidRDefault="00BA3D44" w:rsidP="00BA3D44">
            <w:pPr>
              <w:pStyle w:val="TableText"/>
            </w:pPr>
          </w:p>
        </w:tc>
        <w:tc>
          <w:tcPr>
            <w:tcW w:w="990" w:type="dxa"/>
            <w:tcBorders>
              <w:top w:val="single" w:sz="4" w:space="0" w:color="auto"/>
              <w:bottom w:val="single" w:sz="4" w:space="0" w:color="auto"/>
              <w:right w:val="single" w:sz="4" w:space="0" w:color="auto"/>
            </w:tcBorders>
            <w:shd w:val="clear" w:color="auto" w:fill="auto"/>
          </w:tcPr>
          <w:p w14:paraId="25DB0218" w14:textId="2BC15665" w:rsidR="00BA3D44" w:rsidRPr="00DE3E14" w:rsidRDefault="00BA3D44" w:rsidP="00BA3D44">
            <w:pPr>
              <w:pStyle w:val="TableText"/>
            </w:pPr>
            <w:r>
              <w:t>51</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EC1301" w14:textId="331C2ADF" w:rsidR="00BA3D44" w:rsidRPr="00DE3E14" w:rsidRDefault="00BA3D44" w:rsidP="00BA3D44">
            <w:pPr>
              <w:pStyle w:val="TableText"/>
            </w:pPr>
            <w:r>
              <w:t>27%</w:t>
            </w: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44A207B9" w14:textId="29A41ADB" w:rsidR="00BA3D44" w:rsidRPr="00DE3E14" w:rsidRDefault="00BA3D44" w:rsidP="00BA3D44">
            <w:pPr>
              <w:pStyle w:val="TableText"/>
            </w:pPr>
            <w:r>
              <w:t>52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170F0F70" w14:textId="3008C912" w:rsidR="00BA3D44" w:rsidRPr="00DE3E14" w:rsidRDefault="00BA3D44" w:rsidP="00BA3D44">
            <w:pPr>
              <w:pStyle w:val="TableText"/>
            </w:pPr>
            <w:r>
              <w:t>81%</w:t>
            </w:r>
          </w:p>
        </w:tc>
      </w:tr>
      <w:tr w:rsidR="00BA3D44" w:rsidRPr="00DD2508" w14:paraId="196E5FD5" w14:textId="77777777" w:rsidTr="002C1A58">
        <w:trPr>
          <w:jc w:val="center"/>
        </w:trPr>
        <w:tc>
          <w:tcPr>
            <w:tcW w:w="1184" w:type="dxa"/>
          </w:tcPr>
          <w:p w14:paraId="4133579E" w14:textId="13A6BE66" w:rsidR="00BA3D44" w:rsidRPr="00DE3E14" w:rsidRDefault="00BA3D44" w:rsidP="00BA3D44">
            <w:pPr>
              <w:pStyle w:val="TableText"/>
              <w:rPr>
                <w:bCs/>
              </w:rPr>
            </w:pPr>
            <w:r>
              <w:rPr>
                <w:bCs/>
              </w:rPr>
              <w:t>2020</w:t>
            </w:r>
          </w:p>
        </w:tc>
        <w:tc>
          <w:tcPr>
            <w:tcW w:w="992" w:type="dxa"/>
            <w:shd w:val="clear" w:color="auto" w:fill="B3B3B3"/>
          </w:tcPr>
          <w:p w14:paraId="69B51A4B" w14:textId="77777777" w:rsidR="00BA3D44" w:rsidRPr="00DE3E14" w:rsidRDefault="00BA3D44" w:rsidP="00BA3D44">
            <w:pPr>
              <w:pStyle w:val="TableText"/>
            </w:pPr>
          </w:p>
        </w:tc>
        <w:tc>
          <w:tcPr>
            <w:tcW w:w="990" w:type="dxa"/>
            <w:gridSpan w:val="2"/>
            <w:shd w:val="clear" w:color="auto" w:fill="B3B3B3"/>
          </w:tcPr>
          <w:p w14:paraId="63BE9D8A" w14:textId="77777777" w:rsidR="00BA3D44" w:rsidRPr="00DE3E14" w:rsidRDefault="00BA3D44" w:rsidP="00BA3D44">
            <w:pPr>
              <w:pStyle w:val="TableText"/>
            </w:pPr>
          </w:p>
        </w:tc>
        <w:tc>
          <w:tcPr>
            <w:tcW w:w="990" w:type="dxa"/>
            <w:tcBorders>
              <w:top w:val="single" w:sz="4" w:space="0" w:color="auto"/>
              <w:bottom w:val="single" w:sz="4" w:space="0" w:color="auto"/>
              <w:right w:val="single" w:sz="4" w:space="0" w:color="auto"/>
            </w:tcBorders>
            <w:shd w:val="clear" w:color="auto" w:fill="B3B3B3"/>
          </w:tcPr>
          <w:p w14:paraId="22AE9F5C" w14:textId="77777777" w:rsidR="00BA3D44" w:rsidRPr="00DE3E14" w:rsidRDefault="00BA3D44" w:rsidP="00BA3D44">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2024594D" w14:textId="77777777" w:rsidR="00BA3D44" w:rsidRPr="00DE3E14" w:rsidRDefault="00BA3D44" w:rsidP="00BA3D44">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2D82A063" w14:textId="7F033C09" w:rsidR="00BA3D44" w:rsidRPr="00DE3E14" w:rsidRDefault="00BA3D44" w:rsidP="00BA3D44">
            <w:pPr>
              <w:pStyle w:val="TableText"/>
            </w:pPr>
            <w:r>
              <w:t>60</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074FBF66" w14:textId="4F45C976" w:rsidR="00BA3D44" w:rsidRPr="00DE3E14" w:rsidRDefault="00BA3D44" w:rsidP="00BA3D44">
            <w:pPr>
              <w:pStyle w:val="TableText"/>
            </w:pPr>
            <w:r>
              <w:t>N/A</w:t>
            </w:r>
          </w:p>
        </w:tc>
      </w:tr>
    </w:tbl>
    <w:p w14:paraId="3A5F3590" w14:textId="77777777" w:rsidR="00056BFE" w:rsidRPr="00DD2508" w:rsidRDefault="00056BFE" w:rsidP="00056BFE">
      <w:pPr>
        <w:rPr>
          <w:rFonts w:ascii="Calibri" w:hAnsi="Calibri"/>
          <w:color w:val="000000"/>
          <w:szCs w:val="23"/>
        </w:rPr>
      </w:pPr>
    </w:p>
    <w:p w14:paraId="71969E37" w14:textId="57C3CC13" w:rsidR="00056BFE" w:rsidRPr="00DD2508" w:rsidRDefault="00056BFE" w:rsidP="00056BFE">
      <w:pPr>
        <w:pStyle w:val="MeasureTitle"/>
      </w:pPr>
      <w:r w:rsidRPr="00DD2508">
        <w:t xml:space="preserve">Goal </w:t>
      </w:r>
      <w:r w:rsidR="00887F40">
        <w:t>5</w:t>
      </w:r>
      <w:r w:rsidRPr="00DD2508">
        <w:t>: Comparative Measure</w:t>
      </w:r>
    </w:p>
    <w:p w14:paraId="3A409A11" w14:textId="6EBCDF66" w:rsidR="00056BFE" w:rsidRPr="00DD2508" w:rsidRDefault="00056BFE" w:rsidP="00056BFE">
      <w:pPr>
        <w:pStyle w:val="MeasureText"/>
        <w:rPr>
          <w:i/>
        </w:rPr>
      </w:pPr>
      <w:r w:rsidRPr="00DD2508">
        <w:t xml:space="preserve">Each year, the percent </w:t>
      </w:r>
      <w:r w:rsidR="00A60A59">
        <w:t>of</w:t>
      </w:r>
      <w:r w:rsidRPr="00DD2508">
        <w:t xml:space="preserve"> students in the </w:t>
      </w:r>
      <w:r w:rsidRPr="00B915CA">
        <w:t>high school Total Cohort</w:t>
      </w:r>
      <w:r w:rsidRPr="005655C1">
        <w:rPr>
          <w:color w:val="000000"/>
          <w:sz w:val="24"/>
          <w:szCs w:val="24"/>
        </w:rPr>
        <w:t xml:space="preserve"> </w:t>
      </w:r>
      <w:r w:rsidRPr="00DD2508">
        <w:t xml:space="preserve">passing </w:t>
      </w:r>
      <w:r>
        <w:t>a</w:t>
      </w:r>
      <w:r w:rsidRPr="00DD2508">
        <w:t xml:space="preserve"> Regents </w:t>
      </w:r>
      <w:r>
        <w:t>science</w:t>
      </w:r>
      <w:r w:rsidRPr="00DD2508">
        <w:t xml:space="preserve"> exam with a score of 65 or above will exceed that of the </w:t>
      </w:r>
      <w:r w:rsidRPr="00B915CA">
        <w:t>high school Total Cohort</w:t>
      </w:r>
      <w:r w:rsidRPr="005655C1">
        <w:rPr>
          <w:color w:val="000000"/>
          <w:sz w:val="24"/>
          <w:szCs w:val="24"/>
        </w:rPr>
        <w:t xml:space="preserve"> </w:t>
      </w:r>
      <w:r w:rsidRPr="00DD2508">
        <w:t>from the school district</w:t>
      </w:r>
      <w:r>
        <w:t xml:space="preserve"> of comparison</w:t>
      </w:r>
      <w:r w:rsidRPr="00DD2508">
        <w:t>.</w:t>
      </w:r>
    </w:p>
    <w:p w14:paraId="5FEE5566" w14:textId="77777777" w:rsidR="0075382B" w:rsidRDefault="0075382B" w:rsidP="0075382B">
      <w:r>
        <w:t>The calculation of this measure is not required for 2020-21.</w:t>
      </w:r>
    </w:p>
    <w:p w14:paraId="33D56974" w14:textId="18BBF24E" w:rsidR="00824466" w:rsidRPr="00824466" w:rsidRDefault="00056BFE" w:rsidP="0075382B">
      <w:pPr>
        <w:pStyle w:val="Heading1"/>
      </w:pPr>
      <w:r>
        <w:t>G</w:t>
      </w:r>
      <w:r w:rsidR="00D93F35">
        <w:t>OAL</w:t>
      </w:r>
      <w:r>
        <w:t xml:space="preserve"> </w:t>
      </w:r>
      <w:r w:rsidR="00A60A59">
        <w:t>6</w:t>
      </w:r>
      <w:r>
        <w:t xml:space="preserve">: </w:t>
      </w:r>
      <w:r w:rsidRPr="00DD2508">
        <w:t>SOCIAL STUDIES</w:t>
      </w:r>
    </w:p>
    <w:p w14:paraId="46401916" w14:textId="476B6A8C" w:rsidR="00056BFE" w:rsidRPr="00DD2508" w:rsidRDefault="00056BFE" w:rsidP="00056BFE">
      <w:pPr>
        <w:pStyle w:val="MeasureTitle"/>
      </w:pPr>
      <w:r w:rsidRPr="00DD2508">
        <w:t xml:space="preserve">Goal </w:t>
      </w:r>
      <w:r w:rsidR="00887F40">
        <w:t>6</w:t>
      </w:r>
      <w:r w:rsidRPr="00DD2508">
        <w:t>: S</w:t>
      </w:r>
      <w:r>
        <w:t>ocial Studies</w:t>
      </w:r>
    </w:p>
    <w:p w14:paraId="4E9CBC11" w14:textId="77777777" w:rsidR="006257EE" w:rsidRPr="00C41903" w:rsidRDefault="006257EE" w:rsidP="006257EE">
      <w:pPr>
        <w:pStyle w:val="MeasureText"/>
      </w:pPr>
      <w:r w:rsidRPr="00C41903">
        <w:t>Students will demonstrate mastery of skills and knowledge in Social Studies.</w:t>
      </w:r>
    </w:p>
    <w:p w14:paraId="794D9828" w14:textId="77777777" w:rsidR="00056BFE" w:rsidRPr="00DD2508" w:rsidRDefault="00056BFE" w:rsidP="00056BFE">
      <w:pPr>
        <w:widowControl w:val="0"/>
        <w:rPr>
          <w:rFonts w:ascii="Calibri" w:hAnsi="Calibri"/>
        </w:rPr>
      </w:pPr>
    </w:p>
    <w:p w14:paraId="30D335C3" w14:textId="7EE35D97" w:rsidR="00056BFE" w:rsidRPr="00DD2508" w:rsidRDefault="00056BFE" w:rsidP="00056BFE">
      <w:pPr>
        <w:pStyle w:val="MeasureTitle"/>
      </w:pPr>
      <w:r w:rsidRPr="00DD2508">
        <w:lastRenderedPageBreak/>
        <w:t xml:space="preserve">Goal </w:t>
      </w:r>
      <w:r w:rsidR="00887F40">
        <w:t>6</w:t>
      </w:r>
      <w:r w:rsidRPr="00DD2508">
        <w:t>: Absolute Measure</w:t>
      </w:r>
    </w:p>
    <w:p w14:paraId="31C23DCD" w14:textId="77777777" w:rsidR="00056BFE" w:rsidRPr="00DD2508" w:rsidRDefault="00056BFE" w:rsidP="00056BFE">
      <w:pPr>
        <w:pStyle w:val="MeasureText"/>
        <w:rPr>
          <w:i/>
        </w:rPr>
      </w:pPr>
      <w:r w:rsidRPr="00DD2508">
        <w:t>Each year, 75 percent of students in the high school Accountability Cohort will score at least 65 on the New York State Regents U.S. History exam by the completion of their fourth year in the cohort.</w:t>
      </w:r>
    </w:p>
    <w:p w14:paraId="03C9B1A6" w14:textId="77777777" w:rsidR="00056BFE" w:rsidRPr="00DD2508" w:rsidRDefault="00056BFE" w:rsidP="00056BFE">
      <w:pPr>
        <w:pStyle w:val="Heading2"/>
      </w:pPr>
      <w:r w:rsidRPr="00DD2508">
        <w:t>Method</w:t>
      </w:r>
    </w:p>
    <w:p w14:paraId="6BB0EE6A" w14:textId="15170367" w:rsidR="00056BFE" w:rsidRDefault="00056BFE" w:rsidP="00056BFE">
      <w:r w:rsidRPr="00DD2508">
        <w:t xml:space="preserve">New York State administers two high school social studies assessments: U.S. History and Global History.  In order to graduate, students must pass </w:t>
      </w:r>
      <w:proofErr w:type="gramStart"/>
      <w:r w:rsidRPr="00DD2508">
        <w:t>both of these</w:t>
      </w:r>
      <w:proofErr w:type="gramEnd"/>
      <w:r w:rsidRPr="00DD2508">
        <w:t xml:space="preserve"> Regents exams with a score of 65 or higher.  This measure requires students in each Accountability Cohort to pass the </w:t>
      </w:r>
      <w:r>
        <w:t xml:space="preserve">two exams </w:t>
      </w:r>
      <w:r w:rsidRPr="00DD2508">
        <w:t>by the completion of their fourth year in the cohort.  Students may have taken the exam</w:t>
      </w:r>
      <w:r>
        <w:t>s</w:t>
      </w:r>
      <w:r w:rsidRPr="00DD2508">
        <w:t xml:space="preserve"> multiple times and ha</w:t>
      </w:r>
      <w:r>
        <w:t>ve</w:t>
      </w:r>
      <w:r w:rsidRPr="00DD2508">
        <w:t xml:space="preserve"> until the summer of their fourth year to pass it.  Once students pass it, performance on subsequent administrations of the same exam d</w:t>
      </w:r>
      <w:r>
        <w:t>o</w:t>
      </w:r>
      <w:r w:rsidRPr="00DD2508">
        <w:t xml:space="preserve"> not affect their status as passing.  </w:t>
      </w:r>
    </w:p>
    <w:p w14:paraId="2EEA3626" w14:textId="5B88B0EB" w:rsidR="009D67B9" w:rsidRPr="0075382B" w:rsidRDefault="0075382B" w:rsidP="00056BFE">
      <w:pPr>
        <w:rPr>
          <w:b/>
          <w:bCs/>
        </w:rPr>
      </w:pPr>
      <w:r w:rsidRPr="57F71D55">
        <w:rPr>
          <w:b/>
          <w:bCs/>
        </w:rPr>
        <w:t>Due to the state’s cance</w:t>
      </w:r>
      <w:r>
        <w:rPr>
          <w:b/>
          <w:bCs/>
        </w:rPr>
        <w:t xml:space="preserve">llation of multiple </w:t>
      </w:r>
      <w:r w:rsidRPr="57F71D55">
        <w:rPr>
          <w:b/>
          <w:bCs/>
        </w:rPr>
        <w:t>administrations of the Regents</w:t>
      </w:r>
      <w:r>
        <w:rPr>
          <w:b/>
          <w:bCs/>
        </w:rPr>
        <w:t xml:space="preserve"> exams in 2019-20 and 2020-21, some students in the 2017</w:t>
      </w:r>
      <w:r w:rsidRPr="57F71D55">
        <w:rPr>
          <w:b/>
          <w:bCs/>
        </w:rPr>
        <w:t xml:space="preserve"> Cohort who had not previously sat for the exam but were sc</w:t>
      </w:r>
      <w:r>
        <w:rPr>
          <w:b/>
          <w:bCs/>
        </w:rPr>
        <w:t xml:space="preserve">heduled to sit for this exam during a cancellation </w:t>
      </w:r>
      <w:r w:rsidRPr="57F71D55">
        <w:rPr>
          <w:b/>
          <w:bCs/>
        </w:rPr>
        <w:t xml:space="preserve">would be exempted from the graduation requirement.  As such, the school should report both the number of students who were exempted from the exam as well as the percentage </w:t>
      </w:r>
      <w:r>
        <w:rPr>
          <w:b/>
          <w:bCs/>
        </w:rPr>
        <w:t>of students passing</w:t>
      </w:r>
      <w:r w:rsidRPr="57F71D55">
        <w:rPr>
          <w:b/>
          <w:bCs/>
        </w:rPr>
        <w:t xml:space="preserve"> among the students who sat for the exam.</w:t>
      </w:r>
    </w:p>
    <w:p w14:paraId="7DB752CA" w14:textId="77777777" w:rsidR="00056BFE" w:rsidRPr="00DD2508" w:rsidRDefault="00056BFE" w:rsidP="00056BFE">
      <w:pPr>
        <w:pStyle w:val="Heading2"/>
      </w:pPr>
      <w:r w:rsidRPr="00EA7023">
        <w:t>Results</w:t>
      </w:r>
    </w:p>
    <w:p w14:paraId="7CEFFA01" w14:textId="4C836423" w:rsidR="00056BFE" w:rsidRPr="00DD2508" w:rsidRDefault="006257EE" w:rsidP="00056BFE">
      <w:r w:rsidRPr="006257EE">
        <w:t>The 201</w:t>
      </w:r>
      <w:r w:rsidR="00C35A13">
        <w:t>7</w:t>
      </w:r>
      <w:r w:rsidRPr="006257EE">
        <w:t xml:space="preserve"> cohort had </w:t>
      </w:r>
      <w:r w:rsidR="00B52DE2">
        <w:t>15</w:t>
      </w:r>
      <w:r w:rsidR="00EA7023">
        <w:t xml:space="preserve"> students exempt with no valid score</w:t>
      </w:r>
      <w:r w:rsidRPr="006257EE">
        <w:t xml:space="preserve">. </w:t>
      </w:r>
      <w:r>
        <w:t>We did not have any students sit for the History Regents exam in 2020-21 school year</w:t>
      </w:r>
      <w:r w:rsidR="00B52DE2">
        <w:t xml:space="preserve"> or in previous years.</w:t>
      </w:r>
    </w:p>
    <w:p w14:paraId="1D56E47D" w14:textId="77777777" w:rsidR="00056BFE" w:rsidRDefault="00056BFE" w:rsidP="00056BFE">
      <w:pPr>
        <w:pStyle w:val="TableHeader"/>
      </w:pPr>
      <w:r w:rsidRPr="00DD2508">
        <w:t>U.S. History</w:t>
      </w:r>
      <w:r>
        <w:t xml:space="preserve"> </w:t>
      </w:r>
      <w:r w:rsidRPr="00DD2508">
        <w:t xml:space="preserve">Regents Passing Rate </w:t>
      </w:r>
      <w:r>
        <w:t xml:space="preserve">with a Score of 65 </w:t>
      </w:r>
    </w:p>
    <w:p w14:paraId="29884715" w14:textId="567C4EEE" w:rsidR="00056BFE" w:rsidRPr="00DD2508" w:rsidRDefault="00056BFE" w:rsidP="00056BFE">
      <w:pPr>
        <w:pStyle w:val="TableHeader"/>
      </w:pPr>
      <w:r w:rsidRPr="00DD2508">
        <w:t xml:space="preserve">by Fourth Year Accountability Cohort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990"/>
        <w:gridCol w:w="900"/>
        <w:gridCol w:w="1685"/>
        <w:gridCol w:w="1809"/>
        <w:gridCol w:w="2520"/>
      </w:tblGrid>
      <w:tr w:rsidR="007467D3" w:rsidRPr="00DD2508" w14:paraId="574B0EFA" w14:textId="77777777" w:rsidTr="0098460C">
        <w:trPr>
          <w:trHeight w:val="758"/>
          <w:jc w:val="center"/>
        </w:trPr>
        <w:tc>
          <w:tcPr>
            <w:tcW w:w="1255" w:type="dxa"/>
            <w:shd w:val="clear" w:color="auto" w:fill="auto"/>
            <w:vAlign w:val="center"/>
          </w:tcPr>
          <w:p w14:paraId="00BCB101" w14:textId="77777777" w:rsidR="007467D3" w:rsidRPr="00DE3E14" w:rsidRDefault="007467D3" w:rsidP="0098460C">
            <w:pPr>
              <w:pStyle w:val="TableText"/>
            </w:pPr>
            <w:r w:rsidRPr="00DE3E14">
              <w:t>Cohort Designation</w:t>
            </w:r>
          </w:p>
        </w:tc>
        <w:tc>
          <w:tcPr>
            <w:tcW w:w="990" w:type="dxa"/>
          </w:tcPr>
          <w:p w14:paraId="61DF31B4" w14:textId="77777777" w:rsidR="007467D3" w:rsidRDefault="007467D3" w:rsidP="0098460C">
            <w:pPr>
              <w:pStyle w:val="TableText"/>
            </w:pPr>
          </w:p>
          <w:p w14:paraId="4A82A507" w14:textId="77777777" w:rsidR="007467D3" w:rsidRDefault="007467D3" w:rsidP="0098460C">
            <w:pPr>
              <w:pStyle w:val="TableText"/>
            </w:pPr>
            <w:r>
              <w:t>Fourth</w:t>
            </w:r>
          </w:p>
          <w:p w14:paraId="1101CC4C" w14:textId="77777777" w:rsidR="007467D3" w:rsidRPr="00DE3E14" w:rsidRDefault="007467D3" w:rsidP="0098460C">
            <w:pPr>
              <w:pStyle w:val="TableText"/>
            </w:pPr>
            <w:r>
              <w:t>Year</w:t>
            </w:r>
          </w:p>
        </w:tc>
        <w:tc>
          <w:tcPr>
            <w:tcW w:w="900" w:type="dxa"/>
            <w:vAlign w:val="center"/>
          </w:tcPr>
          <w:p w14:paraId="0D072F6B" w14:textId="77777777" w:rsidR="007467D3" w:rsidRPr="00DE3E14" w:rsidRDefault="007467D3" w:rsidP="0098460C">
            <w:pPr>
              <w:pStyle w:val="TableText"/>
            </w:pPr>
            <w:r>
              <w:t xml:space="preserve">Number in Cohort </w:t>
            </w:r>
          </w:p>
          <w:p w14:paraId="67B2CB00" w14:textId="77777777" w:rsidR="007467D3" w:rsidRPr="00DE3E14" w:rsidRDefault="007467D3" w:rsidP="0098460C">
            <w:pPr>
              <w:pStyle w:val="TableText"/>
            </w:pPr>
            <w:r>
              <w:t>(a)</w:t>
            </w:r>
          </w:p>
        </w:tc>
        <w:tc>
          <w:tcPr>
            <w:tcW w:w="1685" w:type="dxa"/>
            <w:vAlign w:val="center"/>
          </w:tcPr>
          <w:p w14:paraId="5122A281" w14:textId="77777777" w:rsidR="007467D3" w:rsidRDefault="007467D3" w:rsidP="0098460C">
            <w:pPr>
              <w:pStyle w:val="TableText"/>
            </w:pPr>
            <w:r>
              <w:t xml:space="preserve">Number Exempted with No Valid Score </w:t>
            </w:r>
          </w:p>
          <w:p w14:paraId="38C11118" w14:textId="77777777" w:rsidR="007467D3" w:rsidRDefault="007467D3" w:rsidP="0098460C">
            <w:pPr>
              <w:pStyle w:val="TableText"/>
            </w:pPr>
            <w:r>
              <w:t>(b)</w:t>
            </w:r>
          </w:p>
        </w:tc>
        <w:tc>
          <w:tcPr>
            <w:tcW w:w="1809" w:type="dxa"/>
            <w:tcBorders>
              <w:top w:val="single" w:sz="12" w:space="0" w:color="auto"/>
              <w:left w:val="single" w:sz="12" w:space="0" w:color="auto"/>
              <w:right w:val="single" w:sz="12" w:space="0" w:color="auto"/>
            </w:tcBorders>
            <w:vAlign w:val="center"/>
          </w:tcPr>
          <w:p w14:paraId="61B9A494" w14:textId="77777777" w:rsidR="007467D3" w:rsidRDefault="007467D3" w:rsidP="0098460C">
            <w:pPr>
              <w:pStyle w:val="TableText"/>
            </w:pPr>
            <w:r>
              <w:t xml:space="preserve">Number Passing with at Least a 65 </w:t>
            </w:r>
          </w:p>
          <w:p w14:paraId="29EB99F5" w14:textId="77777777" w:rsidR="007467D3" w:rsidRDefault="007467D3" w:rsidP="0098460C">
            <w:pPr>
              <w:pStyle w:val="TableText"/>
            </w:pPr>
            <w:r>
              <w:t>(c)</w:t>
            </w:r>
          </w:p>
        </w:tc>
        <w:tc>
          <w:tcPr>
            <w:tcW w:w="2520" w:type="dxa"/>
            <w:tcBorders>
              <w:top w:val="single" w:sz="12" w:space="0" w:color="auto"/>
              <w:left w:val="single" w:sz="12" w:space="0" w:color="auto"/>
              <w:right w:val="single" w:sz="12" w:space="0" w:color="auto"/>
            </w:tcBorders>
            <w:vAlign w:val="center"/>
          </w:tcPr>
          <w:p w14:paraId="4E7E1DD3" w14:textId="77777777" w:rsidR="007467D3" w:rsidRDefault="007467D3" w:rsidP="0098460C">
            <w:pPr>
              <w:pStyle w:val="TableText"/>
            </w:pPr>
            <w:r>
              <w:t>Percent Passing Among Students with Valid Score</w:t>
            </w:r>
            <w:r>
              <w:br/>
              <w:t>(c)/(a-b)</w:t>
            </w:r>
          </w:p>
        </w:tc>
      </w:tr>
      <w:tr w:rsidR="007467D3" w:rsidRPr="00DD2508" w14:paraId="63367C23" w14:textId="77777777" w:rsidTr="0098460C">
        <w:trPr>
          <w:trHeight w:val="228"/>
          <w:jc w:val="center"/>
        </w:trPr>
        <w:tc>
          <w:tcPr>
            <w:tcW w:w="1255" w:type="dxa"/>
          </w:tcPr>
          <w:p w14:paraId="758A792A" w14:textId="24EA363F" w:rsidR="007467D3" w:rsidRPr="00DE3E14" w:rsidRDefault="0075382B" w:rsidP="0098460C">
            <w:pPr>
              <w:pStyle w:val="TableText"/>
            </w:pPr>
            <w:r>
              <w:t>2015</w:t>
            </w:r>
          </w:p>
        </w:tc>
        <w:tc>
          <w:tcPr>
            <w:tcW w:w="990" w:type="dxa"/>
          </w:tcPr>
          <w:p w14:paraId="5C57331F" w14:textId="3AC653FD" w:rsidR="007467D3" w:rsidRPr="00DE3E14" w:rsidRDefault="0075382B" w:rsidP="0098460C">
            <w:pPr>
              <w:pStyle w:val="TableText"/>
            </w:pPr>
            <w:r>
              <w:t>2018-19</w:t>
            </w:r>
          </w:p>
        </w:tc>
        <w:tc>
          <w:tcPr>
            <w:tcW w:w="900" w:type="dxa"/>
          </w:tcPr>
          <w:p w14:paraId="185117A3" w14:textId="77777777" w:rsidR="007467D3" w:rsidRPr="00DE3E14" w:rsidRDefault="007467D3" w:rsidP="0098460C">
            <w:pPr>
              <w:pStyle w:val="TableText"/>
            </w:pPr>
          </w:p>
        </w:tc>
        <w:tc>
          <w:tcPr>
            <w:tcW w:w="1685" w:type="dxa"/>
          </w:tcPr>
          <w:p w14:paraId="7A0486DA" w14:textId="77777777" w:rsidR="007467D3" w:rsidRDefault="007467D3" w:rsidP="0098460C">
            <w:pPr>
              <w:pStyle w:val="TableText"/>
            </w:pPr>
            <w:r>
              <w:t>0</w:t>
            </w:r>
          </w:p>
        </w:tc>
        <w:tc>
          <w:tcPr>
            <w:tcW w:w="1809" w:type="dxa"/>
            <w:tcBorders>
              <w:top w:val="single" w:sz="4" w:space="0" w:color="auto"/>
              <w:left w:val="single" w:sz="12" w:space="0" w:color="auto"/>
              <w:bottom w:val="single" w:sz="4" w:space="0" w:color="auto"/>
              <w:right w:val="single" w:sz="12" w:space="0" w:color="auto"/>
            </w:tcBorders>
            <w:shd w:val="clear" w:color="auto" w:fill="auto"/>
          </w:tcPr>
          <w:p w14:paraId="1AB653B5" w14:textId="77777777" w:rsidR="007467D3" w:rsidRDefault="007467D3"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5FB5F9A1" w14:textId="77777777" w:rsidR="007467D3" w:rsidRDefault="007467D3" w:rsidP="0098460C">
            <w:pPr>
              <w:pStyle w:val="TableText"/>
              <w:rPr>
                <w:b/>
                <w:bCs/>
              </w:rPr>
            </w:pPr>
          </w:p>
        </w:tc>
      </w:tr>
      <w:tr w:rsidR="007467D3" w:rsidRPr="00DD2508" w14:paraId="0B3ABD27" w14:textId="77777777" w:rsidTr="0098460C">
        <w:trPr>
          <w:trHeight w:val="228"/>
          <w:jc w:val="center"/>
        </w:trPr>
        <w:tc>
          <w:tcPr>
            <w:tcW w:w="1255" w:type="dxa"/>
          </w:tcPr>
          <w:p w14:paraId="3C454513" w14:textId="44FFDD44" w:rsidR="007467D3" w:rsidRPr="00DE3E14" w:rsidRDefault="0075382B" w:rsidP="0098460C">
            <w:pPr>
              <w:pStyle w:val="TableText"/>
            </w:pPr>
            <w:r>
              <w:t>2016</w:t>
            </w:r>
          </w:p>
        </w:tc>
        <w:tc>
          <w:tcPr>
            <w:tcW w:w="990" w:type="dxa"/>
          </w:tcPr>
          <w:p w14:paraId="4877B521" w14:textId="170E138C" w:rsidR="007467D3" w:rsidRPr="00DE3E14" w:rsidRDefault="0075382B" w:rsidP="0098460C">
            <w:pPr>
              <w:pStyle w:val="TableText"/>
            </w:pPr>
            <w:r>
              <w:t>2019-20</w:t>
            </w:r>
          </w:p>
        </w:tc>
        <w:tc>
          <w:tcPr>
            <w:tcW w:w="900" w:type="dxa"/>
          </w:tcPr>
          <w:p w14:paraId="336C9AEA" w14:textId="77777777" w:rsidR="007467D3" w:rsidRPr="00DE3E14" w:rsidRDefault="007467D3" w:rsidP="0098460C">
            <w:pPr>
              <w:pStyle w:val="TableText"/>
            </w:pPr>
          </w:p>
        </w:tc>
        <w:tc>
          <w:tcPr>
            <w:tcW w:w="1685" w:type="dxa"/>
          </w:tcPr>
          <w:p w14:paraId="687FDA5F" w14:textId="22C39400" w:rsidR="007467D3" w:rsidRDefault="007467D3" w:rsidP="0098460C">
            <w:pPr>
              <w:pStyle w:val="TableText"/>
            </w:pPr>
          </w:p>
        </w:tc>
        <w:tc>
          <w:tcPr>
            <w:tcW w:w="1809" w:type="dxa"/>
            <w:tcBorders>
              <w:top w:val="single" w:sz="4" w:space="0" w:color="auto"/>
              <w:left w:val="single" w:sz="12" w:space="0" w:color="auto"/>
              <w:bottom w:val="single" w:sz="4" w:space="0" w:color="auto"/>
              <w:right w:val="single" w:sz="12" w:space="0" w:color="auto"/>
            </w:tcBorders>
            <w:shd w:val="clear" w:color="auto" w:fill="auto"/>
          </w:tcPr>
          <w:p w14:paraId="0BE966C6" w14:textId="77777777" w:rsidR="007467D3" w:rsidRDefault="007467D3"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141881DD" w14:textId="77777777" w:rsidR="007467D3" w:rsidRDefault="007467D3" w:rsidP="0098460C">
            <w:pPr>
              <w:pStyle w:val="TableText"/>
            </w:pPr>
          </w:p>
        </w:tc>
      </w:tr>
      <w:tr w:rsidR="007467D3" w:rsidRPr="00DD2508" w14:paraId="49F061B6" w14:textId="77777777" w:rsidTr="0098460C">
        <w:trPr>
          <w:trHeight w:val="260"/>
          <w:jc w:val="center"/>
        </w:trPr>
        <w:tc>
          <w:tcPr>
            <w:tcW w:w="1255" w:type="dxa"/>
          </w:tcPr>
          <w:p w14:paraId="677727AE" w14:textId="085B80E4" w:rsidR="007467D3" w:rsidRPr="00DE3E14" w:rsidRDefault="0075382B" w:rsidP="0098460C">
            <w:pPr>
              <w:pStyle w:val="TableText"/>
            </w:pPr>
            <w:r>
              <w:t>2017</w:t>
            </w:r>
          </w:p>
        </w:tc>
        <w:tc>
          <w:tcPr>
            <w:tcW w:w="990" w:type="dxa"/>
          </w:tcPr>
          <w:p w14:paraId="613A25FC" w14:textId="5EA5A24D" w:rsidR="007467D3" w:rsidRPr="00DE3E14" w:rsidRDefault="0075382B" w:rsidP="0098460C">
            <w:pPr>
              <w:pStyle w:val="TableText"/>
            </w:pPr>
            <w:r>
              <w:t>2020-21</w:t>
            </w:r>
          </w:p>
        </w:tc>
        <w:tc>
          <w:tcPr>
            <w:tcW w:w="900" w:type="dxa"/>
            <w:tcBorders>
              <w:bottom w:val="single" w:sz="4" w:space="0" w:color="auto"/>
            </w:tcBorders>
          </w:tcPr>
          <w:p w14:paraId="0ED02458" w14:textId="38E866CF" w:rsidR="007467D3" w:rsidRPr="00DE3E14" w:rsidRDefault="00B83753" w:rsidP="0098460C">
            <w:pPr>
              <w:pStyle w:val="TableText"/>
            </w:pPr>
            <w:r>
              <w:t>25</w:t>
            </w:r>
          </w:p>
        </w:tc>
        <w:tc>
          <w:tcPr>
            <w:tcW w:w="1685" w:type="dxa"/>
            <w:tcBorders>
              <w:bottom w:val="single" w:sz="4" w:space="0" w:color="auto"/>
            </w:tcBorders>
          </w:tcPr>
          <w:p w14:paraId="620EF7BE" w14:textId="4F98BCE3" w:rsidR="007467D3" w:rsidRDefault="00B52DE2" w:rsidP="0098460C">
            <w:pPr>
              <w:pStyle w:val="TableText"/>
            </w:pPr>
            <w:r>
              <w:t>16</w:t>
            </w:r>
          </w:p>
        </w:tc>
        <w:tc>
          <w:tcPr>
            <w:tcW w:w="1809" w:type="dxa"/>
            <w:tcBorders>
              <w:top w:val="single" w:sz="4" w:space="0" w:color="auto"/>
              <w:left w:val="single" w:sz="12" w:space="0" w:color="auto"/>
              <w:bottom w:val="single" w:sz="12" w:space="0" w:color="auto"/>
              <w:right w:val="single" w:sz="12" w:space="0" w:color="auto"/>
            </w:tcBorders>
            <w:shd w:val="clear" w:color="auto" w:fill="auto"/>
          </w:tcPr>
          <w:p w14:paraId="73432191" w14:textId="03015BF2" w:rsidR="007467D3" w:rsidRDefault="00EA7023" w:rsidP="0098460C">
            <w:pPr>
              <w:pStyle w:val="TableText"/>
            </w:pPr>
            <w:r>
              <w:t>N/A</w:t>
            </w:r>
          </w:p>
        </w:tc>
        <w:tc>
          <w:tcPr>
            <w:tcW w:w="2520" w:type="dxa"/>
            <w:tcBorders>
              <w:top w:val="single" w:sz="4" w:space="0" w:color="auto"/>
              <w:left w:val="single" w:sz="12" w:space="0" w:color="auto"/>
              <w:bottom w:val="single" w:sz="12" w:space="0" w:color="auto"/>
              <w:right w:val="single" w:sz="12" w:space="0" w:color="auto"/>
            </w:tcBorders>
            <w:shd w:val="clear" w:color="auto" w:fill="auto"/>
          </w:tcPr>
          <w:p w14:paraId="716BA6F1" w14:textId="56D5912B" w:rsidR="007467D3" w:rsidRDefault="00B52DE2" w:rsidP="0098460C">
            <w:pPr>
              <w:pStyle w:val="TableText"/>
            </w:pPr>
            <w:r>
              <w:t>N/A</w:t>
            </w:r>
          </w:p>
        </w:tc>
      </w:tr>
    </w:tbl>
    <w:p w14:paraId="4A694CEF" w14:textId="58F763C5" w:rsidR="00056BFE" w:rsidRPr="00DD2508" w:rsidRDefault="00056BFE" w:rsidP="00056BFE">
      <w:pPr>
        <w:pStyle w:val="Heading2"/>
      </w:pPr>
      <w:r w:rsidRPr="00EA7023">
        <w:t>Evaluation</w:t>
      </w:r>
    </w:p>
    <w:p w14:paraId="44B94371" w14:textId="5CEF3F5D" w:rsidR="00056BFE" w:rsidRPr="00DD2508" w:rsidRDefault="00C35A13" w:rsidP="00056BFE">
      <w:r w:rsidRPr="00B52DE2">
        <w:t xml:space="preserve">Troy Prep Charter School </w:t>
      </w:r>
      <w:r w:rsidR="00B52DE2">
        <w:t>had 16 students exempt with no valid score in the 2017 cohort. They had not previously sat for this exam.</w:t>
      </w:r>
      <w:r w:rsidR="00EA7023">
        <w:t xml:space="preserve"> </w:t>
      </w:r>
      <w:r w:rsidR="00B52DE2">
        <w:t>22</w:t>
      </w:r>
      <w:r w:rsidR="00EA7023">
        <w:t xml:space="preserve"> students exempt in the 201</w:t>
      </w:r>
      <w:r w:rsidR="00B52DE2">
        <w:t>8</w:t>
      </w:r>
      <w:r w:rsidR="00EA7023">
        <w:t xml:space="preserve"> cohort. </w:t>
      </w:r>
    </w:p>
    <w:p w14:paraId="125D1EFE" w14:textId="77777777" w:rsidR="00056BFE" w:rsidRPr="00DD2508" w:rsidRDefault="00056BFE" w:rsidP="00056BFE">
      <w:pPr>
        <w:pStyle w:val="Heading2"/>
      </w:pPr>
      <w:r w:rsidRPr="00DD2508">
        <w:t>Additional Evidence</w:t>
      </w:r>
    </w:p>
    <w:p w14:paraId="45D061FB" w14:textId="77777777" w:rsidR="00B82B3D" w:rsidRPr="00DD2508" w:rsidRDefault="00B82B3D" w:rsidP="00056BFE"/>
    <w:p w14:paraId="154CF434" w14:textId="77777777" w:rsidR="00056BFE" w:rsidRPr="00DD2508" w:rsidRDefault="00056BFE" w:rsidP="00056BFE">
      <w:pPr>
        <w:pStyle w:val="TableHeader"/>
      </w:pPr>
      <w:r>
        <w:t>U.S. History</w:t>
      </w:r>
      <w:r w:rsidRPr="003648CC">
        <w:t xml:space="preserve"> Regents Passing Rate </w:t>
      </w:r>
      <w:r>
        <w:t>with a score of 65</w:t>
      </w:r>
      <w:r w:rsidRPr="00DD2508">
        <w:t xml:space="preserve"> 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92"/>
        <w:gridCol w:w="16"/>
        <w:gridCol w:w="974"/>
        <w:gridCol w:w="990"/>
        <w:gridCol w:w="990"/>
        <w:gridCol w:w="1074"/>
        <w:gridCol w:w="1012"/>
      </w:tblGrid>
      <w:tr w:rsidR="00056BFE" w:rsidRPr="00DD2508" w14:paraId="09AF0C1C" w14:textId="77777777" w:rsidTr="002C1A58">
        <w:trPr>
          <w:jc w:val="center"/>
        </w:trPr>
        <w:tc>
          <w:tcPr>
            <w:tcW w:w="1184" w:type="dxa"/>
            <w:vMerge w:val="restart"/>
            <w:vAlign w:val="center"/>
          </w:tcPr>
          <w:p w14:paraId="4441389F" w14:textId="77777777" w:rsidR="00056BFE" w:rsidRPr="00DE3E14" w:rsidRDefault="00056BFE" w:rsidP="002C1A58">
            <w:pPr>
              <w:pStyle w:val="TableText"/>
            </w:pPr>
            <w:r w:rsidRPr="00DE3E14">
              <w:t>Cohort Designation</w:t>
            </w:r>
          </w:p>
        </w:tc>
        <w:tc>
          <w:tcPr>
            <w:tcW w:w="1982" w:type="dxa"/>
            <w:gridSpan w:val="3"/>
          </w:tcPr>
          <w:p w14:paraId="1525FB6A" w14:textId="1D475209" w:rsidR="00056BFE" w:rsidRPr="00DE3E14" w:rsidRDefault="0075382B" w:rsidP="002C1A58">
            <w:pPr>
              <w:pStyle w:val="TableText"/>
              <w:rPr>
                <w:bCs/>
              </w:rPr>
            </w:pPr>
            <w:r>
              <w:rPr>
                <w:bCs/>
              </w:rPr>
              <w:t>2018-19</w:t>
            </w:r>
          </w:p>
        </w:tc>
        <w:tc>
          <w:tcPr>
            <w:tcW w:w="1980" w:type="dxa"/>
            <w:gridSpan w:val="2"/>
          </w:tcPr>
          <w:p w14:paraId="6D2AC834" w14:textId="5C644FE7" w:rsidR="00056BFE" w:rsidRPr="00DE3E14" w:rsidRDefault="0075382B" w:rsidP="002C1A58">
            <w:pPr>
              <w:pStyle w:val="TableText"/>
              <w:rPr>
                <w:bCs/>
              </w:rPr>
            </w:pPr>
            <w:r>
              <w:rPr>
                <w:bCs/>
              </w:rPr>
              <w:t>2019-20</w:t>
            </w:r>
          </w:p>
        </w:tc>
        <w:tc>
          <w:tcPr>
            <w:tcW w:w="2086" w:type="dxa"/>
            <w:gridSpan w:val="2"/>
          </w:tcPr>
          <w:p w14:paraId="1D4F63A9" w14:textId="4F3B3414" w:rsidR="00056BFE" w:rsidRPr="00DE3E14" w:rsidRDefault="0075382B" w:rsidP="002C1A58">
            <w:pPr>
              <w:pStyle w:val="TableText"/>
              <w:rPr>
                <w:bCs/>
              </w:rPr>
            </w:pPr>
            <w:r>
              <w:rPr>
                <w:bCs/>
              </w:rPr>
              <w:t>2020-21</w:t>
            </w:r>
          </w:p>
        </w:tc>
      </w:tr>
      <w:tr w:rsidR="00056BFE" w:rsidRPr="00DD2508" w14:paraId="03C62343" w14:textId="77777777" w:rsidTr="002C1A58">
        <w:trPr>
          <w:jc w:val="center"/>
        </w:trPr>
        <w:tc>
          <w:tcPr>
            <w:tcW w:w="1184" w:type="dxa"/>
            <w:vMerge/>
          </w:tcPr>
          <w:p w14:paraId="1B704D1D" w14:textId="77777777" w:rsidR="00056BFE" w:rsidRPr="00DE3E14" w:rsidRDefault="00056BFE" w:rsidP="002C1A58">
            <w:pPr>
              <w:pStyle w:val="TableText"/>
            </w:pPr>
          </w:p>
        </w:tc>
        <w:tc>
          <w:tcPr>
            <w:tcW w:w="1008" w:type="dxa"/>
            <w:gridSpan w:val="2"/>
            <w:tcBorders>
              <w:bottom w:val="single" w:sz="12" w:space="0" w:color="auto"/>
            </w:tcBorders>
          </w:tcPr>
          <w:p w14:paraId="3E4B1B31" w14:textId="77777777" w:rsidR="00056BFE" w:rsidRPr="00DE3E14" w:rsidRDefault="00056BFE" w:rsidP="002C1A58">
            <w:pPr>
              <w:pStyle w:val="TableText"/>
            </w:pPr>
            <w:r w:rsidRPr="00DE3E14">
              <w:t>Number in Cohort</w:t>
            </w:r>
          </w:p>
        </w:tc>
        <w:tc>
          <w:tcPr>
            <w:tcW w:w="974" w:type="dxa"/>
            <w:tcBorders>
              <w:bottom w:val="single" w:sz="12" w:space="0" w:color="auto"/>
            </w:tcBorders>
          </w:tcPr>
          <w:p w14:paraId="625EEF7B" w14:textId="77777777" w:rsidR="00056BFE" w:rsidRPr="00DE3E14" w:rsidRDefault="00056BFE" w:rsidP="002C1A58">
            <w:pPr>
              <w:pStyle w:val="TableText"/>
            </w:pPr>
            <w:r w:rsidRPr="00DE3E14">
              <w:t>Percent Passing</w:t>
            </w:r>
          </w:p>
        </w:tc>
        <w:tc>
          <w:tcPr>
            <w:tcW w:w="990" w:type="dxa"/>
          </w:tcPr>
          <w:p w14:paraId="6F1622DD" w14:textId="77777777" w:rsidR="00056BFE" w:rsidRPr="00DE3E14" w:rsidRDefault="00056BFE" w:rsidP="002C1A58">
            <w:pPr>
              <w:pStyle w:val="TableText"/>
            </w:pPr>
            <w:r w:rsidRPr="00DE3E14">
              <w:t>Number in Cohort</w:t>
            </w:r>
          </w:p>
        </w:tc>
        <w:tc>
          <w:tcPr>
            <w:tcW w:w="990" w:type="dxa"/>
            <w:tcBorders>
              <w:bottom w:val="single" w:sz="8" w:space="0" w:color="auto"/>
            </w:tcBorders>
          </w:tcPr>
          <w:p w14:paraId="3F4468AE" w14:textId="77777777" w:rsidR="00056BFE" w:rsidRPr="00DE3E14" w:rsidRDefault="00056BFE" w:rsidP="002C1A58">
            <w:pPr>
              <w:pStyle w:val="TableText"/>
            </w:pPr>
            <w:r w:rsidRPr="00DE3E14">
              <w:t>Percent Passing</w:t>
            </w:r>
          </w:p>
        </w:tc>
        <w:tc>
          <w:tcPr>
            <w:tcW w:w="1074" w:type="dxa"/>
            <w:tcBorders>
              <w:bottom w:val="single" w:sz="8" w:space="0" w:color="auto"/>
            </w:tcBorders>
          </w:tcPr>
          <w:p w14:paraId="3E70A05F" w14:textId="77777777" w:rsidR="00056BFE" w:rsidRPr="00DE3E14" w:rsidRDefault="00056BFE" w:rsidP="002C1A58">
            <w:pPr>
              <w:pStyle w:val="TableText"/>
            </w:pPr>
            <w:r w:rsidRPr="00DE3E14">
              <w:t>Number in Cohort</w:t>
            </w:r>
          </w:p>
        </w:tc>
        <w:tc>
          <w:tcPr>
            <w:tcW w:w="1012" w:type="dxa"/>
            <w:tcBorders>
              <w:bottom w:val="single" w:sz="8" w:space="0" w:color="auto"/>
            </w:tcBorders>
          </w:tcPr>
          <w:p w14:paraId="01C52918" w14:textId="77777777" w:rsidR="00056BFE" w:rsidRPr="00DE3E14" w:rsidRDefault="00056BFE" w:rsidP="002C1A58">
            <w:pPr>
              <w:pStyle w:val="TableText"/>
            </w:pPr>
            <w:r w:rsidRPr="00DE3E14">
              <w:t>Percent Passing</w:t>
            </w:r>
          </w:p>
        </w:tc>
      </w:tr>
      <w:tr w:rsidR="00BA3D44" w:rsidRPr="00DD2508" w14:paraId="4B6E6CC8" w14:textId="77777777" w:rsidTr="002C1A58">
        <w:trPr>
          <w:jc w:val="center"/>
        </w:trPr>
        <w:tc>
          <w:tcPr>
            <w:tcW w:w="1184" w:type="dxa"/>
          </w:tcPr>
          <w:p w14:paraId="634374E4" w14:textId="63CB529A" w:rsidR="00BA3D44" w:rsidRPr="00DE3E14" w:rsidRDefault="00BA3D44" w:rsidP="00BA3D44">
            <w:pPr>
              <w:pStyle w:val="TableText"/>
              <w:rPr>
                <w:bCs/>
              </w:rPr>
            </w:pPr>
            <w:r w:rsidRPr="00DE3E14">
              <w:rPr>
                <w:bCs/>
              </w:rPr>
              <w:t>201</w:t>
            </w:r>
            <w:r>
              <w:rPr>
                <w:bCs/>
              </w:rPr>
              <w:t>7</w:t>
            </w:r>
          </w:p>
        </w:tc>
        <w:tc>
          <w:tcPr>
            <w:tcW w:w="992" w:type="dxa"/>
          </w:tcPr>
          <w:p w14:paraId="2DE83E77" w14:textId="77777777" w:rsidR="00BA3D44" w:rsidRPr="00DE3E14" w:rsidRDefault="00BA3D44" w:rsidP="00BA3D44">
            <w:pPr>
              <w:pStyle w:val="TableText"/>
            </w:pPr>
          </w:p>
        </w:tc>
        <w:tc>
          <w:tcPr>
            <w:tcW w:w="990" w:type="dxa"/>
            <w:gridSpan w:val="2"/>
          </w:tcPr>
          <w:p w14:paraId="41B11826" w14:textId="77777777" w:rsidR="00BA3D44" w:rsidRPr="00DE3E14" w:rsidRDefault="00BA3D44" w:rsidP="00BA3D44">
            <w:pPr>
              <w:pStyle w:val="TableText"/>
            </w:pPr>
          </w:p>
        </w:tc>
        <w:tc>
          <w:tcPr>
            <w:tcW w:w="990" w:type="dxa"/>
            <w:tcBorders>
              <w:top w:val="single" w:sz="12" w:space="0" w:color="auto"/>
              <w:bottom w:val="single" w:sz="4" w:space="0" w:color="auto"/>
              <w:right w:val="single" w:sz="8" w:space="0" w:color="auto"/>
            </w:tcBorders>
            <w:shd w:val="clear" w:color="auto" w:fill="auto"/>
          </w:tcPr>
          <w:p w14:paraId="41F83722" w14:textId="78CE47AC" w:rsidR="00BA3D44" w:rsidRPr="00DE3E14" w:rsidRDefault="00BA3D44" w:rsidP="00BA3D44">
            <w:pPr>
              <w:pStyle w:val="TableText"/>
            </w:pPr>
            <w:r>
              <w:t>32</w:t>
            </w: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6A67D835" w14:textId="1CA0913D" w:rsidR="00BA3D44" w:rsidRPr="00DE3E14" w:rsidRDefault="00BA3D44" w:rsidP="00BA3D44">
            <w:pPr>
              <w:pStyle w:val="TableText"/>
            </w:pPr>
            <w:r>
              <w:t>19%</w:t>
            </w: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2CDE66AF" w14:textId="70EE5FB6" w:rsidR="00BA3D44" w:rsidRPr="00DE3E14" w:rsidRDefault="00BA3D44" w:rsidP="00BA3D44">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6B1623F5" w14:textId="227200F6" w:rsidR="00BA3D44" w:rsidRPr="00DE3E14" w:rsidRDefault="00EA7023" w:rsidP="00BA3D44">
            <w:pPr>
              <w:pStyle w:val="TableText"/>
            </w:pPr>
            <w:r>
              <w:t>92%</w:t>
            </w:r>
          </w:p>
        </w:tc>
      </w:tr>
      <w:tr w:rsidR="00BA3D44" w:rsidRPr="00DD2508" w14:paraId="6649277C" w14:textId="77777777" w:rsidTr="002C1A58">
        <w:trPr>
          <w:jc w:val="center"/>
        </w:trPr>
        <w:tc>
          <w:tcPr>
            <w:tcW w:w="1184" w:type="dxa"/>
          </w:tcPr>
          <w:p w14:paraId="66501B62" w14:textId="10FA766E" w:rsidR="00BA3D44" w:rsidRPr="00DE3E14" w:rsidRDefault="00BA3D44" w:rsidP="00BA3D44">
            <w:pPr>
              <w:pStyle w:val="TableText"/>
              <w:rPr>
                <w:bCs/>
              </w:rPr>
            </w:pPr>
            <w:r w:rsidRPr="00DE3E14">
              <w:rPr>
                <w:bCs/>
              </w:rPr>
              <w:t>201</w:t>
            </w:r>
            <w:r>
              <w:rPr>
                <w:bCs/>
              </w:rPr>
              <w:t>8</w:t>
            </w:r>
          </w:p>
        </w:tc>
        <w:tc>
          <w:tcPr>
            <w:tcW w:w="992" w:type="dxa"/>
          </w:tcPr>
          <w:p w14:paraId="2A375991" w14:textId="77777777" w:rsidR="00BA3D44" w:rsidRPr="00DE3E14" w:rsidRDefault="00BA3D44" w:rsidP="00BA3D44">
            <w:pPr>
              <w:pStyle w:val="TableText"/>
            </w:pPr>
          </w:p>
        </w:tc>
        <w:tc>
          <w:tcPr>
            <w:tcW w:w="990" w:type="dxa"/>
            <w:gridSpan w:val="2"/>
          </w:tcPr>
          <w:p w14:paraId="2873D6C9" w14:textId="77777777" w:rsidR="00BA3D44" w:rsidRPr="00DE3E14" w:rsidRDefault="00BA3D44" w:rsidP="00BA3D44">
            <w:pPr>
              <w:pStyle w:val="TableText"/>
            </w:pPr>
          </w:p>
        </w:tc>
        <w:tc>
          <w:tcPr>
            <w:tcW w:w="990" w:type="dxa"/>
            <w:tcBorders>
              <w:bottom w:val="single" w:sz="4" w:space="0" w:color="auto"/>
              <w:right w:val="single" w:sz="8" w:space="0" w:color="auto"/>
            </w:tcBorders>
            <w:shd w:val="clear" w:color="auto" w:fill="auto"/>
          </w:tcPr>
          <w:p w14:paraId="7F039EF4" w14:textId="77777777" w:rsidR="00BA3D44" w:rsidRPr="00DE3E14" w:rsidRDefault="00BA3D44" w:rsidP="00BA3D44">
            <w:pPr>
              <w:pStyle w:val="TableText"/>
            </w:pP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48F5F0D9" w14:textId="77777777" w:rsidR="00BA3D44" w:rsidRPr="00DE3E14" w:rsidRDefault="00BA3D44" w:rsidP="00BA3D44">
            <w:pPr>
              <w:pStyle w:val="TableText"/>
            </w:pP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1E259890" w14:textId="77A44BFC" w:rsidR="00BA3D44" w:rsidRPr="00DE3E14" w:rsidRDefault="00BA3D44" w:rsidP="00BA3D44">
            <w:pPr>
              <w:pStyle w:val="TableText"/>
            </w:pPr>
            <w:r>
              <w:t>30</w:t>
            </w: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235A9D16" w14:textId="71E482F7" w:rsidR="00BA3D44" w:rsidRPr="00DE3E14" w:rsidRDefault="00EA7023" w:rsidP="00BA3D44">
            <w:pPr>
              <w:pStyle w:val="TableText"/>
            </w:pPr>
            <w:r>
              <w:t>N/A</w:t>
            </w:r>
          </w:p>
        </w:tc>
      </w:tr>
      <w:tr w:rsidR="00EA7023" w:rsidRPr="00DD2508" w14:paraId="41120690" w14:textId="77777777" w:rsidTr="002C1A58">
        <w:trPr>
          <w:jc w:val="center"/>
        </w:trPr>
        <w:tc>
          <w:tcPr>
            <w:tcW w:w="1184" w:type="dxa"/>
          </w:tcPr>
          <w:p w14:paraId="1F7CBFBA" w14:textId="585BEC96" w:rsidR="00EA7023" w:rsidRPr="00DE3E14" w:rsidRDefault="00EA7023" w:rsidP="00EA7023">
            <w:pPr>
              <w:pStyle w:val="TableText"/>
              <w:rPr>
                <w:bCs/>
              </w:rPr>
            </w:pPr>
            <w:r w:rsidRPr="00DE3E14">
              <w:rPr>
                <w:bCs/>
              </w:rPr>
              <w:lastRenderedPageBreak/>
              <w:t>201</w:t>
            </w:r>
            <w:r>
              <w:rPr>
                <w:bCs/>
              </w:rPr>
              <w:t>9</w:t>
            </w:r>
          </w:p>
        </w:tc>
        <w:tc>
          <w:tcPr>
            <w:tcW w:w="992" w:type="dxa"/>
            <w:shd w:val="clear" w:color="auto" w:fill="B3B3B3"/>
          </w:tcPr>
          <w:p w14:paraId="0FD409D5" w14:textId="77777777" w:rsidR="00EA7023" w:rsidRPr="00DE3E14" w:rsidRDefault="00EA7023" w:rsidP="00EA7023">
            <w:pPr>
              <w:pStyle w:val="TableText"/>
            </w:pPr>
          </w:p>
        </w:tc>
        <w:tc>
          <w:tcPr>
            <w:tcW w:w="990" w:type="dxa"/>
            <w:gridSpan w:val="2"/>
            <w:shd w:val="clear" w:color="auto" w:fill="B3B3B3"/>
          </w:tcPr>
          <w:p w14:paraId="5489D9E3" w14:textId="77777777" w:rsidR="00EA7023" w:rsidRPr="00DE3E14" w:rsidRDefault="00EA7023" w:rsidP="00EA7023">
            <w:pPr>
              <w:pStyle w:val="TableText"/>
            </w:pPr>
          </w:p>
        </w:tc>
        <w:tc>
          <w:tcPr>
            <w:tcW w:w="990" w:type="dxa"/>
            <w:tcBorders>
              <w:top w:val="single" w:sz="4" w:space="0" w:color="auto"/>
              <w:bottom w:val="single" w:sz="4" w:space="0" w:color="auto"/>
              <w:right w:val="single" w:sz="4" w:space="0" w:color="auto"/>
            </w:tcBorders>
            <w:shd w:val="clear" w:color="auto" w:fill="auto"/>
          </w:tcPr>
          <w:p w14:paraId="4778CB6E" w14:textId="77777777" w:rsidR="00EA7023" w:rsidRPr="00DE3E14" w:rsidRDefault="00EA7023" w:rsidP="00EA7023">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0211F5E" w14:textId="77777777" w:rsidR="00EA7023" w:rsidRPr="00DE3E14" w:rsidRDefault="00EA7023" w:rsidP="00EA7023">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11BD1BEA" w14:textId="75040CDD" w:rsidR="00EA7023" w:rsidRPr="00DE3E14" w:rsidRDefault="00EA7023" w:rsidP="00EA7023">
            <w:pPr>
              <w:pStyle w:val="TableText"/>
            </w:pPr>
            <w:r>
              <w:t>52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1EE48D6B" w14:textId="4700E8C4" w:rsidR="00EA7023" w:rsidRPr="00DE3E14" w:rsidRDefault="00EA7023" w:rsidP="00EA7023">
            <w:pPr>
              <w:pStyle w:val="TableText"/>
            </w:pPr>
            <w:r>
              <w:t>N/A</w:t>
            </w:r>
          </w:p>
        </w:tc>
      </w:tr>
      <w:tr w:rsidR="00EA7023" w:rsidRPr="00DD2508" w14:paraId="1CA0E225" w14:textId="77777777" w:rsidTr="002C1A58">
        <w:trPr>
          <w:jc w:val="center"/>
        </w:trPr>
        <w:tc>
          <w:tcPr>
            <w:tcW w:w="1184" w:type="dxa"/>
          </w:tcPr>
          <w:p w14:paraId="6B92934F" w14:textId="7C511D2C" w:rsidR="00EA7023" w:rsidRPr="00DE3E14" w:rsidRDefault="00EA7023" w:rsidP="00EA7023">
            <w:pPr>
              <w:pStyle w:val="TableText"/>
              <w:rPr>
                <w:bCs/>
              </w:rPr>
            </w:pPr>
            <w:r>
              <w:rPr>
                <w:bCs/>
              </w:rPr>
              <w:t>2020</w:t>
            </w:r>
          </w:p>
        </w:tc>
        <w:tc>
          <w:tcPr>
            <w:tcW w:w="992" w:type="dxa"/>
            <w:shd w:val="clear" w:color="auto" w:fill="B3B3B3"/>
          </w:tcPr>
          <w:p w14:paraId="712A2519" w14:textId="77777777" w:rsidR="00EA7023" w:rsidRPr="00DE3E14" w:rsidRDefault="00EA7023" w:rsidP="00EA7023">
            <w:pPr>
              <w:pStyle w:val="TableText"/>
            </w:pPr>
          </w:p>
        </w:tc>
        <w:tc>
          <w:tcPr>
            <w:tcW w:w="990" w:type="dxa"/>
            <w:gridSpan w:val="2"/>
            <w:shd w:val="clear" w:color="auto" w:fill="B3B3B3"/>
          </w:tcPr>
          <w:p w14:paraId="78DE2365" w14:textId="77777777" w:rsidR="00EA7023" w:rsidRPr="00DE3E14" w:rsidRDefault="00EA7023" w:rsidP="00EA7023">
            <w:pPr>
              <w:pStyle w:val="TableText"/>
            </w:pPr>
          </w:p>
        </w:tc>
        <w:tc>
          <w:tcPr>
            <w:tcW w:w="990" w:type="dxa"/>
            <w:tcBorders>
              <w:top w:val="single" w:sz="4" w:space="0" w:color="auto"/>
              <w:bottom w:val="single" w:sz="4" w:space="0" w:color="auto"/>
              <w:right w:val="single" w:sz="4" w:space="0" w:color="auto"/>
            </w:tcBorders>
            <w:shd w:val="clear" w:color="auto" w:fill="B3B3B3"/>
          </w:tcPr>
          <w:p w14:paraId="7D00C882" w14:textId="77777777" w:rsidR="00EA7023" w:rsidRPr="00DE3E14" w:rsidRDefault="00EA7023" w:rsidP="00EA7023">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221915F2" w14:textId="77777777" w:rsidR="00EA7023" w:rsidRPr="00DE3E14" w:rsidRDefault="00EA7023" w:rsidP="00EA7023">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376B9BFD" w14:textId="4C9988E2" w:rsidR="00EA7023" w:rsidRPr="00B52DE2" w:rsidRDefault="00B52DE2" w:rsidP="00EA7023">
            <w:pPr>
              <w:pStyle w:val="TableText"/>
            </w:pPr>
            <w:r>
              <w:t>60</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364BFFCB" w14:textId="5A6D84FE" w:rsidR="00EA7023" w:rsidRPr="00B52DE2" w:rsidRDefault="00EA7023" w:rsidP="00EA7023">
            <w:pPr>
              <w:pStyle w:val="TableText"/>
            </w:pPr>
            <w:r w:rsidRPr="00B52DE2">
              <w:t>N/A</w:t>
            </w:r>
          </w:p>
        </w:tc>
      </w:tr>
    </w:tbl>
    <w:p w14:paraId="63105F49" w14:textId="77777777" w:rsidR="00056BFE" w:rsidRDefault="00056BFE" w:rsidP="00056BFE">
      <w:pPr>
        <w:rPr>
          <w:rFonts w:ascii="Calibri" w:hAnsi="Calibri"/>
          <w:color w:val="000000"/>
          <w:szCs w:val="23"/>
        </w:rPr>
      </w:pPr>
    </w:p>
    <w:p w14:paraId="0624560E" w14:textId="738A56CC" w:rsidR="00056BFE" w:rsidRPr="00DD2508" w:rsidRDefault="00056BFE" w:rsidP="00056BFE">
      <w:pPr>
        <w:pStyle w:val="MeasureTitle"/>
      </w:pPr>
      <w:r w:rsidRPr="00DD2508">
        <w:t xml:space="preserve">Goal </w:t>
      </w:r>
      <w:r w:rsidR="00887F40">
        <w:t>6</w:t>
      </w:r>
      <w:r w:rsidRPr="00DD2508">
        <w:t>: Comparative Measure</w:t>
      </w:r>
    </w:p>
    <w:p w14:paraId="3B060518" w14:textId="77777777" w:rsidR="00056BFE" w:rsidRPr="002209A2" w:rsidRDefault="00056BFE" w:rsidP="00056BFE">
      <w:pPr>
        <w:pStyle w:val="MeasureText"/>
        <w:rPr>
          <w:i/>
        </w:rPr>
      </w:pPr>
      <w:r w:rsidRPr="0009776C">
        <w:t>Each year, the percent to stu</w:t>
      </w:r>
      <w:r w:rsidRPr="002209A2">
        <w:t xml:space="preserve">dents in the </w:t>
      </w:r>
      <w:r w:rsidRPr="002209A2">
        <w:rPr>
          <w:color w:val="808080" w:themeColor="background1" w:themeShade="80"/>
        </w:rPr>
        <w:t xml:space="preserve">high school Total Cohort passing the Regents U.S. History exam with a score of 65 or above will exceed that of the high school Total Cohort </w:t>
      </w:r>
      <w:r w:rsidRPr="002209A2">
        <w:t>from the school district</w:t>
      </w:r>
      <w:r>
        <w:t xml:space="preserve"> of comparison</w:t>
      </w:r>
      <w:r w:rsidRPr="002209A2">
        <w:t>.</w:t>
      </w:r>
    </w:p>
    <w:p w14:paraId="1175B633" w14:textId="77777777" w:rsidR="0075382B" w:rsidRDefault="0075382B" w:rsidP="0075382B">
      <w:r>
        <w:t>The calculation of this measure is not required for 2020-21.</w:t>
      </w:r>
    </w:p>
    <w:p w14:paraId="0ED9B527" w14:textId="1D30D483" w:rsidR="00056BFE" w:rsidRPr="00DD2508" w:rsidRDefault="00056BFE" w:rsidP="00056BFE">
      <w:pPr>
        <w:pStyle w:val="MeasureTitle"/>
      </w:pPr>
      <w:r w:rsidRPr="00DD2508">
        <w:t xml:space="preserve">Goal </w:t>
      </w:r>
      <w:r w:rsidR="00887F40">
        <w:t>6</w:t>
      </w:r>
      <w:r w:rsidRPr="00DD2508">
        <w:t>: Absolute Measure</w:t>
      </w:r>
    </w:p>
    <w:p w14:paraId="510757E2" w14:textId="77777777" w:rsidR="00056BFE" w:rsidRPr="00DD2508" w:rsidRDefault="00056BFE" w:rsidP="00056BFE">
      <w:pPr>
        <w:pStyle w:val="MeasureText"/>
        <w:rPr>
          <w:i/>
        </w:rPr>
      </w:pPr>
      <w:r w:rsidRPr="00DD2508">
        <w:t>Each year, 75 percent of students in the high school Accountability Cohort will score at least 65 on the New York State Regents Global History exam by the completion of their fourth year in the cohort.</w:t>
      </w:r>
    </w:p>
    <w:p w14:paraId="21C35437" w14:textId="77777777" w:rsidR="00056BFE" w:rsidRPr="00DD2508" w:rsidRDefault="00056BFE" w:rsidP="00056BFE">
      <w:pPr>
        <w:pStyle w:val="Heading2"/>
      </w:pPr>
      <w:r w:rsidRPr="00DD2508">
        <w:t>Method</w:t>
      </w:r>
    </w:p>
    <w:p w14:paraId="5D829706" w14:textId="7D5BBB78" w:rsidR="00056BFE" w:rsidRDefault="00056BFE" w:rsidP="00056BFE">
      <w:r w:rsidRPr="00DD2508">
        <w:t xml:space="preserve">This measure requires students in each Accountability Cohort to pass the Global History exam by the completion of their fourth year in the cohort.  Students may have taken the exam multiple </w:t>
      </w:r>
      <w:proofErr w:type="gramStart"/>
      <w:r w:rsidRPr="00DD2508">
        <w:t>times, and</w:t>
      </w:r>
      <w:proofErr w:type="gramEnd"/>
      <w:r w:rsidRPr="00DD2508">
        <w:t xml:space="preserve"> had until the summer of their fourth year to pass it.  Once students pass it, performance on subsequent administrations of the same exam d</w:t>
      </w:r>
      <w:r>
        <w:t>o</w:t>
      </w:r>
      <w:r w:rsidRPr="00DD2508">
        <w:t xml:space="preserve"> not affect their status as passing.  </w:t>
      </w:r>
    </w:p>
    <w:p w14:paraId="4333EBD8" w14:textId="3345E84C" w:rsidR="00F60838" w:rsidRPr="0075382B" w:rsidRDefault="0075382B" w:rsidP="00056BFE">
      <w:pPr>
        <w:rPr>
          <w:b/>
          <w:bCs/>
        </w:rPr>
      </w:pPr>
      <w:r w:rsidRPr="57F71D55">
        <w:rPr>
          <w:b/>
          <w:bCs/>
        </w:rPr>
        <w:t>Due to the state’s cance</w:t>
      </w:r>
      <w:r>
        <w:rPr>
          <w:b/>
          <w:bCs/>
        </w:rPr>
        <w:t xml:space="preserve">llation of multiple </w:t>
      </w:r>
      <w:r w:rsidRPr="57F71D55">
        <w:rPr>
          <w:b/>
          <w:bCs/>
        </w:rPr>
        <w:t>administrations of the Regents</w:t>
      </w:r>
      <w:r>
        <w:rPr>
          <w:b/>
          <w:bCs/>
        </w:rPr>
        <w:t xml:space="preserve"> exams in 2019-20 and 2020-21, some students in the 2017</w:t>
      </w:r>
      <w:r w:rsidRPr="57F71D55">
        <w:rPr>
          <w:b/>
          <w:bCs/>
        </w:rPr>
        <w:t xml:space="preserve"> Cohort who had not previously sat for the exam but were sc</w:t>
      </w:r>
      <w:r>
        <w:rPr>
          <w:b/>
          <w:bCs/>
        </w:rPr>
        <w:t xml:space="preserve">heduled to sit for this exam during a cancellation </w:t>
      </w:r>
      <w:r w:rsidRPr="57F71D55">
        <w:rPr>
          <w:b/>
          <w:bCs/>
        </w:rPr>
        <w:t xml:space="preserve">would be exempted from the graduation requirement.  As such, the school should report both the number of students who were exempted from the exam as well as the percentage </w:t>
      </w:r>
      <w:r>
        <w:rPr>
          <w:b/>
          <w:bCs/>
        </w:rPr>
        <w:t>of students passing</w:t>
      </w:r>
      <w:r w:rsidRPr="57F71D55">
        <w:rPr>
          <w:b/>
          <w:bCs/>
        </w:rPr>
        <w:t xml:space="preserve"> among the students who sat for the exam.</w:t>
      </w:r>
    </w:p>
    <w:p w14:paraId="75E8A13C" w14:textId="77777777" w:rsidR="00056BFE" w:rsidRPr="00DD2508" w:rsidRDefault="00056BFE" w:rsidP="00056BFE">
      <w:pPr>
        <w:pStyle w:val="Heading2"/>
      </w:pPr>
      <w:r w:rsidRPr="00B52DE2">
        <w:t>Results</w:t>
      </w:r>
    </w:p>
    <w:p w14:paraId="2CCCDB1B" w14:textId="45FC6829" w:rsidR="0042730A" w:rsidRPr="00DD2508" w:rsidRDefault="00B83753" w:rsidP="00056BFE">
      <w:r w:rsidRPr="00B83753">
        <w:t>The 201</w:t>
      </w:r>
      <w:r>
        <w:t>7</w:t>
      </w:r>
      <w:r w:rsidRPr="00B83753">
        <w:t xml:space="preserve"> cohort had a </w:t>
      </w:r>
      <w:r w:rsidR="00B52DE2">
        <w:t>92</w:t>
      </w:r>
      <w:r w:rsidRPr="00B83753">
        <w:t>% pass rate on the Global History Regents</w:t>
      </w:r>
      <w:r w:rsidR="00B52DE2">
        <w:t xml:space="preserve"> with 13 students exempt with no valid score</w:t>
      </w:r>
      <w:r w:rsidRPr="00B83753">
        <w:t xml:space="preserve">. </w:t>
      </w:r>
      <w:r>
        <w:t>We did not have any students sit for the exam in the 2020-2021 school year.</w:t>
      </w:r>
      <w:r w:rsidR="00B52DE2">
        <w:t xml:space="preserve"> </w:t>
      </w:r>
    </w:p>
    <w:p w14:paraId="267849CD" w14:textId="77777777" w:rsidR="00056BFE" w:rsidRDefault="00056BFE" w:rsidP="00056BFE">
      <w:pPr>
        <w:pStyle w:val="TableHeader"/>
      </w:pPr>
      <w:r>
        <w:t xml:space="preserve">Global History </w:t>
      </w:r>
      <w:r w:rsidRPr="00DD2508">
        <w:t xml:space="preserve">Regents Passing Rate </w:t>
      </w:r>
      <w:r>
        <w:t xml:space="preserve">with a Score of 65 </w:t>
      </w:r>
    </w:p>
    <w:p w14:paraId="6FB40B78" w14:textId="790E461D" w:rsidR="00056BFE" w:rsidRPr="00DD2508" w:rsidRDefault="00056BFE" w:rsidP="00056BFE">
      <w:pPr>
        <w:pStyle w:val="TableHeader"/>
      </w:pPr>
      <w:r w:rsidRPr="00DD2508">
        <w:t xml:space="preserve">by Fourth Year Accountability Cohort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990"/>
        <w:gridCol w:w="900"/>
        <w:gridCol w:w="1685"/>
        <w:gridCol w:w="1809"/>
        <w:gridCol w:w="2520"/>
      </w:tblGrid>
      <w:tr w:rsidR="007467D3" w:rsidRPr="00DD2508" w14:paraId="4BABD2E5" w14:textId="77777777" w:rsidTr="0098460C">
        <w:trPr>
          <w:trHeight w:val="758"/>
          <w:jc w:val="center"/>
        </w:trPr>
        <w:tc>
          <w:tcPr>
            <w:tcW w:w="1255" w:type="dxa"/>
            <w:shd w:val="clear" w:color="auto" w:fill="auto"/>
            <w:vAlign w:val="center"/>
          </w:tcPr>
          <w:p w14:paraId="4DD61B15" w14:textId="77777777" w:rsidR="007467D3" w:rsidRPr="00DE3E14" w:rsidRDefault="007467D3" w:rsidP="0098460C">
            <w:pPr>
              <w:pStyle w:val="TableText"/>
            </w:pPr>
            <w:r w:rsidRPr="00DE3E14">
              <w:t>Cohort Designation</w:t>
            </w:r>
          </w:p>
        </w:tc>
        <w:tc>
          <w:tcPr>
            <w:tcW w:w="990" w:type="dxa"/>
          </w:tcPr>
          <w:p w14:paraId="29D9D6DD" w14:textId="77777777" w:rsidR="007467D3" w:rsidRDefault="007467D3" w:rsidP="0098460C">
            <w:pPr>
              <w:pStyle w:val="TableText"/>
            </w:pPr>
          </w:p>
          <w:p w14:paraId="251494C8" w14:textId="77777777" w:rsidR="007467D3" w:rsidRDefault="007467D3" w:rsidP="0098460C">
            <w:pPr>
              <w:pStyle w:val="TableText"/>
            </w:pPr>
            <w:r>
              <w:t>Fourth</w:t>
            </w:r>
          </w:p>
          <w:p w14:paraId="219C94D9" w14:textId="77777777" w:rsidR="007467D3" w:rsidRPr="00DE3E14" w:rsidRDefault="007467D3" w:rsidP="0098460C">
            <w:pPr>
              <w:pStyle w:val="TableText"/>
            </w:pPr>
            <w:r>
              <w:t>Year</w:t>
            </w:r>
          </w:p>
        </w:tc>
        <w:tc>
          <w:tcPr>
            <w:tcW w:w="900" w:type="dxa"/>
            <w:vAlign w:val="center"/>
          </w:tcPr>
          <w:p w14:paraId="0F071AA8" w14:textId="77777777" w:rsidR="007467D3" w:rsidRPr="00DE3E14" w:rsidRDefault="007467D3" w:rsidP="0098460C">
            <w:pPr>
              <w:pStyle w:val="TableText"/>
            </w:pPr>
            <w:r>
              <w:t xml:space="preserve">Number in Cohort </w:t>
            </w:r>
          </w:p>
          <w:p w14:paraId="1E965FFF" w14:textId="77777777" w:rsidR="007467D3" w:rsidRPr="00DE3E14" w:rsidRDefault="007467D3" w:rsidP="0098460C">
            <w:pPr>
              <w:pStyle w:val="TableText"/>
            </w:pPr>
            <w:r>
              <w:t>(a)</w:t>
            </w:r>
          </w:p>
        </w:tc>
        <w:tc>
          <w:tcPr>
            <w:tcW w:w="1685" w:type="dxa"/>
            <w:vAlign w:val="center"/>
          </w:tcPr>
          <w:p w14:paraId="09ED7FA0" w14:textId="77777777" w:rsidR="007467D3" w:rsidRDefault="007467D3" w:rsidP="0098460C">
            <w:pPr>
              <w:pStyle w:val="TableText"/>
            </w:pPr>
            <w:r>
              <w:t xml:space="preserve">Number Exempted with No Valid Score </w:t>
            </w:r>
          </w:p>
          <w:p w14:paraId="7745C343" w14:textId="77777777" w:rsidR="007467D3" w:rsidRDefault="007467D3" w:rsidP="0098460C">
            <w:pPr>
              <w:pStyle w:val="TableText"/>
            </w:pPr>
            <w:r>
              <w:t>(b)</w:t>
            </w:r>
          </w:p>
        </w:tc>
        <w:tc>
          <w:tcPr>
            <w:tcW w:w="1809" w:type="dxa"/>
            <w:tcBorders>
              <w:top w:val="single" w:sz="12" w:space="0" w:color="auto"/>
              <w:left w:val="single" w:sz="12" w:space="0" w:color="auto"/>
              <w:right w:val="single" w:sz="12" w:space="0" w:color="auto"/>
            </w:tcBorders>
            <w:vAlign w:val="center"/>
          </w:tcPr>
          <w:p w14:paraId="4A60CCA3" w14:textId="77777777" w:rsidR="007467D3" w:rsidRDefault="007467D3" w:rsidP="0098460C">
            <w:pPr>
              <w:pStyle w:val="TableText"/>
            </w:pPr>
            <w:r>
              <w:t xml:space="preserve">Number Passing with at Least a 65 </w:t>
            </w:r>
          </w:p>
          <w:p w14:paraId="7E97673F" w14:textId="77777777" w:rsidR="007467D3" w:rsidRDefault="007467D3" w:rsidP="0098460C">
            <w:pPr>
              <w:pStyle w:val="TableText"/>
            </w:pPr>
            <w:r>
              <w:t>(c)</w:t>
            </w:r>
          </w:p>
        </w:tc>
        <w:tc>
          <w:tcPr>
            <w:tcW w:w="2520" w:type="dxa"/>
            <w:tcBorders>
              <w:top w:val="single" w:sz="12" w:space="0" w:color="auto"/>
              <w:left w:val="single" w:sz="12" w:space="0" w:color="auto"/>
              <w:right w:val="single" w:sz="12" w:space="0" w:color="auto"/>
            </w:tcBorders>
            <w:vAlign w:val="center"/>
          </w:tcPr>
          <w:p w14:paraId="1160DA85" w14:textId="77777777" w:rsidR="007467D3" w:rsidRDefault="007467D3" w:rsidP="0098460C">
            <w:pPr>
              <w:pStyle w:val="TableText"/>
            </w:pPr>
            <w:r>
              <w:t>Percent Passing Among Students with Valid Score</w:t>
            </w:r>
            <w:r>
              <w:br/>
              <w:t>(c)/(a-b)</w:t>
            </w:r>
          </w:p>
        </w:tc>
      </w:tr>
      <w:tr w:rsidR="007467D3" w:rsidRPr="00DD2508" w14:paraId="676E80DF" w14:textId="77777777" w:rsidTr="0098460C">
        <w:trPr>
          <w:trHeight w:val="228"/>
          <w:jc w:val="center"/>
        </w:trPr>
        <w:tc>
          <w:tcPr>
            <w:tcW w:w="1255" w:type="dxa"/>
          </w:tcPr>
          <w:p w14:paraId="19C665F9" w14:textId="5F65EB0E" w:rsidR="007467D3" w:rsidRPr="00DE3E14" w:rsidRDefault="0075382B" w:rsidP="0098460C">
            <w:pPr>
              <w:pStyle w:val="TableText"/>
            </w:pPr>
            <w:r>
              <w:t>2015</w:t>
            </w:r>
          </w:p>
        </w:tc>
        <w:tc>
          <w:tcPr>
            <w:tcW w:w="990" w:type="dxa"/>
          </w:tcPr>
          <w:p w14:paraId="6B42BF92" w14:textId="2B854B2C" w:rsidR="007467D3" w:rsidRPr="00DE3E14" w:rsidRDefault="0075382B" w:rsidP="0098460C">
            <w:pPr>
              <w:pStyle w:val="TableText"/>
            </w:pPr>
            <w:r>
              <w:t>2018-19</w:t>
            </w:r>
          </w:p>
        </w:tc>
        <w:tc>
          <w:tcPr>
            <w:tcW w:w="900" w:type="dxa"/>
          </w:tcPr>
          <w:p w14:paraId="7ABC3421" w14:textId="77777777" w:rsidR="007467D3" w:rsidRPr="00DE3E14" w:rsidRDefault="007467D3" w:rsidP="0098460C">
            <w:pPr>
              <w:pStyle w:val="TableText"/>
            </w:pPr>
          </w:p>
        </w:tc>
        <w:tc>
          <w:tcPr>
            <w:tcW w:w="1685" w:type="dxa"/>
          </w:tcPr>
          <w:p w14:paraId="2128CC01" w14:textId="77777777" w:rsidR="007467D3" w:rsidRDefault="007467D3" w:rsidP="0098460C">
            <w:pPr>
              <w:pStyle w:val="TableText"/>
            </w:pPr>
            <w:r>
              <w:t>0</w:t>
            </w:r>
          </w:p>
        </w:tc>
        <w:tc>
          <w:tcPr>
            <w:tcW w:w="1809" w:type="dxa"/>
            <w:tcBorders>
              <w:top w:val="single" w:sz="4" w:space="0" w:color="auto"/>
              <w:left w:val="single" w:sz="12" w:space="0" w:color="auto"/>
              <w:bottom w:val="single" w:sz="4" w:space="0" w:color="auto"/>
              <w:right w:val="single" w:sz="12" w:space="0" w:color="auto"/>
            </w:tcBorders>
            <w:shd w:val="clear" w:color="auto" w:fill="auto"/>
          </w:tcPr>
          <w:p w14:paraId="3526F923" w14:textId="77777777" w:rsidR="007467D3" w:rsidRDefault="007467D3"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33308517" w14:textId="77777777" w:rsidR="007467D3" w:rsidRDefault="007467D3" w:rsidP="0098460C">
            <w:pPr>
              <w:pStyle w:val="TableText"/>
              <w:rPr>
                <w:b/>
                <w:bCs/>
              </w:rPr>
            </w:pPr>
          </w:p>
        </w:tc>
      </w:tr>
      <w:tr w:rsidR="007467D3" w:rsidRPr="00DD2508" w14:paraId="3E602BA6" w14:textId="77777777" w:rsidTr="0098460C">
        <w:trPr>
          <w:trHeight w:val="228"/>
          <w:jc w:val="center"/>
        </w:trPr>
        <w:tc>
          <w:tcPr>
            <w:tcW w:w="1255" w:type="dxa"/>
          </w:tcPr>
          <w:p w14:paraId="1552C9B9" w14:textId="68AFE74C" w:rsidR="007467D3" w:rsidRPr="00DE3E14" w:rsidRDefault="0075382B" w:rsidP="0098460C">
            <w:pPr>
              <w:pStyle w:val="TableText"/>
            </w:pPr>
            <w:r>
              <w:t>2016</w:t>
            </w:r>
          </w:p>
        </w:tc>
        <w:tc>
          <w:tcPr>
            <w:tcW w:w="990" w:type="dxa"/>
          </w:tcPr>
          <w:p w14:paraId="24118877" w14:textId="45D807B4" w:rsidR="007467D3" w:rsidRPr="00DE3E14" w:rsidRDefault="0075382B" w:rsidP="0098460C">
            <w:pPr>
              <w:pStyle w:val="TableText"/>
            </w:pPr>
            <w:r>
              <w:t>2019-20</w:t>
            </w:r>
          </w:p>
        </w:tc>
        <w:tc>
          <w:tcPr>
            <w:tcW w:w="900" w:type="dxa"/>
          </w:tcPr>
          <w:p w14:paraId="4FACF0EE" w14:textId="77777777" w:rsidR="007467D3" w:rsidRPr="00DE3E14" w:rsidRDefault="007467D3" w:rsidP="0098460C">
            <w:pPr>
              <w:pStyle w:val="TableText"/>
            </w:pPr>
          </w:p>
        </w:tc>
        <w:tc>
          <w:tcPr>
            <w:tcW w:w="1685" w:type="dxa"/>
          </w:tcPr>
          <w:p w14:paraId="38A3C10A" w14:textId="4E306E9C" w:rsidR="007467D3" w:rsidRDefault="007467D3" w:rsidP="0098460C">
            <w:pPr>
              <w:pStyle w:val="TableText"/>
            </w:pPr>
          </w:p>
        </w:tc>
        <w:tc>
          <w:tcPr>
            <w:tcW w:w="1809" w:type="dxa"/>
            <w:tcBorders>
              <w:top w:val="single" w:sz="4" w:space="0" w:color="auto"/>
              <w:left w:val="single" w:sz="12" w:space="0" w:color="auto"/>
              <w:bottom w:val="single" w:sz="4" w:space="0" w:color="auto"/>
              <w:right w:val="single" w:sz="12" w:space="0" w:color="auto"/>
            </w:tcBorders>
            <w:shd w:val="clear" w:color="auto" w:fill="auto"/>
          </w:tcPr>
          <w:p w14:paraId="7D3169A8" w14:textId="77777777" w:rsidR="007467D3" w:rsidRDefault="007467D3" w:rsidP="0098460C">
            <w:pPr>
              <w:pStyle w:val="TableText"/>
            </w:pPr>
          </w:p>
        </w:tc>
        <w:tc>
          <w:tcPr>
            <w:tcW w:w="2520" w:type="dxa"/>
            <w:tcBorders>
              <w:top w:val="single" w:sz="4" w:space="0" w:color="auto"/>
              <w:left w:val="single" w:sz="12" w:space="0" w:color="auto"/>
              <w:bottom w:val="single" w:sz="4" w:space="0" w:color="auto"/>
              <w:right w:val="single" w:sz="12" w:space="0" w:color="auto"/>
            </w:tcBorders>
            <w:shd w:val="clear" w:color="auto" w:fill="auto"/>
          </w:tcPr>
          <w:p w14:paraId="6BAF47BE" w14:textId="77777777" w:rsidR="007467D3" w:rsidRDefault="007467D3" w:rsidP="0098460C">
            <w:pPr>
              <w:pStyle w:val="TableText"/>
            </w:pPr>
          </w:p>
        </w:tc>
      </w:tr>
      <w:tr w:rsidR="007467D3" w:rsidRPr="00DD2508" w14:paraId="62E2DD8A" w14:textId="77777777" w:rsidTr="0098460C">
        <w:trPr>
          <w:trHeight w:val="260"/>
          <w:jc w:val="center"/>
        </w:trPr>
        <w:tc>
          <w:tcPr>
            <w:tcW w:w="1255" w:type="dxa"/>
          </w:tcPr>
          <w:p w14:paraId="0A77613D" w14:textId="36ACDAF8" w:rsidR="007467D3" w:rsidRPr="00DE3E14" w:rsidRDefault="0075382B" w:rsidP="0098460C">
            <w:pPr>
              <w:pStyle w:val="TableText"/>
            </w:pPr>
            <w:r>
              <w:t>2017</w:t>
            </w:r>
          </w:p>
        </w:tc>
        <w:tc>
          <w:tcPr>
            <w:tcW w:w="990" w:type="dxa"/>
          </w:tcPr>
          <w:p w14:paraId="20DA2426" w14:textId="4B9F6990" w:rsidR="007467D3" w:rsidRPr="00DE3E14" w:rsidRDefault="0075382B" w:rsidP="0098460C">
            <w:pPr>
              <w:pStyle w:val="TableText"/>
            </w:pPr>
            <w:r>
              <w:t>2020-21</w:t>
            </w:r>
          </w:p>
        </w:tc>
        <w:tc>
          <w:tcPr>
            <w:tcW w:w="900" w:type="dxa"/>
            <w:tcBorders>
              <w:bottom w:val="single" w:sz="4" w:space="0" w:color="auto"/>
            </w:tcBorders>
          </w:tcPr>
          <w:p w14:paraId="6BA9881D" w14:textId="6BBADAD1" w:rsidR="007467D3" w:rsidRPr="00DE3E14" w:rsidRDefault="00B83753" w:rsidP="0098460C">
            <w:pPr>
              <w:pStyle w:val="TableText"/>
            </w:pPr>
            <w:r>
              <w:t>25</w:t>
            </w:r>
          </w:p>
        </w:tc>
        <w:tc>
          <w:tcPr>
            <w:tcW w:w="1685" w:type="dxa"/>
            <w:tcBorders>
              <w:bottom w:val="single" w:sz="4" w:space="0" w:color="auto"/>
            </w:tcBorders>
          </w:tcPr>
          <w:p w14:paraId="61D7B738" w14:textId="61669416" w:rsidR="007467D3" w:rsidRDefault="00EA7023" w:rsidP="0098460C">
            <w:pPr>
              <w:pStyle w:val="TableText"/>
            </w:pPr>
            <w:r>
              <w:t>13</w:t>
            </w:r>
          </w:p>
        </w:tc>
        <w:tc>
          <w:tcPr>
            <w:tcW w:w="1809" w:type="dxa"/>
            <w:tcBorders>
              <w:top w:val="single" w:sz="4" w:space="0" w:color="auto"/>
              <w:left w:val="single" w:sz="12" w:space="0" w:color="auto"/>
              <w:bottom w:val="single" w:sz="12" w:space="0" w:color="auto"/>
              <w:right w:val="single" w:sz="12" w:space="0" w:color="auto"/>
            </w:tcBorders>
            <w:shd w:val="clear" w:color="auto" w:fill="auto"/>
          </w:tcPr>
          <w:p w14:paraId="2B9CD4C2" w14:textId="61F09F15" w:rsidR="007467D3" w:rsidRDefault="00B52DE2" w:rsidP="0098460C">
            <w:pPr>
              <w:pStyle w:val="TableText"/>
            </w:pPr>
            <w:r>
              <w:t>11</w:t>
            </w:r>
          </w:p>
        </w:tc>
        <w:tc>
          <w:tcPr>
            <w:tcW w:w="2520" w:type="dxa"/>
            <w:tcBorders>
              <w:top w:val="single" w:sz="4" w:space="0" w:color="auto"/>
              <w:left w:val="single" w:sz="12" w:space="0" w:color="auto"/>
              <w:bottom w:val="single" w:sz="12" w:space="0" w:color="auto"/>
              <w:right w:val="single" w:sz="12" w:space="0" w:color="auto"/>
            </w:tcBorders>
            <w:shd w:val="clear" w:color="auto" w:fill="auto"/>
          </w:tcPr>
          <w:p w14:paraId="3A9AE228" w14:textId="1B19DC11" w:rsidR="007467D3" w:rsidRDefault="00B52DE2" w:rsidP="0098460C">
            <w:pPr>
              <w:pStyle w:val="TableText"/>
            </w:pPr>
            <w:r>
              <w:t>92%</w:t>
            </w:r>
          </w:p>
        </w:tc>
      </w:tr>
    </w:tbl>
    <w:p w14:paraId="3E1E0973" w14:textId="15535FF8" w:rsidR="00056BFE" w:rsidRPr="00DD2508" w:rsidRDefault="00056BFE" w:rsidP="00056BFE">
      <w:pPr>
        <w:pStyle w:val="Heading2"/>
      </w:pPr>
      <w:r w:rsidRPr="00B52DE2">
        <w:t>Evaluation</w:t>
      </w:r>
    </w:p>
    <w:p w14:paraId="215D5B71" w14:textId="1A565E24" w:rsidR="00056BFE" w:rsidRPr="00DD2508" w:rsidRDefault="00B83753" w:rsidP="00056BFE">
      <w:r w:rsidRPr="00B83753">
        <w:t xml:space="preserve">Based on the data shared in the table above the measure was met, with </w:t>
      </w:r>
      <w:r w:rsidR="00B52DE2">
        <w:t>92</w:t>
      </w:r>
      <w:r w:rsidRPr="00B83753">
        <w:t>% of students achieving proficiency or passing the Global History exam by the completion of their fourth year in the 201</w:t>
      </w:r>
      <w:r>
        <w:t>7</w:t>
      </w:r>
      <w:r w:rsidRPr="00B83753">
        <w:t xml:space="preserve"> </w:t>
      </w:r>
      <w:r w:rsidRPr="00B83753">
        <w:lastRenderedPageBreak/>
        <w:t xml:space="preserve">cohort. </w:t>
      </w:r>
      <w:r w:rsidR="00B52DE2">
        <w:t xml:space="preserve"> 32 students in the 2019 cohort were exempt from the Global History exam with no valid score</w:t>
      </w:r>
    </w:p>
    <w:p w14:paraId="1589CFA7" w14:textId="77777777" w:rsidR="00056BFE" w:rsidRPr="00DD2508" w:rsidRDefault="00056BFE" w:rsidP="00056BFE">
      <w:pPr>
        <w:pStyle w:val="Heading2"/>
      </w:pPr>
      <w:r w:rsidRPr="00DD2508">
        <w:t>Additional Evidence</w:t>
      </w:r>
    </w:p>
    <w:p w14:paraId="284CE2EB" w14:textId="77777777" w:rsidR="00056BFE" w:rsidRPr="00DD2508" w:rsidRDefault="00056BFE" w:rsidP="00056BFE"/>
    <w:p w14:paraId="28AA1CC0" w14:textId="77777777" w:rsidR="00056BFE" w:rsidRPr="00DD2508" w:rsidRDefault="00056BFE" w:rsidP="00056BFE">
      <w:pPr>
        <w:pStyle w:val="TableHeader"/>
      </w:pPr>
      <w:r>
        <w:t xml:space="preserve">Global History </w:t>
      </w:r>
      <w:r w:rsidRPr="003648CC">
        <w:t xml:space="preserve">Regents Passing Rate </w:t>
      </w:r>
      <w:r>
        <w:t>with a score of 65</w:t>
      </w:r>
      <w:r w:rsidRPr="00DD2508">
        <w:t xml:space="preserve"> by Cohort and Year</w:t>
      </w:r>
    </w:p>
    <w:tbl>
      <w:tblPr>
        <w:tblW w:w="7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992"/>
        <w:gridCol w:w="16"/>
        <w:gridCol w:w="974"/>
        <w:gridCol w:w="990"/>
        <w:gridCol w:w="990"/>
        <w:gridCol w:w="1074"/>
        <w:gridCol w:w="1012"/>
      </w:tblGrid>
      <w:tr w:rsidR="00056BFE" w:rsidRPr="00DD2508" w14:paraId="7A3D2D0D" w14:textId="77777777" w:rsidTr="002C1A58">
        <w:trPr>
          <w:jc w:val="center"/>
        </w:trPr>
        <w:tc>
          <w:tcPr>
            <w:tcW w:w="1184" w:type="dxa"/>
            <w:vMerge w:val="restart"/>
            <w:vAlign w:val="center"/>
          </w:tcPr>
          <w:p w14:paraId="211DC140" w14:textId="77777777" w:rsidR="00056BFE" w:rsidRPr="00DE3E14" w:rsidRDefault="00056BFE" w:rsidP="002C1A58">
            <w:pPr>
              <w:pStyle w:val="TableText"/>
            </w:pPr>
            <w:r w:rsidRPr="00DE3E14">
              <w:t>Cohort Designation</w:t>
            </w:r>
          </w:p>
        </w:tc>
        <w:tc>
          <w:tcPr>
            <w:tcW w:w="1982" w:type="dxa"/>
            <w:gridSpan w:val="3"/>
          </w:tcPr>
          <w:p w14:paraId="0D8B8361" w14:textId="5E7E558F" w:rsidR="00056BFE" w:rsidRPr="00DE3E14" w:rsidRDefault="00056BFE" w:rsidP="002C1A58">
            <w:pPr>
              <w:pStyle w:val="TableText"/>
              <w:rPr>
                <w:bCs/>
              </w:rPr>
            </w:pPr>
            <w:r>
              <w:rPr>
                <w:bCs/>
              </w:rPr>
              <w:t>201</w:t>
            </w:r>
            <w:r w:rsidR="0075382B">
              <w:rPr>
                <w:bCs/>
              </w:rPr>
              <w:t>8-19</w:t>
            </w:r>
          </w:p>
        </w:tc>
        <w:tc>
          <w:tcPr>
            <w:tcW w:w="1980" w:type="dxa"/>
            <w:gridSpan w:val="2"/>
          </w:tcPr>
          <w:p w14:paraId="3C3BCC85" w14:textId="4E8B5CDF" w:rsidR="00056BFE" w:rsidRPr="00DE3E14" w:rsidRDefault="0075382B" w:rsidP="002C1A58">
            <w:pPr>
              <w:pStyle w:val="TableText"/>
              <w:rPr>
                <w:bCs/>
              </w:rPr>
            </w:pPr>
            <w:r>
              <w:rPr>
                <w:bCs/>
              </w:rPr>
              <w:t>2019-20</w:t>
            </w:r>
          </w:p>
        </w:tc>
        <w:tc>
          <w:tcPr>
            <w:tcW w:w="2086" w:type="dxa"/>
            <w:gridSpan w:val="2"/>
          </w:tcPr>
          <w:p w14:paraId="5D21F191" w14:textId="40AC9895" w:rsidR="00056BFE" w:rsidRPr="00DE3E14" w:rsidRDefault="004E25DB" w:rsidP="002C1A58">
            <w:pPr>
              <w:pStyle w:val="TableText"/>
              <w:rPr>
                <w:bCs/>
              </w:rPr>
            </w:pPr>
            <w:r>
              <w:rPr>
                <w:bCs/>
              </w:rPr>
              <w:t>2</w:t>
            </w:r>
            <w:r w:rsidR="0075382B">
              <w:rPr>
                <w:bCs/>
              </w:rPr>
              <w:t>020-21</w:t>
            </w:r>
          </w:p>
        </w:tc>
      </w:tr>
      <w:tr w:rsidR="00056BFE" w:rsidRPr="00DD2508" w14:paraId="2D8A7575" w14:textId="77777777" w:rsidTr="002C1A58">
        <w:trPr>
          <w:jc w:val="center"/>
        </w:trPr>
        <w:tc>
          <w:tcPr>
            <w:tcW w:w="1184" w:type="dxa"/>
            <w:vMerge/>
          </w:tcPr>
          <w:p w14:paraId="17F642B6" w14:textId="77777777" w:rsidR="00056BFE" w:rsidRPr="00DE3E14" w:rsidRDefault="00056BFE" w:rsidP="002C1A58">
            <w:pPr>
              <w:pStyle w:val="TableText"/>
            </w:pPr>
          </w:p>
        </w:tc>
        <w:tc>
          <w:tcPr>
            <w:tcW w:w="1008" w:type="dxa"/>
            <w:gridSpan w:val="2"/>
            <w:tcBorders>
              <w:bottom w:val="single" w:sz="12" w:space="0" w:color="auto"/>
            </w:tcBorders>
          </w:tcPr>
          <w:p w14:paraId="5D6A04AD" w14:textId="77777777" w:rsidR="00056BFE" w:rsidRPr="00DE3E14" w:rsidRDefault="00056BFE" w:rsidP="002C1A58">
            <w:pPr>
              <w:pStyle w:val="TableText"/>
            </w:pPr>
            <w:r w:rsidRPr="00DE3E14">
              <w:t>Number in Cohort</w:t>
            </w:r>
          </w:p>
        </w:tc>
        <w:tc>
          <w:tcPr>
            <w:tcW w:w="974" w:type="dxa"/>
            <w:tcBorders>
              <w:bottom w:val="single" w:sz="12" w:space="0" w:color="auto"/>
            </w:tcBorders>
          </w:tcPr>
          <w:p w14:paraId="47424267" w14:textId="77777777" w:rsidR="00056BFE" w:rsidRPr="00DE3E14" w:rsidRDefault="00056BFE" w:rsidP="002C1A58">
            <w:pPr>
              <w:pStyle w:val="TableText"/>
            </w:pPr>
            <w:r w:rsidRPr="00DE3E14">
              <w:t>Percent Passing</w:t>
            </w:r>
          </w:p>
        </w:tc>
        <w:tc>
          <w:tcPr>
            <w:tcW w:w="990" w:type="dxa"/>
          </w:tcPr>
          <w:p w14:paraId="53FA564A" w14:textId="77777777" w:rsidR="00056BFE" w:rsidRPr="00DE3E14" w:rsidRDefault="00056BFE" w:rsidP="002C1A58">
            <w:pPr>
              <w:pStyle w:val="TableText"/>
            </w:pPr>
            <w:r w:rsidRPr="00DE3E14">
              <w:t>Number in Cohort</w:t>
            </w:r>
          </w:p>
        </w:tc>
        <w:tc>
          <w:tcPr>
            <w:tcW w:w="990" w:type="dxa"/>
            <w:tcBorders>
              <w:bottom w:val="single" w:sz="8" w:space="0" w:color="auto"/>
            </w:tcBorders>
          </w:tcPr>
          <w:p w14:paraId="45CD2BCD" w14:textId="77777777" w:rsidR="00056BFE" w:rsidRPr="00DE3E14" w:rsidRDefault="00056BFE" w:rsidP="002C1A58">
            <w:pPr>
              <w:pStyle w:val="TableText"/>
            </w:pPr>
            <w:r w:rsidRPr="00DE3E14">
              <w:t>Percent Passing</w:t>
            </w:r>
          </w:p>
        </w:tc>
        <w:tc>
          <w:tcPr>
            <w:tcW w:w="1074" w:type="dxa"/>
            <w:tcBorders>
              <w:bottom w:val="single" w:sz="8" w:space="0" w:color="auto"/>
            </w:tcBorders>
          </w:tcPr>
          <w:p w14:paraId="6B1625EC" w14:textId="77777777" w:rsidR="00056BFE" w:rsidRPr="00DE3E14" w:rsidRDefault="00056BFE" w:rsidP="002C1A58">
            <w:pPr>
              <w:pStyle w:val="TableText"/>
            </w:pPr>
            <w:r w:rsidRPr="00DE3E14">
              <w:t>Number in Cohort</w:t>
            </w:r>
          </w:p>
        </w:tc>
        <w:tc>
          <w:tcPr>
            <w:tcW w:w="1012" w:type="dxa"/>
            <w:tcBorders>
              <w:bottom w:val="single" w:sz="8" w:space="0" w:color="auto"/>
            </w:tcBorders>
          </w:tcPr>
          <w:p w14:paraId="4BB9AF64" w14:textId="77777777" w:rsidR="00056BFE" w:rsidRPr="00DE3E14" w:rsidRDefault="00056BFE" w:rsidP="002C1A58">
            <w:pPr>
              <w:pStyle w:val="TableText"/>
            </w:pPr>
            <w:r w:rsidRPr="00DE3E14">
              <w:t>Percent Passing</w:t>
            </w:r>
          </w:p>
        </w:tc>
      </w:tr>
      <w:tr w:rsidR="00056BFE" w:rsidRPr="00DD2508" w14:paraId="3D06F344" w14:textId="77777777" w:rsidTr="002C1A58">
        <w:trPr>
          <w:jc w:val="center"/>
        </w:trPr>
        <w:tc>
          <w:tcPr>
            <w:tcW w:w="1184" w:type="dxa"/>
          </w:tcPr>
          <w:p w14:paraId="33C8D316" w14:textId="398B478D" w:rsidR="00056BFE" w:rsidRPr="00DE3E14" w:rsidRDefault="00056BFE" w:rsidP="002C1A58">
            <w:pPr>
              <w:pStyle w:val="TableText"/>
              <w:rPr>
                <w:bCs/>
              </w:rPr>
            </w:pPr>
            <w:r w:rsidRPr="00DE3E14">
              <w:rPr>
                <w:bCs/>
              </w:rPr>
              <w:t>201</w:t>
            </w:r>
            <w:r w:rsidR="0075382B">
              <w:rPr>
                <w:bCs/>
              </w:rPr>
              <w:t>7</w:t>
            </w:r>
          </w:p>
        </w:tc>
        <w:tc>
          <w:tcPr>
            <w:tcW w:w="992" w:type="dxa"/>
          </w:tcPr>
          <w:p w14:paraId="3A56B4B4" w14:textId="77777777" w:rsidR="00056BFE" w:rsidRPr="00DE3E14" w:rsidRDefault="00056BFE" w:rsidP="002C1A58">
            <w:pPr>
              <w:pStyle w:val="TableText"/>
            </w:pPr>
          </w:p>
        </w:tc>
        <w:tc>
          <w:tcPr>
            <w:tcW w:w="990" w:type="dxa"/>
            <w:gridSpan w:val="2"/>
          </w:tcPr>
          <w:p w14:paraId="2B5F42B2" w14:textId="77777777" w:rsidR="00056BFE" w:rsidRPr="00DE3E14" w:rsidRDefault="00056BFE" w:rsidP="002C1A58">
            <w:pPr>
              <w:pStyle w:val="TableText"/>
            </w:pPr>
          </w:p>
        </w:tc>
        <w:tc>
          <w:tcPr>
            <w:tcW w:w="990" w:type="dxa"/>
            <w:tcBorders>
              <w:top w:val="single" w:sz="12" w:space="0" w:color="auto"/>
              <w:bottom w:val="single" w:sz="4" w:space="0" w:color="auto"/>
              <w:right w:val="single" w:sz="8" w:space="0" w:color="auto"/>
            </w:tcBorders>
            <w:shd w:val="clear" w:color="auto" w:fill="auto"/>
          </w:tcPr>
          <w:p w14:paraId="008E7053" w14:textId="77777777" w:rsidR="00056BFE" w:rsidRPr="00DE3E14" w:rsidRDefault="00056BFE" w:rsidP="002C1A58">
            <w:pPr>
              <w:pStyle w:val="TableText"/>
            </w:pPr>
          </w:p>
        </w:tc>
        <w:tc>
          <w:tcPr>
            <w:tcW w:w="990" w:type="dxa"/>
            <w:tcBorders>
              <w:top w:val="single" w:sz="12" w:space="0" w:color="auto"/>
              <w:left w:val="single" w:sz="8" w:space="0" w:color="auto"/>
              <w:bottom w:val="single" w:sz="4" w:space="0" w:color="auto"/>
              <w:right w:val="single" w:sz="12" w:space="0" w:color="auto"/>
            </w:tcBorders>
            <w:shd w:val="clear" w:color="auto" w:fill="auto"/>
          </w:tcPr>
          <w:p w14:paraId="7377C277" w14:textId="77777777" w:rsidR="00056BFE" w:rsidRPr="00DE3E14" w:rsidRDefault="00056BFE" w:rsidP="002C1A58">
            <w:pPr>
              <w:pStyle w:val="TableText"/>
            </w:pPr>
          </w:p>
        </w:tc>
        <w:tc>
          <w:tcPr>
            <w:tcW w:w="1074" w:type="dxa"/>
            <w:tcBorders>
              <w:top w:val="single" w:sz="12" w:space="0" w:color="auto"/>
              <w:left w:val="single" w:sz="12" w:space="0" w:color="auto"/>
              <w:bottom w:val="single" w:sz="12" w:space="0" w:color="auto"/>
              <w:right w:val="single" w:sz="8" w:space="0" w:color="auto"/>
            </w:tcBorders>
            <w:shd w:val="clear" w:color="auto" w:fill="auto"/>
          </w:tcPr>
          <w:p w14:paraId="546C56C7" w14:textId="255FFB7D" w:rsidR="00056BFE" w:rsidRPr="00DE3E14" w:rsidRDefault="00B52DE2" w:rsidP="002C1A58">
            <w:pPr>
              <w:pStyle w:val="TableText"/>
            </w:pPr>
            <w:r>
              <w:t>25</w:t>
            </w:r>
          </w:p>
        </w:tc>
        <w:tc>
          <w:tcPr>
            <w:tcW w:w="1012" w:type="dxa"/>
            <w:tcBorders>
              <w:top w:val="single" w:sz="12" w:space="0" w:color="auto"/>
              <w:left w:val="single" w:sz="8" w:space="0" w:color="auto"/>
              <w:bottom w:val="single" w:sz="12" w:space="0" w:color="auto"/>
              <w:right w:val="single" w:sz="12" w:space="0" w:color="auto"/>
            </w:tcBorders>
            <w:shd w:val="clear" w:color="auto" w:fill="auto"/>
          </w:tcPr>
          <w:p w14:paraId="5B49E5EF" w14:textId="4D0811D5" w:rsidR="00056BFE" w:rsidRPr="00DE3E14" w:rsidRDefault="00B52DE2" w:rsidP="002C1A58">
            <w:pPr>
              <w:pStyle w:val="TableText"/>
            </w:pPr>
            <w:r>
              <w:t>92%</w:t>
            </w:r>
          </w:p>
        </w:tc>
      </w:tr>
      <w:tr w:rsidR="00B83753" w:rsidRPr="00DD2508" w14:paraId="0DB97CCE" w14:textId="77777777" w:rsidTr="002C1A58">
        <w:trPr>
          <w:jc w:val="center"/>
        </w:trPr>
        <w:tc>
          <w:tcPr>
            <w:tcW w:w="1184" w:type="dxa"/>
          </w:tcPr>
          <w:p w14:paraId="4EAF51B1" w14:textId="51B10105" w:rsidR="00B83753" w:rsidRPr="00DE3E14" w:rsidRDefault="00B83753" w:rsidP="00B83753">
            <w:pPr>
              <w:pStyle w:val="TableText"/>
              <w:rPr>
                <w:bCs/>
              </w:rPr>
            </w:pPr>
            <w:r>
              <w:rPr>
                <w:bCs/>
              </w:rPr>
              <w:t>2018</w:t>
            </w:r>
          </w:p>
        </w:tc>
        <w:tc>
          <w:tcPr>
            <w:tcW w:w="992" w:type="dxa"/>
          </w:tcPr>
          <w:p w14:paraId="36DDD2E9" w14:textId="77777777" w:rsidR="00B83753" w:rsidRPr="00DE3E14" w:rsidRDefault="00B83753" w:rsidP="00B83753">
            <w:pPr>
              <w:pStyle w:val="TableText"/>
            </w:pPr>
          </w:p>
        </w:tc>
        <w:tc>
          <w:tcPr>
            <w:tcW w:w="990" w:type="dxa"/>
            <w:gridSpan w:val="2"/>
          </w:tcPr>
          <w:p w14:paraId="76F105CA" w14:textId="77777777" w:rsidR="00B83753" w:rsidRPr="00DE3E14" w:rsidRDefault="00B83753" w:rsidP="00B83753">
            <w:pPr>
              <w:pStyle w:val="TableText"/>
            </w:pPr>
          </w:p>
        </w:tc>
        <w:tc>
          <w:tcPr>
            <w:tcW w:w="990" w:type="dxa"/>
            <w:tcBorders>
              <w:bottom w:val="single" w:sz="4" w:space="0" w:color="auto"/>
              <w:right w:val="single" w:sz="8" w:space="0" w:color="auto"/>
            </w:tcBorders>
            <w:shd w:val="clear" w:color="auto" w:fill="auto"/>
          </w:tcPr>
          <w:p w14:paraId="17780BB9" w14:textId="0306448E" w:rsidR="00B83753" w:rsidRPr="00DE3E14" w:rsidRDefault="00B83753" w:rsidP="00B83753">
            <w:pPr>
              <w:pStyle w:val="TableText"/>
            </w:pPr>
            <w:r>
              <w:t>30</w:t>
            </w: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73667D10" w14:textId="2280A566" w:rsidR="00B83753" w:rsidRPr="00DE3E14" w:rsidRDefault="00B83753" w:rsidP="00B83753">
            <w:pPr>
              <w:pStyle w:val="TableText"/>
            </w:pPr>
            <w:r>
              <w:t>83%</w:t>
            </w:r>
          </w:p>
        </w:tc>
        <w:tc>
          <w:tcPr>
            <w:tcW w:w="1074" w:type="dxa"/>
            <w:tcBorders>
              <w:top w:val="single" w:sz="12" w:space="0" w:color="auto"/>
              <w:left w:val="single" w:sz="8" w:space="0" w:color="auto"/>
              <w:bottom w:val="single" w:sz="8" w:space="0" w:color="auto"/>
              <w:right w:val="single" w:sz="8" w:space="0" w:color="auto"/>
            </w:tcBorders>
            <w:shd w:val="clear" w:color="auto" w:fill="auto"/>
          </w:tcPr>
          <w:p w14:paraId="3DD8CC3E" w14:textId="77777777" w:rsidR="00B83753" w:rsidRPr="00DE3E14" w:rsidRDefault="00B83753" w:rsidP="00B83753">
            <w:pPr>
              <w:pStyle w:val="TableText"/>
            </w:pPr>
          </w:p>
        </w:tc>
        <w:tc>
          <w:tcPr>
            <w:tcW w:w="1012" w:type="dxa"/>
            <w:tcBorders>
              <w:top w:val="single" w:sz="12" w:space="0" w:color="auto"/>
              <w:left w:val="single" w:sz="8" w:space="0" w:color="auto"/>
              <w:bottom w:val="single" w:sz="8" w:space="0" w:color="auto"/>
              <w:right w:val="single" w:sz="8" w:space="0" w:color="auto"/>
            </w:tcBorders>
            <w:shd w:val="clear" w:color="auto" w:fill="auto"/>
          </w:tcPr>
          <w:p w14:paraId="4120430F" w14:textId="77777777" w:rsidR="00B83753" w:rsidRPr="00DE3E14" w:rsidRDefault="00B83753" w:rsidP="00B83753">
            <w:pPr>
              <w:pStyle w:val="TableText"/>
            </w:pPr>
          </w:p>
        </w:tc>
      </w:tr>
      <w:tr w:rsidR="00B83753" w:rsidRPr="00DD2508" w14:paraId="6ABCBB33" w14:textId="77777777" w:rsidTr="002C1A58">
        <w:trPr>
          <w:jc w:val="center"/>
        </w:trPr>
        <w:tc>
          <w:tcPr>
            <w:tcW w:w="1184" w:type="dxa"/>
          </w:tcPr>
          <w:p w14:paraId="1FF5A2F6" w14:textId="5393D9FA" w:rsidR="00B83753" w:rsidRPr="00DE3E14" w:rsidRDefault="00B83753" w:rsidP="00B83753">
            <w:pPr>
              <w:pStyle w:val="TableText"/>
              <w:rPr>
                <w:bCs/>
              </w:rPr>
            </w:pPr>
            <w:r w:rsidRPr="00DE3E14">
              <w:rPr>
                <w:bCs/>
              </w:rPr>
              <w:t>201</w:t>
            </w:r>
            <w:r>
              <w:rPr>
                <w:bCs/>
              </w:rPr>
              <w:t>9</w:t>
            </w:r>
          </w:p>
        </w:tc>
        <w:tc>
          <w:tcPr>
            <w:tcW w:w="992" w:type="dxa"/>
            <w:shd w:val="clear" w:color="auto" w:fill="B3B3B3"/>
          </w:tcPr>
          <w:p w14:paraId="2D796CB8" w14:textId="77777777" w:rsidR="00B83753" w:rsidRPr="00DE3E14" w:rsidRDefault="00B83753" w:rsidP="00B83753">
            <w:pPr>
              <w:pStyle w:val="TableText"/>
            </w:pPr>
          </w:p>
        </w:tc>
        <w:tc>
          <w:tcPr>
            <w:tcW w:w="990" w:type="dxa"/>
            <w:gridSpan w:val="2"/>
            <w:shd w:val="clear" w:color="auto" w:fill="B3B3B3"/>
          </w:tcPr>
          <w:p w14:paraId="264C8EE9" w14:textId="77777777" w:rsidR="00B83753" w:rsidRPr="00DE3E14" w:rsidRDefault="00B83753" w:rsidP="00B83753">
            <w:pPr>
              <w:pStyle w:val="TableText"/>
            </w:pPr>
          </w:p>
        </w:tc>
        <w:tc>
          <w:tcPr>
            <w:tcW w:w="990" w:type="dxa"/>
            <w:tcBorders>
              <w:top w:val="single" w:sz="4" w:space="0" w:color="auto"/>
              <w:bottom w:val="single" w:sz="4" w:space="0" w:color="auto"/>
              <w:right w:val="single" w:sz="4" w:space="0" w:color="auto"/>
            </w:tcBorders>
            <w:shd w:val="clear" w:color="auto" w:fill="auto"/>
          </w:tcPr>
          <w:p w14:paraId="62133FBB" w14:textId="77777777" w:rsidR="00B83753" w:rsidRPr="00DE3E14" w:rsidRDefault="00B83753" w:rsidP="00B83753">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780E6E4" w14:textId="77777777" w:rsidR="00B83753" w:rsidRPr="00DE3E14" w:rsidRDefault="00B83753" w:rsidP="00B83753">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47267944" w14:textId="4133A097" w:rsidR="00B83753" w:rsidRPr="00DE3E14" w:rsidRDefault="00B52DE2" w:rsidP="00B83753">
            <w:pPr>
              <w:pStyle w:val="TableText"/>
            </w:pPr>
            <w:r>
              <w:t>5</w:t>
            </w:r>
            <w:r w:rsidR="00B83753">
              <w:t>2</w:t>
            </w: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2A0707A3" w14:textId="3C08842B" w:rsidR="00B83753" w:rsidRPr="00DE3E14" w:rsidRDefault="00B52DE2" w:rsidP="00B83753">
            <w:pPr>
              <w:pStyle w:val="TableText"/>
            </w:pPr>
            <w:r>
              <w:t>N/A</w:t>
            </w:r>
          </w:p>
        </w:tc>
      </w:tr>
      <w:tr w:rsidR="00B83753" w:rsidRPr="00DD2508" w14:paraId="007D50C9" w14:textId="77777777" w:rsidTr="002C1A58">
        <w:trPr>
          <w:jc w:val="center"/>
        </w:trPr>
        <w:tc>
          <w:tcPr>
            <w:tcW w:w="1184" w:type="dxa"/>
          </w:tcPr>
          <w:p w14:paraId="65667C33" w14:textId="3236F49A" w:rsidR="00B83753" w:rsidRPr="00DE3E14" w:rsidRDefault="00B83753" w:rsidP="00B83753">
            <w:pPr>
              <w:pStyle w:val="TableText"/>
              <w:rPr>
                <w:bCs/>
              </w:rPr>
            </w:pPr>
            <w:r>
              <w:rPr>
                <w:bCs/>
              </w:rPr>
              <w:t>2020</w:t>
            </w:r>
          </w:p>
        </w:tc>
        <w:tc>
          <w:tcPr>
            <w:tcW w:w="992" w:type="dxa"/>
            <w:shd w:val="clear" w:color="auto" w:fill="B3B3B3"/>
          </w:tcPr>
          <w:p w14:paraId="27B7A737" w14:textId="77777777" w:rsidR="00B83753" w:rsidRPr="00DE3E14" w:rsidRDefault="00B83753" w:rsidP="00B83753">
            <w:pPr>
              <w:pStyle w:val="TableText"/>
            </w:pPr>
          </w:p>
        </w:tc>
        <w:tc>
          <w:tcPr>
            <w:tcW w:w="990" w:type="dxa"/>
            <w:gridSpan w:val="2"/>
            <w:shd w:val="clear" w:color="auto" w:fill="B3B3B3"/>
          </w:tcPr>
          <w:p w14:paraId="4B96B808" w14:textId="77777777" w:rsidR="00B83753" w:rsidRPr="00DE3E14" w:rsidRDefault="00B83753" w:rsidP="00B83753">
            <w:pPr>
              <w:pStyle w:val="TableText"/>
            </w:pPr>
          </w:p>
        </w:tc>
        <w:tc>
          <w:tcPr>
            <w:tcW w:w="990" w:type="dxa"/>
            <w:tcBorders>
              <w:top w:val="single" w:sz="4" w:space="0" w:color="auto"/>
              <w:bottom w:val="single" w:sz="4" w:space="0" w:color="auto"/>
              <w:right w:val="single" w:sz="4" w:space="0" w:color="auto"/>
            </w:tcBorders>
            <w:shd w:val="clear" w:color="auto" w:fill="B3B3B3"/>
          </w:tcPr>
          <w:p w14:paraId="701ED695" w14:textId="77777777" w:rsidR="00B83753" w:rsidRPr="00DE3E14" w:rsidRDefault="00B83753" w:rsidP="00B83753">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B3B3B3"/>
          </w:tcPr>
          <w:p w14:paraId="6A1AFD80" w14:textId="77777777" w:rsidR="00B83753" w:rsidRPr="00DE3E14" w:rsidRDefault="00B83753" w:rsidP="00B83753">
            <w:pPr>
              <w:pStyle w:val="TableText"/>
            </w:pPr>
          </w:p>
        </w:tc>
        <w:tc>
          <w:tcPr>
            <w:tcW w:w="1074" w:type="dxa"/>
            <w:tcBorders>
              <w:top w:val="single" w:sz="8" w:space="0" w:color="auto"/>
              <w:left w:val="single" w:sz="4" w:space="0" w:color="auto"/>
              <w:bottom w:val="single" w:sz="8" w:space="0" w:color="auto"/>
              <w:right w:val="single" w:sz="8" w:space="0" w:color="auto"/>
            </w:tcBorders>
            <w:shd w:val="clear" w:color="auto" w:fill="auto"/>
          </w:tcPr>
          <w:p w14:paraId="287BFC94" w14:textId="77777777" w:rsidR="00B83753" w:rsidRPr="00DE3E14" w:rsidRDefault="00B83753" w:rsidP="00B83753">
            <w:pPr>
              <w:pStyle w:val="TableText"/>
            </w:pPr>
          </w:p>
        </w:tc>
        <w:tc>
          <w:tcPr>
            <w:tcW w:w="1012" w:type="dxa"/>
            <w:tcBorders>
              <w:top w:val="single" w:sz="8" w:space="0" w:color="auto"/>
              <w:left w:val="single" w:sz="8" w:space="0" w:color="auto"/>
              <w:bottom w:val="single" w:sz="8" w:space="0" w:color="auto"/>
              <w:right w:val="single" w:sz="8" w:space="0" w:color="auto"/>
            </w:tcBorders>
            <w:shd w:val="clear" w:color="auto" w:fill="auto"/>
          </w:tcPr>
          <w:p w14:paraId="379594E1" w14:textId="77777777" w:rsidR="00B83753" w:rsidRPr="00DE3E14" w:rsidRDefault="00B83753" w:rsidP="00B83753">
            <w:pPr>
              <w:pStyle w:val="TableText"/>
            </w:pPr>
          </w:p>
        </w:tc>
      </w:tr>
    </w:tbl>
    <w:p w14:paraId="6290E8B6" w14:textId="77777777" w:rsidR="00056BFE" w:rsidRPr="00DD2508" w:rsidRDefault="00056BFE" w:rsidP="00056BFE">
      <w:pPr>
        <w:jc w:val="center"/>
        <w:rPr>
          <w:rFonts w:ascii="Calibri" w:hAnsi="Calibri"/>
          <w:szCs w:val="23"/>
        </w:rPr>
      </w:pPr>
    </w:p>
    <w:p w14:paraId="6C3C8913" w14:textId="75555790" w:rsidR="00056BFE" w:rsidRPr="00DD2508" w:rsidRDefault="00056BFE" w:rsidP="00056BFE">
      <w:pPr>
        <w:pStyle w:val="MeasureTitle"/>
      </w:pPr>
      <w:r w:rsidRPr="00DD2508">
        <w:t xml:space="preserve">Goal </w:t>
      </w:r>
      <w:r w:rsidR="00887F40">
        <w:t>6</w:t>
      </w:r>
      <w:r w:rsidRPr="00DD2508">
        <w:t>: Comparative Measure</w:t>
      </w:r>
    </w:p>
    <w:p w14:paraId="696385FA" w14:textId="77777777" w:rsidR="00056BFE" w:rsidRPr="002209A2" w:rsidRDefault="00056BFE" w:rsidP="00056BFE">
      <w:pPr>
        <w:pStyle w:val="MeasureText"/>
        <w:rPr>
          <w:i/>
          <w:color w:val="808080" w:themeColor="background1" w:themeShade="80"/>
        </w:rPr>
      </w:pPr>
      <w:r w:rsidRPr="00E45850">
        <w:t>Each year, the percent of students in</w:t>
      </w:r>
      <w:r w:rsidRPr="002209A2">
        <w:rPr>
          <w:color w:val="808080" w:themeColor="background1" w:themeShade="80"/>
        </w:rPr>
        <w:t xml:space="preserve"> the high school Total Cohort passing the Regents Global History exam with a score of 65 or above will exceed that of the high school Total Cohort </w:t>
      </w:r>
      <w:r>
        <w:rPr>
          <w:color w:val="808080" w:themeColor="background1" w:themeShade="80"/>
        </w:rPr>
        <w:t xml:space="preserve">from the </w:t>
      </w:r>
      <w:r w:rsidRPr="002209A2">
        <w:rPr>
          <w:color w:val="808080" w:themeColor="background1" w:themeShade="80"/>
        </w:rPr>
        <w:t>school district</w:t>
      </w:r>
      <w:r>
        <w:rPr>
          <w:color w:val="808080" w:themeColor="background1" w:themeShade="80"/>
        </w:rPr>
        <w:t xml:space="preserve"> of comparison</w:t>
      </w:r>
      <w:r w:rsidRPr="002209A2">
        <w:rPr>
          <w:color w:val="808080" w:themeColor="background1" w:themeShade="80"/>
        </w:rPr>
        <w:t>.</w:t>
      </w:r>
    </w:p>
    <w:p w14:paraId="1EAB3515" w14:textId="77777777" w:rsidR="0075382B" w:rsidRDefault="0075382B" w:rsidP="0075382B">
      <w:r>
        <w:t>The calculation of this measure is not required for 2020-21</w:t>
      </w:r>
    </w:p>
    <w:p w14:paraId="49CE6E17" w14:textId="43167C07" w:rsidR="00056BFE" w:rsidRDefault="00EB48F9" w:rsidP="00056BFE">
      <w:pPr>
        <w:pStyle w:val="Heading1"/>
      </w:pPr>
      <w:bookmarkStart w:id="6" w:name="NCLB"/>
      <w:bookmarkEnd w:id="5"/>
      <w:r>
        <w:t xml:space="preserve">GOAL </w:t>
      </w:r>
      <w:r w:rsidR="00887F40">
        <w:t>7</w:t>
      </w:r>
      <w:r>
        <w:t xml:space="preserve">: </w:t>
      </w:r>
      <w:bookmarkEnd w:id="6"/>
      <w:r w:rsidR="006F71AA">
        <w:t>ESSA</w:t>
      </w:r>
    </w:p>
    <w:p w14:paraId="1E185919" w14:textId="77777777" w:rsidR="0075382B" w:rsidRPr="00097F96" w:rsidRDefault="0075382B" w:rsidP="0075382B">
      <w:r>
        <w:t>Due to COVID-19</w:t>
      </w:r>
      <w:r w:rsidRPr="006E0B94">
        <w:t xml:space="preserve"> and </w:t>
      </w:r>
      <w:r>
        <w:t>the subsequent changes to the state’s</w:t>
      </w:r>
      <w:r w:rsidRPr="006E0B94">
        <w:t xml:space="preserve"> testing, accountability, and </w:t>
      </w:r>
      <w:r>
        <w:t xml:space="preserve">federal reporting requirements, the 2020-21 </w:t>
      </w:r>
      <w:r w:rsidRPr="006E0B94">
        <w:t>school accountability statuses are the same as those assign</w:t>
      </w:r>
      <w:r>
        <w:t xml:space="preserve">ed for the 2019-20 school year. The 2019-20 accountability statuses were based on 2018-19 exam results.  Assigned accountability designations and further context can be found </w:t>
      </w:r>
      <w:hyperlink r:id="rId14" w:history="1">
        <w:r w:rsidRPr="00B82F9F">
          <w:rPr>
            <w:rStyle w:val="Hyperlink"/>
          </w:rPr>
          <w:t>here</w:t>
        </w:r>
      </w:hyperlink>
      <w:r>
        <w:t>.</w:t>
      </w:r>
    </w:p>
    <w:p w14:paraId="790B0D27" w14:textId="7160BD4A" w:rsidR="00056BFE" w:rsidRPr="00DD2508" w:rsidRDefault="00056BFE" w:rsidP="00056BFE">
      <w:pPr>
        <w:pStyle w:val="MeasureTitle"/>
      </w:pPr>
      <w:r w:rsidRPr="00DD2508">
        <w:t xml:space="preserve">Goal </w:t>
      </w:r>
      <w:r w:rsidR="00887F40">
        <w:t>7</w:t>
      </w:r>
      <w:r w:rsidRPr="00DD2508">
        <w:t>: Absolute Measure</w:t>
      </w:r>
    </w:p>
    <w:p w14:paraId="38049C50" w14:textId="16D407BD" w:rsidR="00056BFE" w:rsidRPr="00DD2508" w:rsidRDefault="00056BFE" w:rsidP="00056BFE">
      <w:pPr>
        <w:pStyle w:val="MeasureText"/>
        <w:rPr>
          <w:i/>
        </w:rPr>
      </w:pPr>
      <w:r w:rsidRPr="00DD2508">
        <w:t xml:space="preserve">Under the state’s </w:t>
      </w:r>
      <w:r w:rsidR="006F71AA">
        <w:t>ESSA</w:t>
      </w:r>
      <w:r w:rsidR="006F71AA" w:rsidRPr="00DD2508">
        <w:t xml:space="preserve"> </w:t>
      </w:r>
      <w:r w:rsidRPr="00DD2508">
        <w:t xml:space="preserve">accountability system, the school </w:t>
      </w:r>
      <w:r>
        <w:t xml:space="preserve">is in good standing:  the state has not identified the school </w:t>
      </w:r>
      <w:r w:rsidR="006F71AA">
        <w:t>for comprehensive or targeted improvement</w:t>
      </w:r>
      <w:r>
        <w:t xml:space="preserve">.  </w:t>
      </w:r>
    </w:p>
    <w:p w14:paraId="23ED6861" w14:textId="77777777" w:rsidR="00056BFE" w:rsidRPr="00DD2508" w:rsidRDefault="00056BFE" w:rsidP="00056BFE">
      <w:pPr>
        <w:pStyle w:val="Heading2"/>
      </w:pPr>
      <w:r w:rsidRPr="00DD2508">
        <w:t>Method</w:t>
      </w:r>
    </w:p>
    <w:p w14:paraId="45C9CD2D" w14:textId="5BD190AA" w:rsidR="006F71AA" w:rsidRDefault="006F71AA" w:rsidP="00056BFE">
      <w:r>
        <w:rPr>
          <w:rFonts w:ascii="Calibri" w:hAnsi="Calibri"/>
          <w:szCs w:val="23"/>
        </w:rPr>
        <w:t>Because</w:t>
      </w:r>
      <w:r w:rsidRPr="005655C1">
        <w:rPr>
          <w:rFonts w:ascii="Calibri" w:hAnsi="Calibri"/>
          <w:szCs w:val="23"/>
        </w:rPr>
        <w:t xml:space="preserve"> </w:t>
      </w:r>
      <w:r w:rsidRPr="005655C1">
        <w:rPr>
          <w:rFonts w:ascii="Calibri" w:hAnsi="Calibri"/>
          <w:i/>
          <w:szCs w:val="23"/>
        </w:rPr>
        <w:t>all</w:t>
      </w:r>
      <w:r w:rsidRPr="005655C1">
        <w:rPr>
          <w:rFonts w:ascii="Calibri" w:hAnsi="Calibri"/>
          <w:szCs w:val="23"/>
        </w:rPr>
        <w:t xml:space="preserve"> students are expected to meet the state's performance standards, the federal statute stipulates that various sub-populations and demographic categories of students among all tested students must meet the state standard in and of themselves aside from the overall school results.  As New York State, like all states, is required to establish a specific system for making these determinations for its public schools, charter schools do not have latitude in establishing their own performance levels or criteria of success for meeting the </w:t>
      </w:r>
      <w:r>
        <w:rPr>
          <w:rFonts w:ascii="Calibri" w:hAnsi="Calibri"/>
          <w:szCs w:val="23"/>
        </w:rPr>
        <w:t>ESSA</w:t>
      </w:r>
      <w:r w:rsidRPr="005655C1">
        <w:rPr>
          <w:rFonts w:ascii="Calibri" w:hAnsi="Calibri"/>
          <w:szCs w:val="23"/>
        </w:rPr>
        <w:t xml:space="preserve"> accountability requirements.  </w:t>
      </w:r>
      <w:r w:rsidR="009B1B4E">
        <w:rPr>
          <w:rFonts w:ascii="Calibri" w:hAnsi="Calibri"/>
          <w:szCs w:val="23"/>
        </w:rPr>
        <w:t>Each year, the state issues School Report Cards that indicate a school’s status under the state accountability system.</w:t>
      </w:r>
    </w:p>
    <w:p w14:paraId="14EF71F4" w14:textId="3EA52FA7" w:rsidR="00056BFE" w:rsidRPr="00DD2508" w:rsidRDefault="00056BFE" w:rsidP="00056BFE">
      <w:pPr>
        <w:pStyle w:val="Heading2"/>
      </w:pPr>
      <w:r w:rsidRPr="00DD2508">
        <w:lastRenderedPageBreak/>
        <w:t>Results</w:t>
      </w:r>
      <w:r w:rsidR="009B1B4E">
        <w:t xml:space="preserve"> and evaluation</w:t>
      </w:r>
    </w:p>
    <w:p w14:paraId="0EF943FC" w14:textId="1BB4C267" w:rsidR="00056BFE" w:rsidRDefault="00B83753" w:rsidP="00056BFE">
      <w:pPr>
        <w:rPr>
          <w:rFonts w:ascii="Calibri" w:hAnsi="Calibri"/>
          <w:szCs w:val="23"/>
        </w:rPr>
      </w:pPr>
      <w:r>
        <w:rPr>
          <w:rFonts w:ascii="Calibri" w:hAnsi="Calibri"/>
          <w:szCs w:val="23"/>
        </w:rPr>
        <w:t>Troy Prep’s 2020-2021 ESSA Accountability Status is “Good Standing”</w:t>
      </w:r>
    </w:p>
    <w:p w14:paraId="00929C39" w14:textId="2E190B79" w:rsidR="00B83753" w:rsidRPr="00DD2508" w:rsidRDefault="00B83753" w:rsidP="00056BFE">
      <w:r>
        <w:rPr>
          <w:rFonts w:ascii="Calibri" w:hAnsi="Calibri"/>
          <w:szCs w:val="23"/>
        </w:rPr>
        <w:t>Troy Prep met the ESSA measurement of its accountability plan.</w:t>
      </w:r>
    </w:p>
    <w:p w14:paraId="0BB1CA21" w14:textId="77777777" w:rsidR="00056BFE" w:rsidRPr="00DD2508" w:rsidRDefault="00056BFE" w:rsidP="00056BFE">
      <w:pPr>
        <w:pStyle w:val="Heading2"/>
      </w:pPr>
      <w:r w:rsidRPr="00DD2508">
        <w:t>Addit</w:t>
      </w:r>
      <w:r>
        <w:t>i</w:t>
      </w:r>
      <w:r w:rsidRPr="00DD2508">
        <w:t>onal Evidence</w:t>
      </w:r>
    </w:p>
    <w:p w14:paraId="3EA41494" w14:textId="7B54D92A" w:rsidR="00056BFE" w:rsidRPr="00DD2508" w:rsidRDefault="00B83753" w:rsidP="00056BFE">
      <w:r w:rsidRPr="00B83753">
        <w:t>Troy Prep has been a school in “Good Standing” in every year that the school has been operational.</w:t>
      </w:r>
    </w:p>
    <w:p w14:paraId="37B63B45" w14:textId="645E6B7B" w:rsidR="00056BFE" w:rsidRPr="00DD2508" w:rsidRDefault="009B1B4E" w:rsidP="00056BFE">
      <w:pPr>
        <w:pStyle w:val="TableHeader"/>
      </w:pPr>
      <w:r>
        <w:t>Accountability</w:t>
      </w:r>
      <w:r w:rsidRPr="00DD2508">
        <w:t xml:space="preserve"> </w:t>
      </w:r>
      <w:r w:rsidR="00056BFE" w:rsidRPr="00DD2508">
        <w:t>Status by Year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5326"/>
      </w:tblGrid>
      <w:tr w:rsidR="00056BFE" w:rsidRPr="00DD2508" w14:paraId="1D92816D" w14:textId="77777777" w:rsidTr="002C1A58">
        <w:trPr>
          <w:trHeight w:val="230"/>
          <w:jc w:val="center"/>
        </w:trPr>
        <w:tc>
          <w:tcPr>
            <w:tcW w:w="1064" w:type="dxa"/>
            <w:vAlign w:val="center"/>
          </w:tcPr>
          <w:p w14:paraId="650CA72C" w14:textId="77777777" w:rsidR="00056BFE" w:rsidRPr="00DE3E14" w:rsidRDefault="00056BFE" w:rsidP="002C1A58">
            <w:pPr>
              <w:pStyle w:val="TableText"/>
            </w:pPr>
            <w:r w:rsidRPr="00DE3E14">
              <w:t>Year</w:t>
            </w:r>
          </w:p>
        </w:tc>
        <w:tc>
          <w:tcPr>
            <w:tcW w:w="5326" w:type="dxa"/>
            <w:vAlign w:val="center"/>
          </w:tcPr>
          <w:p w14:paraId="31762C69" w14:textId="77777777" w:rsidR="00056BFE" w:rsidRPr="00DE3E14" w:rsidRDefault="00056BFE" w:rsidP="002C1A58">
            <w:pPr>
              <w:pStyle w:val="TableText"/>
            </w:pPr>
            <w:r w:rsidRPr="00DE3E14">
              <w:t>Status</w:t>
            </w:r>
          </w:p>
        </w:tc>
      </w:tr>
      <w:tr w:rsidR="00B83753" w:rsidRPr="00DD2508" w14:paraId="35E9B8B6" w14:textId="77777777" w:rsidTr="002C1A58">
        <w:trPr>
          <w:jc w:val="center"/>
        </w:trPr>
        <w:tc>
          <w:tcPr>
            <w:tcW w:w="1064" w:type="dxa"/>
            <w:vAlign w:val="center"/>
          </w:tcPr>
          <w:p w14:paraId="187BFECD" w14:textId="7D8F5F92" w:rsidR="00B83753" w:rsidRPr="00DE3E14" w:rsidRDefault="00B83753" w:rsidP="00B83753">
            <w:pPr>
              <w:pStyle w:val="TableText"/>
            </w:pPr>
            <w:r>
              <w:t>2018-19</w:t>
            </w:r>
          </w:p>
        </w:tc>
        <w:tc>
          <w:tcPr>
            <w:tcW w:w="5326" w:type="dxa"/>
          </w:tcPr>
          <w:p w14:paraId="67EACDE5" w14:textId="59B982D7" w:rsidR="00B83753" w:rsidRPr="007610B2" w:rsidRDefault="00B83753" w:rsidP="00B83753">
            <w:pPr>
              <w:pStyle w:val="TableText"/>
            </w:pPr>
            <w:r>
              <w:t>Good Standing</w:t>
            </w:r>
          </w:p>
        </w:tc>
      </w:tr>
      <w:tr w:rsidR="00B83753" w:rsidRPr="00DD2508" w14:paraId="0CC227B9" w14:textId="77777777" w:rsidTr="002C1A58">
        <w:trPr>
          <w:jc w:val="center"/>
        </w:trPr>
        <w:tc>
          <w:tcPr>
            <w:tcW w:w="1064" w:type="dxa"/>
            <w:vAlign w:val="center"/>
          </w:tcPr>
          <w:p w14:paraId="625FF4E2" w14:textId="5D3513AB" w:rsidR="00B83753" w:rsidRPr="00DE3E14" w:rsidRDefault="00B83753" w:rsidP="00B83753">
            <w:pPr>
              <w:pStyle w:val="TableText"/>
            </w:pPr>
            <w:r>
              <w:t>2019-20</w:t>
            </w:r>
          </w:p>
        </w:tc>
        <w:tc>
          <w:tcPr>
            <w:tcW w:w="5326" w:type="dxa"/>
          </w:tcPr>
          <w:p w14:paraId="164268FB" w14:textId="3CDD6280" w:rsidR="00B83753" w:rsidRPr="007610B2" w:rsidRDefault="00B83753" w:rsidP="00B83753">
            <w:pPr>
              <w:pStyle w:val="TableText"/>
            </w:pPr>
            <w:r>
              <w:t>Good Standing</w:t>
            </w:r>
          </w:p>
        </w:tc>
      </w:tr>
      <w:tr w:rsidR="00B83753" w:rsidRPr="00DD2508" w14:paraId="0F71B7A9" w14:textId="77777777" w:rsidTr="002C1A58">
        <w:trPr>
          <w:jc w:val="center"/>
        </w:trPr>
        <w:tc>
          <w:tcPr>
            <w:tcW w:w="1064" w:type="dxa"/>
            <w:vAlign w:val="center"/>
          </w:tcPr>
          <w:p w14:paraId="0F7AA313" w14:textId="1745FE83" w:rsidR="00B83753" w:rsidRPr="00DE3E14" w:rsidRDefault="00B83753" w:rsidP="00B83753">
            <w:pPr>
              <w:pStyle w:val="TableText"/>
            </w:pPr>
            <w:r>
              <w:t>2020-21</w:t>
            </w:r>
          </w:p>
        </w:tc>
        <w:tc>
          <w:tcPr>
            <w:tcW w:w="5326" w:type="dxa"/>
          </w:tcPr>
          <w:p w14:paraId="6ECED296" w14:textId="14188DA9" w:rsidR="00B83753" w:rsidRPr="007610B2" w:rsidRDefault="00B83753" w:rsidP="00B83753">
            <w:pPr>
              <w:pStyle w:val="TableText"/>
            </w:pPr>
            <w:r>
              <w:t>Good Standing</w:t>
            </w:r>
          </w:p>
        </w:tc>
      </w:tr>
    </w:tbl>
    <w:p w14:paraId="3B544D87" w14:textId="77777777" w:rsidR="00056BFE" w:rsidRDefault="00056BFE" w:rsidP="00056BFE">
      <w:pPr>
        <w:widowControl w:val="0"/>
        <w:rPr>
          <w:rFonts w:ascii="Calibri" w:hAnsi="Calibri"/>
          <w:b/>
        </w:rPr>
      </w:pPr>
    </w:p>
    <w:p w14:paraId="4574D26C" w14:textId="77777777" w:rsidR="00525629" w:rsidRDefault="00525629" w:rsidP="00B83753">
      <w:pPr>
        <w:pStyle w:val="Heading1"/>
        <w:rPr>
          <w:rFonts w:ascii="Calibri" w:hAnsi="Calibri"/>
        </w:rPr>
      </w:pPr>
      <w:bookmarkStart w:id="7" w:name="_APPENDIX_A:_DATA"/>
      <w:bookmarkEnd w:id="7"/>
    </w:p>
    <w:sectPr w:rsidR="0052562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EDC90" w14:textId="77777777" w:rsidR="00226147" w:rsidRDefault="00226147" w:rsidP="00056BFE">
      <w:pPr>
        <w:spacing w:after="0"/>
      </w:pPr>
      <w:r>
        <w:separator/>
      </w:r>
    </w:p>
  </w:endnote>
  <w:endnote w:type="continuationSeparator" w:id="0">
    <w:p w14:paraId="1B293AAE" w14:textId="77777777" w:rsidR="00226147" w:rsidRDefault="00226147" w:rsidP="00056B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15610" w14:textId="77777777" w:rsidR="00226147" w:rsidRDefault="00226147" w:rsidP="00056BFE">
      <w:pPr>
        <w:spacing w:after="0"/>
      </w:pPr>
      <w:r>
        <w:separator/>
      </w:r>
    </w:p>
  </w:footnote>
  <w:footnote w:type="continuationSeparator" w:id="0">
    <w:p w14:paraId="31BC89EF" w14:textId="77777777" w:rsidR="00226147" w:rsidRDefault="00226147" w:rsidP="00056BFE">
      <w:pPr>
        <w:spacing w:after="0"/>
      </w:pPr>
      <w:r>
        <w:continuationSeparator/>
      </w:r>
    </w:p>
  </w:footnote>
  <w:footnote w:id="1">
    <w:p w14:paraId="71837B45" w14:textId="77777777" w:rsidR="00226147" w:rsidRDefault="00226147" w:rsidP="00BC64E6">
      <w:pPr>
        <w:pStyle w:val="FootnoteText"/>
      </w:pPr>
      <w:r>
        <w:rPr>
          <w:rStyle w:val="FootnoteReference"/>
        </w:rPr>
        <w:footnoteRef/>
      </w:r>
      <w:r>
        <w:t xml:space="preserve"> The state’s guidance for the 4+1 graduation pathway can be found here: </w:t>
      </w:r>
      <w:hyperlink r:id="rId1" w:history="1">
        <w:r w:rsidRPr="009F7189">
          <w:rPr>
            <w:rStyle w:val="Hyperlink"/>
          </w:rPr>
          <w:t>http://www.p12.nysed.gov/ciai/multiple-pathways/</w:t>
        </w:r>
      </w:hyperlink>
      <w:r>
        <w:t>.</w:t>
      </w:r>
    </w:p>
  </w:footnote>
  <w:footnote w:id="2">
    <w:p w14:paraId="36D39591" w14:textId="77777777" w:rsidR="00226147" w:rsidRDefault="00226147" w:rsidP="00E17F29">
      <w:pPr>
        <w:pStyle w:val="FootnoteText"/>
      </w:pPr>
      <w:r>
        <w:rPr>
          <w:rStyle w:val="FootnoteReference"/>
        </w:rPr>
        <w:footnoteRef/>
      </w:r>
      <w:r>
        <w:t xml:space="preserve"> Proficient is defined as scoring at or above the grade-level RIT score cut score according to the most recently available linking study found </w:t>
      </w:r>
      <w:hyperlink r:id="rId2" w:history="1">
        <w:r w:rsidRPr="002977A0">
          <w:rPr>
            <w:rStyle w:val="Hyperlink"/>
          </w:rPr>
          <w:t>here</w:t>
        </w:r>
      </w:hyperlink>
      <w:r>
        <w:t>.  Refer to pages 15-16, tables 3.5 and 3.6.</w:t>
      </w:r>
    </w:p>
  </w:footnote>
  <w:footnote w:id="3">
    <w:p w14:paraId="5C4035B8" w14:textId="77777777" w:rsidR="00226147" w:rsidRPr="004801B7" w:rsidRDefault="00226147" w:rsidP="00056BFE">
      <w:pPr>
        <w:pStyle w:val="FootnoteText"/>
        <w:rPr>
          <w:rFonts w:ascii="Calibri" w:hAnsi="Calibri"/>
          <w:sz w:val="18"/>
          <w:szCs w:val="18"/>
        </w:rPr>
      </w:pPr>
      <w:r w:rsidRPr="004801B7">
        <w:rPr>
          <w:rStyle w:val="FootnoteReference"/>
          <w:rFonts w:ascii="Calibri" w:hAnsi="Calibri"/>
          <w:sz w:val="18"/>
          <w:szCs w:val="18"/>
        </w:rPr>
        <w:footnoteRef/>
      </w:r>
      <w:r w:rsidRPr="004801B7">
        <w:rPr>
          <w:rFonts w:ascii="Calibri" w:hAnsi="Calibri"/>
          <w:sz w:val="18"/>
          <w:szCs w:val="18"/>
        </w:rPr>
        <w:t xml:space="preserve"> Based on the highest score for each student on the English Regents exam</w:t>
      </w:r>
    </w:p>
  </w:footnote>
  <w:footnote w:id="4">
    <w:p w14:paraId="20E2EEE5" w14:textId="77777777" w:rsidR="00226147" w:rsidRDefault="00226147" w:rsidP="00C510AC">
      <w:pPr>
        <w:pStyle w:val="FootnoteText"/>
      </w:pPr>
      <w:r>
        <w:rPr>
          <w:rStyle w:val="FootnoteReference"/>
        </w:rPr>
        <w:footnoteRef/>
      </w:r>
      <w:r>
        <w:t xml:space="preserve"> Proficient is defined as scoring at or above the grade-level RIT score cut score according to the most recently available linking study found </w:t>
      </w:r>
      <w:hyperlink r:id="rId3" w:history="1">
        <w:r w:rsidRPr="002977A0">
          <w:rPr>
            <w:rStyle w:val="Hyperlink"/>
          </w:rPr>
          <w:t>here</w:t>
        </w:r>
      </w:hyperlink>
      <w:r>
        <w:t>.  Refer to pages 15-16, tables 3.5 and 3.6.</w:t>
      </w:r>
    </w:p>
  </w:footnote>
  <w:footnote w:id="5">
    <w:p w14:paraId="4CB83D58" w14:textId="119EAAD8" w:rsidR="00226147" w:rsidRPr="004801B7" w:rsidRDefault="00226147" w:rsidP="009502D1">
      <w:pPr>
        <w:pStyle w:val="FootnoteText"/>
        <w:rPr>
          <w:rFonts w:ascii="Calibri" w:hAnsi="Calibri"/>
          <w:sz w:val="18"/>
          <w:szCs w:val="18"/>
        </w:rPr>
      </w:pPr>
      <w:r w:rsidRPr="004801B7">
        <w:rPr>
          <w:rStyle w:val="FootnoteReference"/>
          <w:rFonts w:ascii="Calibri" w:hAnsi="Calibri"/>
          <w:sz w:val="18"/>
          <w:szCs w:val="18"/>
        </w:rPr>
        <w:footnoteRef/>
      </w:r>
      <w:r w:rsidRPr="004801B7">
        <w:rPr>
          <w:rFonts w:ascii="Calibri" w:hAnsi="Calibri"/>
          <w:sz w:val="18"/>
          <w:szCs w:val="18"/>
        </w:rPr>
        <w:t xml:space="preserve"> Based on the highest score for each student on the </w:t>
      </w:r>
      <w:r>
        <w:rPr>
          <w:rFonts w:ascii="Calibri" w:hAnsi="Calibri"/>
          <w:sz w:val="18"/>
          <w:szCs w:val="18"/>
        </w:rPr>
        <w:t>mathematics</w:t>
      </w:r>
      <w:r w:rsidRPr="004801B7">
        <w:rPr>
          <w:rFonts w:ascii="Calibri" w:hAnsi="Calibri"/>
          <w:sz w:val="18"/>
          <w:szCs w:val="18"/>
        </w:rPr>
        <w:t xml:space="preserve"> Regents exam</w:t>
      </w:r>
    </w:p>
  </w:footnote>
  <w:footnote w:id="6">
    <w:p w14:paraId="27DA0D89" w14:textId="77777777" w:rsidR="00226147" w:rsidRPr="004801B7" w:rsidRDefault="00226147" w:rsidP="00056BFE">
      <w:pPr>
        <w:pStyle w:val="FootnoteText"/>
        <w:rPr>
          <w:rFonts w:ascii="Calibri" w:hAnsi="Calibri"/>
          <w:sz w:val="18"/>
          <w:szCs w:val="18"/>
        </w:rPr>
      </w:pPr>
      <w:r w:rsidRPr="004801B7">
        <w:rPr>
          <w:rStyle w:val="FootnoteReference"/>
          <w:rFonts w:ascii="Calibri" w:hAnsi="Calibri"/>
          <w:sz w:val="18"/>
          <w:szCs w:val="18"/>
        </w:rPr>
        <w:footnoteRef/>
      </w:r>
      <w:r w:rsidRPr="004801B7">
        <w:rPr>
          <w:rFonts w:ascii="Calibri" w:hAnsi="Calibri"/>
          <w:sz w:val="18"/>
          <w:szCs w:val="18"/>
        </w:rPr>
        <w:t xml:space="preserve"> Based on the highest score for each student on </w:t>
      </w:r>
      <w:r>
        <w:rPr>
          <w:rFonts w:ascii="Calibri" w:hAnsi="Calibri"/>
          <w:sz w:val="18"/>
          <w:szCs w:val="18"/>
        </w:rPr>
        <w:t xml:space="preserve">any science </w:t>
      </w:r>
      <w:r w:rsidRPr="004801B7">
        <w:rPr>
          <w:rFonts w:ascii="Calibri" w:hAnsi="Calibri"/>
          <w:sz w:val="18"/>
          <w:szCs w:val="18"/>
        </w:rPr>
        <w:t>Regents exam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BCBBF" w14:textId="5C333B5B" w:rsidR="00226147" w:rsidRPr="0075302F" w:rsidRDefault="00226147" w:rsidP="00B11F2A">
    <w:pPr>
      <w:pStyle w:val="BlueHeader"/>
      <w:tabs>
        <w:tab w:val="left" w:pos="2925"/>
        <w:tab w:val="left" w:pos="3885"/>
      </w:tabs>
      <w:jc w:val="center"/>
    </w:pPr>
    <w:r>
      <w:t>2020-21 accountability plan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0912"/>
    <w:multiLevelType w:val="multilevel"/>
    <w:tmpl w:val="401A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23C5B"/>
    <w:multiLevelType w:val="multilevel"/>
    <w:tmpl w:val="579E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E0EA2"/>
    <w:multiLevelType w:val="multilevel"/>
    <w:tmpl w:val="142A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7272B"/>
    <w:multiLevelType w:val="multilevel"/>
    <w:tmpl w:val="A5F2AD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C0547"/>
    <w:multiLevelType w:val="multilevel"/>
    <w:tmpl w:val="379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D71EF"/>
    <w:multiLevelType w:val="hybridMultilevel"/>
    <w:tmpl w:val="4684AEDC"/>
    <w:lvl w:ilvl="0" w:tplc="BFD848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524BE"/>
    <w:multiLevelType w:val="hybridMultilevel"/>
    <w:tmpl w:val="9992052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1CEF2F25"/>
    <w:multiLevelType w:val="hybridMultilevel"/>
    <w:tmpl w:val="CC2EB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70D6B"/>
    <w:multiLevelType w:val="hybridMultilevel"/>
    <w:tmpl w:val="F494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94220"/>
    <w:multiLevelType w:val="hybridMultilevel"/>
    <w:tmpl w:val="8D6CFED4"/>
    <w:lvl w:ilvl="0" w:tplc="16AADEB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92666D"/>
    <w:multiLevelType w:val="multilevel"/>
    <w:tmpl w:val="3FBA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851491"/>
    <w:multiLevelType w:val="multilevel"/>
    <w:tmpl w:val="655C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A0764"/>
    <w:multiLevelType w:val="hybridMultilevel"/>
    <w:tmpl w:val="8A26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85E04"/>
    <w:multiLevelType w:val="multilevel"/>
    <w:tmpl w:val="EDA8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56A99"/>
    <w:multiLevelType w:val="multilevel"/>
    <w:tmpl w:val="77A8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15199"/>
    <w:multiLevelType w:val="multilevel"/>
    <w:tmpl w:val="603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1D773C"/>
    <w:multiLevelType w:val="hybridMultilevel"/>
    <w:tmpl w:val="2E54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E1E14"/>
    <w:multiLevelType w:val="hybridMultilevel"/>
    <w:tmpl w:val="6546A124"/>
    <w:lvl w:ilvl="0" w:tplc="04090001">
      <w:numFmt w:val="decimal"/>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A974CF4"/>
    <w:multiLevelType w:val="multilevel"/>
    <w:tmpl w:val="FF02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9361D"/>
    <w:multiLevelType w:val="multilevel"/>
    <w:tmpl w:val="5BC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5F7197"/>
    <w:multiLevelType w:val="multilevel"/>
    <w:tmpl w:val="EA8E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90406E"/>
    <w:multiLevelType w:val="multilevel"/>
    <w:tmpl w:val="1442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DC317D"/>
    <w:multiLevelType w:val="multilevel"/>
    <w:tmpl w:val="8602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8F3680"/>
    <w:multiLevelType w:val="multilevel"/>
    <w:tmpl w:val="2A08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D3228"/>
    <w:multiLevelType w:val="multilevel"/>
    <w:tmpl w:val="CB94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93AC3"/>
    <w:multiLevelType w:val="multilevel"/>
    <w:tmpl w:val="F0FC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BC5FC6"/>
    <w:multiLevelType w:val="multilevel"/>
    <w:tmpl w:val="1468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621AD0"/>
    <w:multiLevelType w:val="hybridMultilevel"/>
    <w:tmpl w:val="C174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25"/>
  </w:num>
  <w:num w:numId="5">
    <w:abstractNumId w:val="3"/>
  </w:num>
  <w:num w:numId="6">
    <w:abstractNumId w:val="22"/>
  </w:num>
  <w:num w:numId="7">
    <w:abstractNumId w:val="11"/>
  </w:num>
  <w:num w:numId="8">
    <w:abstractNumId w:val="7"/>
  </w:num>
  <w:num w:numId="9">
    <w:abstractNumId w:val="16"/>
  </w:num>
  <w:num w:numId="10">
    <w:abstractNumId w:val="8"/>
  </w:num>
  <w:num w:numId="11">
    <w:abstractNumId w:val="27"/>
  </w:num>
  <w:num w:numId="12">
    <w:abstractNumId w:val="6"/>
  </w:num>
  <w:num w:numId="13">
    <w:abstractNumId w:val="24"/>
  </w:num>
  <w:num w:numId="14">
    <w:abstractNumId w:val="15"/>
  </w:num>
  <w:num w:numId="15">
    <w:abstractNumId w:val="21"/>
  </w:num>
  <w:num w:numId="16">
    <w:abstractNumId w:val="18"/>
  </w:num>
  <w:num w:numId="17">
    <w:abstractNumId w:val="23"/>
  </w:num>
  <w:num w:numId="18">
    <w:abstractNumId w:val="10"/>
  </w:num>
  <w:num w:numId="19">
    <w:abstractNumId w:val="4"/>
  </w:num>
  <w:num w:numId="20">
    <w:abstractNumId w:val="19"/>
  </w:num>
  <w:num w:numId="21">
    <w:abstractNumId w:val="1"/>
  </w:num>
  <w:num w:numId="22">
    <w:abstractNumId w:val="20"/>
  </w:num>
  <w:num w:numId="23">
    <w:abstractNumId w:val="14"/>
  </w:num>
  <w:num w:numId="24">
    <w:abstractNumId w:val="26"/>
  </w:num>
  <w:num w:numId="25">
    <w:abstractNumId w:val="0"/>
  </w:num>
  <w:num w:numId="26">
    <w:abstractNumId w:val="2"/>
  </w:num>
  <w:num w:numId="27">
    <w:abstractNumId w:val="13"/>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FE"/>
    <w:rsid w:val="000032C2"/>
    <w:rsid w:val="000076D7"/>
    <w:rsid w:val="00010B42"/>
    <w:rsid w:val="000153CF"/>
    <w:rsid w:val="00015E34"/>
    <w:rsid w:val="00017C0D"/>
    <w:rsid w:val="00036406"/>
    <w:rsid w:val="000419FF"/>
    <w:rsid w:val="00042AE9"/>
    <w:rsid w:val="00053538"/>
    <w:rsid w:val="0005503F"/>
    <w:rsid w:val="00056BFE"/>
    <w:rsid w:val="00061A86"/>
    <w:rsid w:val="00070E7E"/>
    <w:rsid w:val="00071BB9"/>
    <w:rsid w:val="000762BF"/>
    <w:rsid w:val="000810C6"/>
    <w:rsid w:val="00090059"/>
    <w:rsid w:val="00092BEF"/>
    <w:rsid w:val="00097F96"/>
    <w:rsid w:val="000A0BDD"/>
    <w:rsid w:val="000A2236"/>
    <w:rsid w:val="000A3F62"/>
    <w:rsid w:val="000A4719"/>
    <w:rsid w:val="000A4D76"/>
    <w:rsid w:val="000A51B4"/>
    <w:rsid w:val="000C7356"/>
    <w:rsid w:val="000D4154"/>
    <w:rsid w:val="000D78BA"/>
    <w:rsid w:val="000E370C"/>
    <w:rsid w:val="000F0110"/>
    <w:rsid w:val="001008FB"/>
    <w:rsid w:val="00105824"/>
    <w:rsid w:val="00106AAA"/>
    <w:rsid w:val="00111091"/>
    <w:rsid w:val="0011606E"/>
    <w:rsid w:val="001306C0"/>
    <w:rsid w:val="00132BB4"/>
    <w:rsid w:val="00134BB6"/>
    <w:rsid w:val="00141360"/>
    <w:rsid w:val="001434CF"/>
    <w:rsid w:val="00157251"/>
    <w:rsid w:val="00157AB2"/>
    <w:rsid w:val="00171C70"/>
    <w:rsid w:val="00174C41"/>
    <w:rsid w:val="00175F08"/>
    <w:rsid w:val="00177CF7"/>
    <w:rsid w:val="00184492"/>
    <w:rsid w:val="00194420"/>
    <w:rsid w:val="001A3B4A"/>
    <w:rsid w:val="001A5186"/>
    <w:rsid w:val="001A6830"/>
    <w:rsid w:val="001B3F58"/>
    <w:rsid w:val="001B4B6E"/>
    <w:rsid w:val="001B6D77"/>
    <w:rsid w:val="001D192E"/>
    <w:rsid w:val="001D3556"/>
    <w:rsid w:val="001D4B25"/>
    <w:rsid w:val="001D735A"/>
    <w:rsid w:val="001E12B2"/>
    <w:rsid w:val="001E13CA"/>
    <w:rsid w:val="001F04F8"/>
    <w:rsid w:val="0020020C"/>
    <w:rsid w:val="00204583"/>
    <w:rsid w:val="002049F2"/>
    <w:rsid w:val="002112CE"/>
    <w:rsid w:val="00213D1C"/>
    <w:rsid w:val="00220602"/>
    <w:rsid w:val="00226147"/>
    <w:rsid w:val="002318FC"/>
    <w:rsid w:val="00243C66"/>
    <w:rsid w:val="002462BC"/>
    <w:rsid w:val="00253D45"/>
    <w:rsid w:val="00271411"/>
    <w:rsid w:val="00281F6E"/>
    <w:rsid w:val="002910A1"/>
    <w:rsid w:val="00291756"/>
    <w:rsid w:val="002B02EA"/>
    <w:rsid w:val="002B4B25"/>
    <w:rsid w:val="002B4E45"/>
    <w:rsid w:val="002C1A58"/>
    <w:rsid w:val="002C5384"/>
    <w:rsid w:val="002E054F"/>
    <w:rsid w:val="002E455E"/>
    <w:rsid w:val="002F43A4"/>
    <w:rsid w:val="002F4624"/>
    <w:rsid w:val="002F5A1B"/>
    <w:rsid w:val="00304E1B"/>
    <w:rsid w:val="00306CB6"/>
    <w:rsid w:val="00312144"/>
    <w:rsid w:val="003137F5"/>
    <w:rsid w:val="00317BC5"/>
    <w:rsid w:val="003214E4"/>
    <w:rsid w:val="00325CEA"/>
    <w:rsid w:val="003308B1"/>
    <w:rsid w:val="00331531"/>
    <w:rsid w:val="003316F9"/>
    <w:rsid w:val="00340A30"/>
    <w:rsid w:val="00345FB4"/>
    <w:rsid w:val="003463C7"/>
    <w:rsid w:val="00347C7D"/>
    <w:rsid w:val="003500EC"/>
    <w:rsid w:val="0035276C"/>
    <w:rsid w:val="00356B0F"/>
    <w:rsid w:val="00362585"/>
    <w:rsid w:val="00371D28"/>
    <w:rsid w:val="00372175"/>
    <w:rsid w:val="00377C7F"/>
    <w:rsid w:val="00383E3F"/>
    <w:rsid w:val="00384DC5"/>
    <w:rsid w:val="00393509"/>
    <w:rsid w:val="00393E2E"/>
    <w:rsid w:val="00394414"/>
    <w:rsid w:val="0039788F"/>
    <w:rsid w:val="003A236C"/>
    <w:rsid w:val="003A6FE7"/>
    <w:rsid w:val="003B0F17"/>
    <w:rsid w:val="003B7909"/>
    <w:rsid w:val="003C3D27"/>
    <w:rsid w:val="003C7D70"/>
    <w:rsid w:val="003D333E"/>
    <w:rsid w:val="003D3746"/>
    <w:rsid w:val="003E65E4"/>
    <w:rsid w:val="003E6864"/>
    <w:rsid w:val="00400C87"/>
    <w:rsid w:val="00403CFF"/>
    <w:rsid w:val="004048F0"/>
    <w:rsid w:val="00406BC8"/>
    <w:rsid w:val="00422A98"/>
    <w:rsid w:val="00424751"/>
    <w:rsid w:val="0042730A"/>
    <w:rsid w:val="004358AF"/>
    <w:rsid w:val="004366FE"/>
    <w:rsid w:val="00437461"/>
    <w:rsid w:val="0044032B"/>
    <w:rsid w:val="004413CD"/>
    <w:rsid w:val="00444A48"/>
    <w:rsid w:val="00452338"/>
    <w:rsid w:val="004542FF"/>
    <w:rsid w:val="004567E7"/>
    <w:rsid w:val="00456898"/>
    <w:rsid w:val="00474F40"/>
    <w:rsid w:val="00481499"/>
    <w:rsid w:val="00482448"/>
    <w:rsid w:val="004914E5"/>
    <w:rsid w:val="00491FF9"/>
    <w:rsid w:val="00494236"/>
    <w:rsid w:val="004A1400"/>
    <w:rsid w:val="004B25D9"/>
    <w:rsid w:val="004B328B"/>
    <w:rsid w:val="004C5011"/>
    <w:rsid w:val="004C5673"/>
    <w:rsid w:val="004C72FA"/>
    <w:rsid w:val="004D1943"/>
    <w:rsid w:val="004D2DFB"/>
    <w:rsid w:val="004E25DB"/>
    <w:rsid w:val="004E5441"/>
    <w:rsid w:val="0050115F"/>
    <w:rsid w:val="005013BC"/>
    <w:rsid w:val="00501BC4"/>
    <w:rsid w:val="0050278F"/>
    <w:rsid w:val="00503FF9"/>
    <w:rsid w:val="0050777F"/>
    <w:rsid w:val="0052217E"/>
    <w:rsid w:val="00525629"/>
    <w:rsid w:val="00537206"/>
    <w:rsid w:val="00547867"/>
    <w:rsid w:val="00553482"/>
    <w:rsid w:val="0056045B"/>
    <w:rsid w:val="00562C78"/>
    <w:rsid w:val="00563E4B"/>
    <w:rsid w:val="005714F1"/>
    <w:rsid w:val="005765F3"/>
    <w:rsid w:val="00583F18"/>
    <w:rsid w:val="005862C8"/>
    <w:rsid w:val="00595094"/>
    <w:rsid w:val="005958BF"/>
    <w:rsid w:val="005A26F6"/>
    <w:rsid w:val="005A57B2"/>
    <w:rsid w:val="005B17DE"/>
    <w:rsid w:val="005B455A"/>
    <w:rsid w:val="005D07C6"/>
    <w:rsid w:val="005D54B3"/>
    <w:rsid w:val="005D7A1B"/>
    <w:rsid w:val="005E06F4"/>
    <w:rsid w:val="005E14F5"/>
    <w:rsid w:val="005E4F2F"/>
    <w:rsid w:val="005E6B86"/>
    <w:rsid w:val="005F2596"/>
    <w:rsid w:val="005F4726"/>
    <w:rsid w:val="00600302"/>
    <w:rsid w:val="00601003"/>
    <w:rsid w:val="006023DE"/>
    <w:rsid w:val="006079D2"/>
    <w:rsid w:val="00616126"/>
    <w:rsid w:val="00622134"/>
    <w:rsid w:val="006257EE"/>
    <w:rsid w:val="0063050E"/>
    <w:rsid w:val="00652A05"/>
    <w:rsid w:val="0065480D"/>
    <w:rsid w:val="00655F9D"/>
    <w:rsid w:val="00656745"/>
    <w:rsid w:val="00657B15"/>
    <w:rsid w:val="00664568"/>
    <w:rsid w:val="00666CF1"/>
    <w:rsid w:val="00671FF2"/>
    <w:rsid w:val="00684173"/>
    <w:rsid w:val="00684591"/>
    <w:rsid w:val="006851FA"/>
    <w:rsid w:val="00693F00"/>
    <w:rsid w:val="00694A3B"/>
    <w:rsid w:val="006952E6"/>
    <w:rsid w:val="00697D82"/>
    <w:rsid w:val="0069C23C"/>
    <w:rsid w:val="006A051B"/>
    <w:rsid w:val="006A392B"/>
    <w:rsid w:val="006B1365"/>
    <w:rsid w:val="006B2BCC"/>
    <w:rsid w:val="006B4A0D"/>
    <w:rsid w:val="006C26DE"/>
    <w:rsid w:val="006D269B"/>
    <w:rsid w:val="006E50C7"/>
    <w:rsid w:val="006E797E"/>
    <w:rsid w:val="006F71AA"/>
    <w:rsid w:val="00707900"/>
    <w:rsid w:val="00710DBC"/>
    <w:rsid w:val="00715013"/>
    <w:rsid w:val="00724266"/>
    <w:rsid w:val="007328BC"/>
    <w:rsid w:val="007467D3"/>
    <w:rsid w:val="00751171"/>
    <w:rsid w:val="00752A7C"/>
    <w:rsid w:val="0075382B"/>
    <w:rsid w:val="00757E4E"/>
    <w:rsid w:val="00764866"/>
    <w:rsid w:val="00770EE3"/>
    <w:rsid w:val="0077346A"/>
    <w:rsid w:val="007753E3"/>
    <w:rsid w:val="007858A6"/>
    <w:rsid w:val="007874A0"/>
    <w:rsid w:val="00790EAB"/>
    <w:rsid w:val="007A424D"/>
    <w:rsid w:val="007B44E4"/>
    <w:rsid w:val="007B6A7D"/>
    <w:rsid w:val="007C00C9"/>
    <w:rsid w:val="007C44AE"/>
    <w:rsid w:val="007D1202"/>
    <w:rsid w:val="007D3EEC"/>
    <w:rsid w:val="007E376D"/>
    <w:rsid w:val="00801713"/>
    <w:rsid w:val="00803886"/>
    <w:rsid w:val="00807DB8"/>
    <w:rsid w:val="00822D02"/>
    <w:rsid w:val="0082419E"/>
    <w:rsid w:val="00824466"/>
    <w:rsid w:val="00830B3D"/>
    <w:rsid w:val="008315B6"/>
    <w:rsid w:val="00831657"/>
    <w:rsid w:val="00835210"/>
    <w:rsid w:val="00845FC9"/>
    <w:rsid w:val="00846F62"/>
    <w:rsid w:val="00850B44"/>
    <w:rsid w:val="00872B74"/>
    <w:rsid w:val="00874A06"/>
    <w:rsid w:val="00876A76"/>
    <w:rsid w:val="00887A7E"/>
    <w:rsid w:val="00887F40"/>
    <w:rsid w:val="0089684F"/>
    <w:rsid w:val="008A09D0"/>
    <w:rsid w:val="008A58BC"/>
    <w:rsid w:val="008B1029"/>
    <w:rsid w:val="008B5C21"/>
    <w:rsid w:val="008C044D"/>
    <w:rsid w:val="008C409B"/>
    <w:rsid w:val="008C4A18"/>
    <w:rsid w:val="008C5567"/>
    <w:rsid w:val="008D1D24"/>
    <w:rsid w:val="008D2134"/>
    <w:rsid w:val="008D2D0E"/>
    <w:rsid w:val="008D4B0E"/>
    <w:rsid w:val="008E10B8"/>
    <w:rsid w:val="008E4827"/>
    <w:rsid w:val="008E62FA"/>
    <w:rsid w:val="008F5297"/>
    <w:rsid w:val="00903852"/>
    <w:rsid w:val="009049D7"/>
    <w:rsid w:val="00927FA1"/>
    <w:rsid w:val="009363DC"/>
    <w:rsid w:val="009400A7"/>
    <w:rsid w:val="00940114"/>
    <w:rsid w:val="00941DE1"/>
    <w:rsid w:val="00944F8F"/>
    <w:rsid w:val="009502D1"/>
    <w:rsid w:val="00961B04"/>
    <w:rsid w:val="00962792"/>
    <w:rsid w:val="009708D3"/>
    <w:rsid w:val="00974FE3"/>
    <w:rsid w:val="00981C52"/>
    <w:rsid w:val="0098460C"/>
    <w:rsid w:val="00984F81"/>
    <w:rsid w:val="009B146B"/>
    <w:rsid w:val="009B1B4E"/>
    <w:rsid w:val="009B2231"/>
    <w:rsid w:val="009B324B"/>
    <w:rsid w:val="009B7E4C"/>
    <w:rsid w:val="009C52B7"/>
    <w:rsid w:val="009C5750"/>
    <w:rsid w:val="009C5B61"/>
    <w:rsid w:val="009C6C35"/>
    <w:rsid w:val="009D67B9"/>
    <w:rsid w:val="009D6DC9"/>
    <w:rsid w:val="009E2842"/>
    <w:rsid w:val="009E454C"/>
    <w:rsid w:val="009F1A49"/>
    <w:rsid w:val="00A00530"/>
    <w:rsid w:val="00A03F15"/>
    <w:rsid w:val="00A14633"/>
    <w:rsid w:val="00A22746"/>
    <w:rsid w:val="00A23115"/>
    <w:rsid w:val="00A2427B"/>
    <w:rsid w:val="00A305B0"/>
    <w:rsid w:val="00A308D3"/>
    <w:rsid w:val="00A44113"/>
    <w:rsid w:val="00A529BD"/>
    <w:rsid w:val="00A5357C"/>
    <w:rsid w:val="00A60A59"/>
    <w:rsid w:val="00A666D5"/>
    <w:rsid w:val="00A70F9C"/>
    <w:rsid w:val="00A76363"/>
    <w:rsid w:val="00A76DF5"/>
    <w:rsid w:val="00A81AB9"/>
    <w:rsid w:val="00A93D5C"/>
    <w:rsid w:val="00AA285F"/>
    <w:rsid w:val="00AA7DA6"/>
    <w:rsid w:val="00AB41A2"/>
    <w:rsid w:val="00AB54BC"/>
    <w:rsid w:val="00AB6152"/>
    <w:rsid w:val="00AC0E0D"/>
    <w:rsid w:val="00AC2F98"/>
    <w:rsid w:val="00AD69FF"/>
    <w:rsid w:val="00AD71DB"/>
    <w:rsid w:val="00AE1A33"/>
    <w:rsid w:val="00AE55F5"/>
    <w:rsid w:val="00AE76C1"/>
    <w:rsid w:val="00AF19AF"/>
    <w:rsid w:val="00AF2967"/>
    <w:rsid w:val="00AF3147"/>
    <w:rsid w:val="00AF71AA"/>
    <w:rsid w:val="00B003FE"/>
    <w:rsid w:val="00B04A0B"/>
    <w:rsid w:val="00B11F2A"/>
    <w:rsid w:val="00B22B32"/>
    <w:rsid w:val="00B2701D"/>
    <w:rsid w:val="00B277C8"/>
    <w:rsid w:val="00B3427E"/>
    <w:rsid w:val="00B37F28"/>
    <w:rsid w:val="00B37F47"/>
    <w:rsid w:val="00B41DF2"/>
    <w:rsid w:val="00B51105"/>
    <w:rsid w:val="00B52DE2"/>
    <w:rsid w:val="00B535DA"/>
    <w:rsid w:val="00B550D1"/>
    <w:rsid w:val="00B55683"/>
    <w:rsid w:val="00B55C35"/>
    <w:rsid w:val="00B61C52"/>
    <w:rsid w:val="00B63EF0"/>
    <w:rsid w:val="00B64F08"/>
    <w:rsid w:val="00B82B3D"/>
    <w:rsid w:val="00B82F9F"/>
    <w:rsid w:val="00B83753"/>
    <w:rsid w:val="00BA2F42"/>
    <w:rsid w:val="00BA3D44"/>
    <w:rsid w:val="00BA48C2"/>
    <w:rsid w:val="00BA579D"/>
    <w:rsid w:val="00BB3EDB"/>
    <w:rsid w:val="00BB5B01"/>
    <w:rsid w:val="00BC64E6"/>
    <w:rsid w:val="00BD29C2"/>
    <w:rsid w:val="00BD5FB2"/>
    <w:rsid w:val="00BE4534"/>
    <w:rsid w:val="00BE7972"/>
    <w:rsid w:val="00BF52CF"/>
    <w:rsid w:val="00BF7FEC"/>
    <w:rsid w:val="00C067BF"/>
    <w:rsid w:val="00C06E23"/>
    <w:rsid w:val="00C12126"/>
    <w:rsid w:val="00C23D67"/>
    <w:rsid w:val="00C35A13"/>
    <w:rsid w:val="00C45315"/>
    <w:rsid w:val="00C50C68"/>
    <w:rsid w:val="00C510AC"/>
    <w:rsid w:val="00C567D8"/>
    <w:rsid w:val="00C62418"/>
    <w:rsid w:val="00C6486B"/>
    <w:rsid w:val="00C65A47"/>
    <w:rsid w:val="00C7577A"/>
    <w:rsid w:val="00C854D2"/>
    <w:rsid w:val="00C8622C"/>
    <w:rsid w:val="00CA22FD"/>
    <w:rsid w:val="00CA3F58"/>
    <w:rsid w:val="00CC474E"/>
    <w:rsid w:val="00CE144C"/>
    <w:rsid w:val="00CE6E33"/>
    <w:rsid w:val="00CF25FB"/>
    <w:rsid w:val="00CF52E2"/>
    <w:rsid w:val="00D05732"/>
    <w:rsid w:val="00D11ACE"/>
    <w:rsid w:val="00D15344"/>
    <w:rsid w:val="00D21A58"/>
    <w:rsid w:val="00D22C9F"/>
    <w:rsid w:val="00D23C71"/>
    <w:rsid w:val="00D328E4"/>
    <w:rsid w:val="00D40D26"/>
    <w:rsid w:val="00D421C8"/>
    <w:rsid w:val="00D461B3"/>
    <w:rsid w:val="00D5137F"/>
    <w:rsid w:val="00D51EAE"/>
    <w:rsid w:val="00D56DE3"/>
    <w:rsid w:val="00D81F73"/>
    <w:rsid w:val="00D84C3B"/>
    <w:rsid w:val="00D85613"/>
    <w:rsid w:val="00D85A57"/>
    <w:rsid w:val="00D892BC"/>
    <w:rsid w:val="00D93F35"/>
    <w:rsid w:val="00D949C6"/>
    <w:rsid w:val="00DA251D"/>
    <w:rsid w:val="00DA2712"/>
    <w:rsid w:val="00DA37FF"/>
    <w:rsid w:val="00DA5E45"/>
    <w:rsid w:val="00DA64ED"/>
    <w:rsid w:val="00DB279B"/>
    <w:rsid w:val="00DC1A3E"/>
    <w:rsid w:val="00DC6EC8"/>
    <w:rsid w:val="00DC7639"/>
    <w:rsid w:val="00DD763B"/>
    <w:rsid w:val="00DE3B99"/>
    <w:rsid w:val="00DE6B0E"/>
    <w:rsid w:val="00DF0300"/>
    <w:rsid w:val="00DF6505"/>
    <w:rsid w:val="00E10A1E"/>
    <w:rsid w:val="00E135C1"/>
    <w:rsid w:val="00E17F29"/>
    <w:rsid w:val="00E32999"/>
    <w:rsid w:val="00E36B68"/>
    <w:rsid w:val="00E378C1"/>
    <w:rsid w:val="00E46EB1"/>
    <w:rsid w:val="00E515AF"/>
    <w:rsid w:val="00E57B58"/>
    <w:rsid w:val="00E612F4"/>
    <w:rsid w:val="00E61B98"/>
    <w:rsid w:val="00E63222"/>
    <w:rsid w:val="00E634CE"/>
    <w:rsid w:val="00E72F5E"/>
    <w:rsid w:val="00E73CD4"/>
    <w:rsid w:val="00E84703"/>
    <w:rsid w:val="00E9345A"/>
    <w:rsid w:val="00E979BD"/>
    <w:rsid w:val="00E97C9D"/>
    <w:rsid w:val="00EA7023"/>
    <w:rsid w:val="00EB3944"/>
    <w:rsid w:val="00EB4871"/>
    <w:rsid w:val="00EB48F9"/>
    <w:rsid w:val="00EB5FA7"/>
    <w:rsid w:val="00EC224F"/>
    <w:rsid w:val="00EC73EC"/>
    <w:rsid w:val="00EC7FE5"/>
    <w:rsid w:val="00EF1F08"/>
    <w:rsid w:val="00F11EB3"/>
    <w:rsid w:val="00F120CA"/>
    <w:rsid w:val="00F1508E"/>
    <w:rsid w:val="00F23837"/>
    <w:rsid w:val="00F3049D"/>
    <w:rsid w:val="00F360EF"/>
    <w:rsid w:val="00F37AF1"/>
    <w:rsid w:val="00F5016C"/>
    <w:rsid w:val="00F51A8C"/>
    <w:rsid w:val="00F56CED"/>
    <w:rsid w:val="00F60838"/>
    <w:rsid w:val="00F63772"/>
    <w:rsid w:val="00F71C65"/>
    <w:rsid w:val="00F73589"/>
    <w:rsid w:val="00F7372E"/>
    <w:rsid w:val="00F76AE2"/>
    <w:rsid w:val="00F78646"/>
    <w:rsid w:val="00F82A7F"/>
    <w:rsid w:val="00F85627"/>
    <w:rsid w:val="00FB4A74"/>
    <w:rsid w:val="00FD2B9B"/>
    <w:rsid w:val="00FE0E4F"/>
    <w:rsid w:val="00FE1F29"/>
    <w:rsid w:val="00FE25F5"/>
    <w:rsid w:val="00FE7505"/>
    <w:rsid w:val="00FF09DB"/>
    <w:rsid w:val="00FF2813"/>
    <w:rsid w:val="00FF49F0"/>
    <w:rsid w:val="00FF5B06"/>
    <w:rsid w:val="00FF78FC"/>
    <w:rsid w:val="019CA5E6"/>
    <w:rsid w:val="01AEF7F7"/>
    <w:rsid w:val="01F5F608"/>
    <w:rsid w:val="021FBE7A"/>
    <w:rsid w:val="02212574"/>
    <w:rsid w:val="0268388F"/>
    <w:rsid w:val="0291571F"/>
    <w:rsid w:val="02D79DE3"/>
    <w:rsid w:val="02EFA8E9"/>
    <w:rsid w:val="030CCEB7"/>
    <w:rsid w:val="0312ABE9"/>
    <w:rsid w:val="033D16A1"/>
    <w:rsid w:val="034AC52E"/>
    <w:rsid w:val="03890BA8"/>
    <w:rsid w:val="03D3A636"/>
    <w:rsid w:val="04F8F1FE"/>
    <w:rsid w:val="0510CE05"/>
    <w:rsid w:val="056A8C73"/>
    <w:rsid w:val="05750F18"/>
    <w:rsid w:val="05C8B0EE"/>
    <w:rsid w:val="05DDD314"/>
    <w:rsid w:val="05E159F0"/>
    <w:rsid w:val="0610F5B6"/>
    <w:rsid w:val="06119FA4"/>
    <w:rsid w:val="0633F1AD"/>
    <w:rsid w:val="0636503C"/>
    <w:rsid w:val="0677C1D2"/>
    <w:rsid w:val="07267326"/>
    <w:rsid w:val="0767FA7D"/>
    <w:rsid w:val="0774946B"/>
    <w:rsid w:val="077B2F95"/>
    <w:rsid w:val="07EBCEAB"/>
    <w:rsid w:val="07F716E4"/>
    <w:rsid w:val="0820BF34"/>
    <w:rsid w:val="08C26BFC"/>
    <w:rsid w:val="08C2D889"/>
    <w:rsid w:val="08E1E5B4"/>
    <w:rsid w:val="09487747"/>
    <w:rsid w:val="095225D7"/>
    <w:rsid w:val="09658FFB"/>
    <w:rsid w:val="0967395C"/>
    <w:rsid w:val="0AF97A90"/>
    <w:rsid w:val="0B157979"/>
    <w:rsid w:val="0B242D66"/>
    <w:rsid w:val="0B38F435"/>
    <w:rsid w:val="0B695182"/>
    <w:rsid w:val="0B878BEF"/>
    <w:rsid w:val="0B8E93D0"/>
    <w:rsid w:val="0BAB4D4D"/>
    <w:rsid w:val="0BCBF313"/>
    <w:rsid w:val="0BD046C1"/>
    <w:rsid w:val="0C8EF410"/>
    <w:rsid w:val="0CA195F0"/>
    <w:rsid w:val="0CF2C444"/>
    <w:rsid w:val="0D04D261"/>
    <w:rsid w:val="0D148AE9"/>
    <w:rsid w:val="0D3FC5FA"/>
    <w:rsid w:val="0D4D004C"/>
    <w:rsid w:val="0D843816"/>
    <w:rsid w:val="0DF641DB"/>
    <w:rsid w:val="0E3C0AB1"/>
    <w:rsid w:val="0E3DE343"/>
    <w:rsid w:val="0EFD0847"/>
    <w:rsid w:val="0F3B34AB"/>
    <w:rsid w:val="0F610BAB"/>
    <w:rsid w:val="0F7D0C0C"/>
    <w:rsid w:val="0FC89090"/>
    <w:rsid w:val="1007C58C"/>
    <w:rsid w:val="10234600"/>
    <w:rsid w:val="106608F1"/>
    <w:rsid w:val="107CDD7F"/>
    <w:rsid w:val="10C79403"/>
    <w:rsid w:val="11AF1F54"/>
    <w:rsid w:val="1235AB81"/>
    <w:rsid w:val="124A9E30"/>
    <w:rsid w:val="124E3D3E"/>
    <w:rsid w:val="1289E21D"/>
    <w:rsid w:val="12E6C1D0"/>
    <w:rsid w:val="12FFFB5D"/>
    <w:rsid w:val="131C6A56"/>
    <w:rsid w:val="136F5981"/>
    <w:rsid w:val="137D6857"/>
    <w:rsid w:val="13BD4809"/>
    <w:rsid w:val="13BDE1EA"/>
    <w:rsid w:val="13CB6F20"/>
    <w:rsid w:val="145100CF"/>
    <w:rsid w:val="146C5C09"/>
    <w:rsid w:val="14790F8B"/>
    <w:rsid w:val="150CDF77"/>
    <w:rsid w:val="151477EB"/>
    <w:rsid w:val="1561A83B"/>
    <w:rsid w:val="162A1044"/>
    <w:rsid w:val="16855864"/>
    <w:rsid w:val="168C2908"/>
    <w:rsid w:val="16989603"/>
    <w:rsid w:val="16F359DA"/>
    <w:rsid w:val="17186219"/>
    <w:rsid w:val="1723F100"/>
    <w:rsid w:val="172B8DA7"/>
    <w:rsid w:val="1786DC80"/>
    <w:rsid w:val="18299A92"/>
    <w:rsid w:val="182CFAB0"/>
    <w:rsid w:val="187F48A7"/>
    <w:rsid w:val="189CF362"/>
    <w:rsid w:val="18FE9175"/>
    <w:rsid w:val="19195117"/>
    <w:rsid w:val="19B30A1F"/>
    <w:rsid w:val="1A6F34DD"/>
    <w:rsid w:val="1AC0D59E"/>
    <w:rsid w:val="1AD0A245"/>
    <w:rsid w:val="1BAF4340"/>
    <w:rsid w:val="1C03AE18"/>
    <w:rsid w:val="1C71A1D9"/>
    <w:rsid w:val="1CA94B84"/>
    <w:rsid w:val="1CFE46EC"/>
    <w:rsid w:val="1D6A8C19"/>
    <w:rsid w:val="1D71E98F"/>
    <w:rsid w:val="1D855D09"/>
    <w:rsid w:val="1DA177DC"/>
    <w:rsid w:val="1DA9A606"/>
    <w:rsid w:val="1DE6AFCB"/>
    <w:rsid w:val="1E0215C6"/>
    <w:rsid w:val="1E0D99F0"/>
    <w:rsid w:val="1F91A094"/>
    <w:rsid w:val="1FDFFB5B"/>
    <w:rsid w:val="2014D07B"/>
    <w:rsid w:val="206CB6F7"/>
    <w:rsid w:val="20991736"/>
    <w:rsid w:val="209B1019"/>
    <w:rsid w:val="20B1AFE8"/>
    <w:rsid w:val="20BDD29C"/>
    <w:rsid w:val="20C50113"/>
    <w:rsid w:val="214D898F"/>
    <w:rsid w:val="21556D1E"/>
    <w:rsid w:val="21B71996"/>
    <w:rsid w:val="21F37555"/>
    <w:rsid w:val="220F44F3"/>
    <w:rsid w:val="22119C42"/>
    <w:rsid w:val="221BD432"/>
    <w:rsid w:val="2224EDF1"/>
    <w:rsid w:val="222B5B9C"/>
    <w:rsid w:val="228FE406"/>
    <w:rsid w:val="22BA4377"/>
    <w:rsid w:val="22E527AF"/>
    <w:rsid w:val="230068FC"/>
    <w:rsid w:val="23647E3F"/>
    <w:rsid w:val="23E30C4D"/>
    <w:rsid w:val="242E6B84"/>
    <w:rsid w:val="2448DE7E"/>
    <w:rsid w:val="2478ECE4"/>
    <w:rsid w:val="247A12C0"/>
    <w:rsid w:val="248C4C6E"/>
    <w:rsid w:val="25063472"/>
    <w:rsid w:val="259BC68C"/>
    <w:rsid w:val="25A00CD3"/>
    <w:rsid w:val="25EC5FC0"/>
    <w:rsid w:val="2608A247"/>
    <w:rsid w:val="26253A99"/>
    <w:rsid w:val="2631C505"/>
    <w:rsid w:val="2699B463"/>
    <w:rsid w:val="26C8B1C9"/>
    <w:rsid w:val="26E7B25D"/>
    <w:rsid w:val="27159F96"/>
    <w:rsid w:val="276D434B"/>
    <w:rsid w:val="27A444E7"/>
    <w:rsid w:val="27DC5E03"/>
    <w:rsid w:val="27F3D665"/>
    <w:rsid w:val="288F7A89"/>
    <w:rsid w:val="294AEC97"/>
    <w:rsid w:val="29748950"/>
    <w:rsid w:val="2996D5AA"/>
    <w:rsid w:val="29BC3B58"/>
    <w:rsid w:val="2A417C0A"/>
    <w:rsid w:val="2ABF8766"/>
    <w:rsid w:val="2B4A1CD9"/>
    <w:rsid w:val="2B551708"/>
    <w:rsid w:val="2B7F0A89"/>
    <w:rsid w:val="2BA0D24E"/>
    <w:rsid w:val="2C402647"/>
    <w:rsid w:val="2C60AB40"/>
    <w:rsid w:val="2C9A9422"/>
    <w:rsid w:val="2CAC74A4"/>
    <w:rsid w:val="2CDE37DE"/>
    <w:rsid w:val="2CF7DFF0"/>
    <w:rsid w:val="2CFC6AB4"/>
    <w:rsid w:val="2D002F59"/>
    <w:rsid w:val="2D297774"/>
    <w:rsid w:val="2D45CD11"/>
    <w:rsid w:val="2D834BD9"/>
    <w:rsid w:val="2DC31F24"/>
    <w:rsid w:val="2E149962"/>
    <w:rsid w:val="2E9C7947"/>
    <w:rsid w:val="2EC71FD5"/>
    <w:rsid w:val="2F149F5A"/>
    <w:rsid w:val="2F1FE2C0"/>
    <w:rsid w:val="2F34E29A"/>
    <w:rsid w:val="2FB79163"/>
    <w:rsid w:val="30018A3E"/>
    <w:rsid w:val="302053DD"/>
    <w:rsid w:val="304A19B7"/>
    <w:rsid w:val="30715E08"/>
    <w:rsid w:val="3079D27D"/>
    <w:rsid w:val="30E01999"/>
    <w:rsid w:val="31174844"/>
    <w:rsid w:val="31412CA3"/>
    <w:rsid w:val="322D68D5"/>
    <w:rsid w:val="328154B7"/>
    <w:rsid w:val="329D2EB6"/>
    <w:rsid w:val="32B83688"/>
    <w:rsid w:val="32E657C3"/>
    <w:rsid w:val="3344C16E"/>
    <w:rsid w:val="33676558"/>
    <w:rsid w:val="348689DB"/>
    <w:rsid w:val="34E3EA7B"/>
    <w:rsid w:val="34F7A06D"/>
    <w:rsid w:val="350BED59"/>
    <w:rsid w:val="35A88846"/>
    <w:rsid w:val="35B4D2E5"/>
    <w:rsid w:val="35EDCBA0"/>
    <w:rsid w:val="35FE08D2"/>
    <w:rsid w:val="36422B9A"/>
    <w:rsid w:val="36782E4E"/>
    <w:rsid w:val="3688C83A"/>
    <w:rsid w:val="36B49EE3"/>
    <w:rsid w:val="36D1F739"/>
    <w:rsid w:val="37272254"/>
    <w:rsid w:val="376AE575"/>
    <w:rsid w:val="37882C27"/>
    <w:rsid w:val="38433BF1"/>
    <w:rsid w:val="385A3765"/>
    <w:rsid w:val="386263E7"/>
    <w:rsid w:val="387D2F9A"/>
    <w:rsid w:val="38842113"/>
    <w:rsid w:val="38E15318"/>
    <w:rsid w:val="3987AF74"/>
    <w:rsid w:val="39985D14"/>
    <w:rsid w:val="39D915F6"/>
    <w:rsid w:val="3A845671"/>
    <w:rsid w:val="3AB41C76"/>
    <w:rsid w:val="3AC17664"/>
    <w:rsid w:val="3AF0AA96"/>
    <w:rsid w:val="3B29FC85"/>
    <w:rsid w:val="3B31F17C"/>
    <w:rsid w:val="3B5B690C"/>
    <w:rsid w:val="3B6744DC"/>
    <w:rsid w:val="3B964752"/>
    <w:rsid w:val="3BBABF82"/>
    <w:rsid w:val="3C0852E1"/>
    <w:rsid w:val="3C0AB949"/>
    <w:rsid w:val="3C52A248"/>
    <w:rsid w:val="3C64B266"/>
    <w:rsid w:val="3C70296A"/>
    <w:rsid w:val="3C822703"/>
    <w:rsid w:val="3CD67925"/>
    <w:rsid w:val="3D040FF4"/>
    <w:rsid w:val="3D2AB394"/>
    <w:rsid w:val="3D2AD546"/>
    <w:rsid w:val="3D467867"/>
    <w:rsid w:val="3D538D5C"/>
    <w:rsid w:val="3D5F41F3"/>
    <w:rsid w:val="3D9196CC"/>
    <w:rsid w:val="3DB9EB17"/>
    <w:rsid w:val="3E18332E"/>
    <w:rsid w:val="3E5E2A59"/>
    <w:rsid w:val="3E728AB5"/>
    <w:rsid w:val="3EB59444"/>
    <w:rsid w:val="3EBA2D8C"/>
    <w:rsid w:val="3ED94023"/>
    <w:rsid w:val="3EEDB599"/>
    <w:rsid w:val="3F30F51A"/>
    <w:rsid w:val="3F6357E7"/>
    <w:rsid w:val="3F968E68"/>
    <w:rsid w:val="3FF4E0D1"/>
    <w:rsid w:val="404911A9"/>
    <w:rsid w:val="409245CD"/>
    <w:rsid w:val="40E2BA7B"/>
    <w:rsid w:val="40E4FF8F"/>
    <w:rsid w:val="40F37EED"/>
    <w:rsid w:val="412B035F"/>
    <w:rsid w:val="41475272"/>
    <w:rsid w:val="41503B7C"/>
    <w:rsid w:val="41800E9B"/>
    <w:rsid w:val="4186E4FA"/>
    <w:rsid w:val="41AE5781"/>
    <w:rsid w:val="41DBD094"/>
    <w:rsid w:val="4222D55E"/>
    <w:rsid w:val="42333B22"/>
    <w:rsid w:val="4293DEC4"/>
    <w:rsid w:val="4297C9BE"/>
    <w:rsid w:val="42988672"/>
    <w:rsid w:val="42D5D022"/>
    <w:rsid w:val="42DAF3AC"/>
    <w:rsid w:val="42EB2D2A"/>
    <w:rsid w:val="42F63396"/>
    <w:rsid w:val="432A49D0"/>
    <w:rsid w:val="438305CA"/>
    <w:rsid w:val="4392B376"/>
    <w:rsid w:val="43B18655"/>
    <w:rsid w:val="43C80197"/>
    <w:rsid w:val="4422C071"/>
    <w:rsid w:val="4460B964"/>
    <w:rsid w:val="446223F4"/>
    <w:rsid w:val="44C6AE26"/>
    <w:rsid w:val="44CB43BA"/>
    <w:rsid w:val="45030733"/>
    <w:rsid w:val="452057A1"/>
    <w:rsid w:val="45369F4B"/>
    <w:rsid w:val="459C43B2"/>
    <w:rsid w:val="45A11417"/>
    <w:rsid w:val="45AEB4AA"/>
    <w:rsid w:val="45ED5558"/>
    <w:rsid w:val="46081BF4"/>
    <w:rsid w:val="46132C60"/>
    <w:rsid w:val="46269FB4"/>
    <w:rsid w:val="462C2B24"/>
    <w:rsid w:val="46808C44"/>
    <w:rsid w:val="470D67B5"/>
    <w:rsid w:val="4762C975"/>
    <w:rsid w:val="477CF235"/>
    <w:rsid w:val="47DB34CA"/>
    <w:rsid w:val="480E03B0"/>
    <w:rsid w:val="482E4BAA"/>
    <w:rsid w:val="4897AD70"/>
    <w:rsid w:val="490F48D9"/>
    <w:rsid w:val="492AA228"/>
    <w:rsid w:val="49364F8D"/>
    <w:rsid w:val="4937D062"/>
    <w:rsid w:val="4950C332"/>
    <w:rsid w:val="49512481"/>
    <w:rsid w:val="496E0E22"/>
    <w:rsid w:val="49DB19B9"/>
    <w:rsid w:val="4A4EEA91"/>
    <w:rsid w:val="4ADC65A6"/>
    <w:rsid w:val="4B0CE84E"/>
    <w:rsid w:val="4B7418BE"/>
    <w:rsid w:val="4BF08648"/>
    <w:rsid w:val="4C6CBF95"/>
    <w:rsid w:val="4CC6EA6B"/>
    <w:rsid w:val="4D3FC0C3"/>
    <w:rsid w:val="4D53ED49"/>
    <w:rsid w:val="4D65F509"/>
    <w:rsid w:val="4DA8B718"/>
    <w:rsid w:val="4DC1D7C0"/>
    <w:rsid w:val="4DEA14C9"/>
    <w:rsid w:val="4DF25B1C"/>
    <w:rsid w:val="4E0126F7"/>
    <w:rsid w:val="4E2FCC88"/>
    <w:rsid w:val="4E5CEEF4"/>
    <w:rsid w:val="4E820302"/>
    <w:rsid w:val="4FAC6772"/>
    <w:rsid w:val="4FDC795A"/>
    <w:rsid w:val="4FFADFC5"/>
    <w:rsid w:val="501A8D38"/>
    <w:rsid w:val="5031D347"/>
    <w:rsid w:val="50631767"/>
    <w:rsid w:val="50644250"/>
    <w:rsid w:val="50AA09C0"/>
    <w:rsid w:val="50B90724"/>
    <w:rsid w:val="50BD0512"/>
    <w:rsid w:val="514F61A0"/>
    <w:rsid w:val="515C21E4"/>
    <w:rsid w:val="51749400"/>
    <w:rsid w:val="51BBA522"/>
    <w:rsid w:val="51C6E5AE"/>
    <w:rsid w:val="52172790"/>
    <w:rsid w:val="52586B75"/>
    <w:rsid w:val="529BD40B"/>
    <w:rsid w:val="52BC0076"/>
    <w:rsid w:val="533CB62E"/>
    <w:rsid w:val="53598FD6"/>
    <w:rsid w:val="53B145AF"/>
    <w:rsid w:val="548EAAAD"/>
    <w:rsid w:val="54B82C07"/>
    <w:rsid w:val="54C7E744"/>
    <w:rsid w:val="54F689BE"/>
    <w:rsid w:val="55053401"/>
    <w:rsid w:val="55113BF1"/>
    <w:rsid w:val="552ED16F"/>
    <w:rsid w:val="55E535B8"/>
    <w:rsid w:val="561F26DB"/>
    <w:rsid w:val="56718C26"/>
    <w:rsid w:val="56C2FBE7"/>
    <w:rsid w:val="56E34A48"/>
    <w:rsid w:val="575298D5"/>
    <w:rsid w:val="57597ECF"/>
    <w:rsid w:val="57C2899E"/>
    <w:rsid w:val="57F71D55"/>
    <w:rsid w:val="57F98D49"/>
    <w:rsid w:val="580EC8E0"/>
    <w:rsid w:val="586C291A"/>
    <w:rsid w:val="5870ABA2"/>
    <w:rsid w:val="58B62150"/>
    <w:rsid w:val="58F265F3"/>
    <w:rsid w:val="5900CB0C"/>
    <w:rsid w:val="594053F0"/>
    <w:rsid w:val="5950D49F"/>
    <w:rsid w:val="596E94C6"/>
    <w:rsid w:val="59E091E3"/>
    <w:rsid w:val="5A069261"/>
    <w:rsid w:val="5A527F9B"/>
    <w:rsid w:val="5A55680E"/>
    <w:rsid w:val="5A67636D"/>
    <w:rsid w:val="5A7BA149"/>
    <w:rsid w:val="5AB9A3B1"/>
    <w:rsid w:val="5AD376FE"/>
    <w:rsid w:val="5AD47BD3"/>
    <w:rsid w:val="5B0830BB"/>
    <w:rsid w:val="5B2FD151"/>
    <w:rsid w:val="5B4EA5CA"/>
    <w:rsid w:val="5BB3C578"/>
    <w:rsid w:val="5BC5A2A3"/>
    <w:rsid w:val="5BFB20F0"/>
    <w:rsid w:val="5BFF56F2"/>
    <w:rsid w:val="5C3B7C2C"/>
    <w:rsid w:val="5CB47952"/>
    <w:rsid w:val="5D71E4E4"/>
    <w:rsid w:val="5D88FF44"/>
    <w:rsid w:val="5E119B58"/>
    <w:rsid w:val="5E54B655"/>
    <w:rsid w:val="5ED74ED6"/>
    <w:rsid w:val="5EF9F96C"/>
    <w:rsid w:val="5F067360"/>
    <w:rsid w:val="5F1C5FE3"/>
    <w:rsid w:val="5FA1A31B"/>
    <w:rsid w:val="5FA6CB0D"/>
    <w:rsid w:val="6003EB88"/>
    <w:rsid w:val="601064C8"/>
    <w:rsid w:val="602D83BF"/>
    <w:rsid w:val="6059D3D1"/>
    <w:rsid w:val="60C1F615"/>
    <w:rsid w:val="60D57E1B"/>
    <w:rsid w:val="60DA71C8"/>
    <w:rsid w:val="6104338C"/>
    <w:rsid w:val="61081C59"/>
    <w:rsid w:val="616F1F33"/>
    <w:rsid w:val="619FE917"/>
    <w:rsid w:val="61B296A4"/>
    <w:rsid w:val="61C13F26"/>
    <w:rsid w:val="61D0AB28"/>
    <w:rsid w:val="61D92D40"/>
    <w:rsid w:val="6236E0F3"/>
    <w:rsid w:val="6238A1EB"/>
    <w:rsid w:val="62830B40"/>
    <w:rsid w:val="629B38B2"/>
    <w:rsid w:val="62D11EB1"/>
    <w:rsid w:val="633C1446"/>
    <w:rsid w:val="63794B5B"/>
    <w:rsid w:val="638E5002"/>
    <w:rsid w:val="6394CB10"/>
    <w:rsid w:val="6406B3D4"/>
    <w:rsid w:val="6407B4CB"/>
    <w:rsid w:val="64251264"/>
    <w:rsid w:val="6428097F"/>
    <w:rsid w:val="6485281C"/>
    <w:rsid w:val="64A9FF4F"/>
    <w:rsid w:val="64D21A3A"/>
    <w:rsid w:val="6552DC1E"/>
    <w:rsid w:val="65882D8C"/>
    <w:rsid w:val="6597D8BF"/>
    <w:rsid w:val="660FD656"/>
    <w:rsid w:val="662721C0"/>
    <w:rsid w:val="66366983"/>
    <w:rsid w:val="66379D1D"/>
    <w:rsid w:val="667E1F52"/>
    <w:rsid w:val="6685C129"/>
    <w:rsid w:val="66B2FE1E"/>
    <w:rsid w:val="66FDAAC5"/>
    <w:rsid w:val="67776A0F"/>
    <w:rsid w:val="6782DEFB"/>
    <w:rsid w:val="679F7DB7"/>
    <w:rsid w:val="67A50553"/>
    <w:rsid w:val="67ACFF9D"/>
    <w:rsid w:val="686C1481"/>
    <w:rsid w:val="68EC3891"/>
    <w:rsid w:val="692163BE"/>
    <w:rsid w:val="6A11295F"/>
    <w:rsid w:val="6A5416C4"/>
    <w:rsid w:val="6A59FB54"/>
    <w:rsid w:val="6A6C0653"/>
    <w:rsid w:val="6A7EF9EB"/>
    <w:rsid w:val="6AAEFE2D"/>
    <w:rsid w:val="6ABB5326"/>
    <w:rsid w:val="6B1663A6"/>
    <w:rsid w:val="6B2C9ABE"/>
    <w:rsid w:val="6B8CBE9F"/>
    <w:rsid w:val="6B9176F0"/>
    <w:rsid w:val="6BC677A3"/>
    <w:rsid w:val="6C1F9FD8"/>
    <w:rsid w:val="6CAA0233"/>
    <w:rsid w:val="6CD26927"/>
    <w:rsid w:val="6CDD1D95"/>
    <w:rsid w:val="6D12E220"/>
    <w:rsid w:val="6D3C6980"/>
    <w:rsid w:val="6D53E1B4"/>
    <w:rsid w:val="6D5FB8CB"/>
    <w:rsid w:val="6DD4280A"/>
    <w:rsid w:val="6DE48E28"/>
    <w:rsid w:val="6E7727E8"/>
    <w:rsid w:val="6EC6CCEF"/>
    <w:rsid w:val="6EEF8F10"/>
    <w:rsid w:val="6F8CC600"/>
    <w:rsid w:val="6FE1B1D1"/>
    <w:rsid w:val="703AF4C3"/>
    <w:rsid w:val="707AF2CE"/>
    <w:rsid w:val="708D6424"/>
    <w:rsid w:val="70910979"/>
    <w:rsid w:val="70B52D6F"/>
    <w:rsid w:val="70B6FB02"/>
    <w:rsid w:val="714EE555"/>
    <w:rsid w:val="71BE8733"/>
    <w:rsid w:val="720C0F1E"/>
    <w:rsid w:val="7255EA2B"/>
    <w:rsid w:val="727849DD"/>
    <w:rsid w:val="727B202E"/>
    <w:rsid w:val="728C6180"/>
    <w:rsid w:val="72A8D942"/>
    <w:rsid w:val="72E2DEB4"/>
    <w:rsid w:val="734D13AB"/>
    <w:rsid w:val="73A81818"/>
    <w:rsid w:val="73DF2BE5"/>
    <w:rsid w:val="73F76D7F"/>
    <w:rsid w:val="74304762"/>
    <w:rsid w:val="745DABFB"/>
    <w:rsid w:val="747CBE07"/>
    <w:rsid w:val="74973B84"/>
    <w:rsid w:val="74CD007E"/>
    <w:rsid w:val="7566AECE"/>
    <w:rsid w:val="759B74CA"/>
    <w:rsid w:val="75F60D14"/>
    <w:rsid w:val="76043844"/>
    <w:rsid w:val="765AD8F6"/>
    <w:rsid w:val="768DEC3A"/>
    <w:rsid w:val="768EFE31"/>
    <w:rsid w:val="76904A08"/>
    <w:rsid w:val="776D543D"/>
    <w:rsid w:val="77A264B1"/>
    <w:rsid w:val="77A94586"/>
    <w:rsid w:val="77EB2299"/>
    <w:rsid w:val="7807B02A"/>
    <w:rsid w:val="78303BD3"/>
    <w:rsid w:val="787CD9E1"/>
    <w:rsid w:val="788A104D"/>
    <w:rsid w:val="78A8571F"/>
    <w:rsid w:val="78AE0654"/>
    <w:rsid w:val="78D53303"/>
    <w:rsid w:val="79DAFF10"/>
    <w:rsid w:val="7A179B92"/>
    <w:rsid w:val="7A438E80"/>
    <w:rsid w:val="7A6546FC"/>
    <w:rsid w:val="7A721311"/>
    <w:rsid w:val="7A765147"/>
    <w:rsid w:val="7AD01D4F"/>
    <w:rsid w:val="7AFC6138"/>
    <w:rsid w:val="7AFE8AC8"/>
    <w:rsid w:val="7BF399EE"/>
    <w:rsid w:val="7C0896E4"/>
    <w:rsid w:val="7C393187"/>
    <w:rsid w:val="7C401718"/>
    <w:rsid w:val="7C443223"/>
    <w:rsid w:val="7C558458"/>
    <w:rsid w:val="7CECD41D"/>
    <w:rsid w:val="7CF64CB8"/>
    <w:rsid w:val="7D51821A"/>
    <w:rsid w:val="7D836AF4"/>
    <w:rsid w:val="7E41346F"/>
    <w:rsid w:val="7E893232"/>
    <w:rsid w:val="7EE2B622"/>
    <w:rsid w:val="7EF41E0B"/>
    <w:rsid w:val="7F3899F8"/>
    <w:rsid w:val="7F56D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940E7C"/>
  <w15:docId w15:val="{3933017B-5B12-4190-B9C3-C5415260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06"/>
    <w:pPr>
      <w:spacing w:after="120" w:line="240" w:lineRule="auto"/>
    </w:pPr>
    <w:rPr>
      <w:rFonts w:eastAsia="Times New Roman" w:cs="Times New Roman"/>
      <w:color w:val="404040" w:themeColor="text1" w:themeTint="BF"/>
      <w:sz w:val="23"/>
      <w:szCs w:val="20"/>
    </w:rPr>
  </w:style>
  <w:style w:type="paragraph" w:styleId="Heading1">
    <w:name w:val="heading 1"/>
    <w:basedOn w:val="Normal"/>
    <w:next w:val="Normal"/>
    <w:link w:val="Heading1Char"/>
    <w:qFormat/>
    <w:rsid w:val="00056BFE"/>
    <w:pPr>
      <w:keepNext/>
      <w:keepLines/>
      <w:spacing w:before="480" w:after="240"/>
      <w:outlineLvl w:val="0"/>
    </w:pPr>
    <w:rPr>
      <w:rFonts w:eastAsiaTheme="majorEastAsia" w:cstheme="majorBidi"/>
      <w:bCs/>
      <w:caps/>
      <w:color w:val="365F91" w:themeColor="accent1" w:themeShade="BF"/>
      <w:sz w:val="36"/>
      <w:szCs w:val="28"/>
    </w:rPr>
  </w:style>
  <w:style w:type="paragraph" w:styleId="Heading2">
    <w:name w:val="heading 2"/>
    <w:basedOn w:val="Normal"/>
    <w:next w:val="Normal"/>
    <w:link w:val="Heading2Char"/>
    <w:unhideWhenUsed/>
    <w:qFormat/>
    <w:rsid w:val="00056BFE"/>
    <w:pPr>
      <w:keepNext/>
      <w:keepLines/>
      <w:spacing w:before="200"/>
      <w:outlineLvl w:val="1"/>
    </w:pPr>
    <w:rPr>
      <w:rFonts w:eastAsiaTheme="majorEastAsia" w:cstheme="majorBidi"/>
      <w:bCs/>
      <w:caps/>
      <w:color w:val="365F91"/>
      <w:sz w:val="28"/>
      <w:szCs w:val="26"/>
    </w:rPr>
  </w:style>
  <w:style w:type="paragraph" w:styleId="Heading4">
    <w:name w:val="heading 4"/>
    <w:basedOn w:val="Normal"/>
    <w:next w:val="Normal"/>
    <w:link w:val="Heading4Char"/>
    <w:rsid w:val="00056BFE"/>
    <w:pPr>
      <w:keepNext/>
      <w:tabs>
        <w:tab w:val="left" w:pos="720"/>
      </w:tabs>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FE"/>
    <w:rPr>
      <w:rFonts w:eastAsiaTheme="majorEastAsia" w:cstheme="majorBidi"/>
      <w:bCs/>
      <w:caps/>
      <w:color w:val="365F91" w:themeColor="accent1" w:themeShade="BF"/>
      <w:sz w:val="36"/>
      <w:szCs w:val="28"/>
    </w:rPr>
  </w:style>
  <w:style w:type="character" w:customStyle="1" w:styleId="Heading2Char">
    <w:name w:val="Heading 2 Char"/>
    <w:basedOn w:val="DefaultParagraphFont"/>
    <w:link w:val="Heading2"/>
    <w:rsid w:val="00056BFE"/>
    <w:rPr>
      <w:rFonts w:eastAsiaTheme="majorEastAsia" w:cstheme="majorBidi"/>
      <w:bCs/>
      <w:caps/>
      <w:color w:val="365F91"/>
      <w:sz w:val="28"/>
      <w:szCs w:val="26"/>
    </w:rPr>
  </w:style>
  <w:style w:type="character" w:customStyle="1" w:styleId="Heading4Char">
    <w:name w:val="Heading 4 Char"/>
    <w:basedOn w:val="DefaultParagraphFont"/>
    <w:link w:val="Heading4"/>
    <w:rsid w:val="00056BFE"/>
    <w:rPr>
      <w:rFonts w:eastAsia="Times New Roman" w:cs="Times New Roman"/>
      <w:b/>
      <w:color w:val="404040" w:themeColor="text1" w:themeTint="BF"/>
      <w:sz w:val="24"/>
      <w:szCs w:val="20"/>
    </w:rPr>
  </w:style>
  <w:style w:type="paragraph" w:styleId="FootnoteText">
    <w:name w:val="footnote text"/>
    <w:basedOn w:val="Normal"/>
    <w:link w:val="FootnoteTextChar"/>
    <w:rsid w:val="00056BFE"/>
    <w:rPr>
      <w:sz w:val="20"/>
    </w:rPr>
  </w:style>
  <w:style w:type="character" w:customStyle="1" w:styleId="FootnoteTextChar">
    <w:name w:val="Footnote Text Char"/>
    <w:basedOn w:val="DefaultParagraphFont"/>
    <w:link w:val="FootnoteText"/>
    <w:rsid w:val="00056BFE"/>
    <w:rPr>
      <w:rFonts w:eastAsia="Times New Roman" w:cs="Times New Roman"/>
      <w:color w:val="404040" w:themeColor="text1" w:themeTint="BF"/>
      <w:sz w:val="20"/>
      <w:szCs w:val="20"/>
    </w:rPr>
  </w:style>
  <w:style w:type="paragraph" w:styleId="Header">
    <w:name w:val="header"/>
    <w:basedOn w:val="Normal"/>
    <w:link w:val="HeaderChar"/>
    <w:rsid w:val="00056BFE"/>
    <w:pPr>
      <w:tabs>
        <w:tab w:val="center" w:pos="4320"/>
        <w:tab w:val="right" w:pos="8640"/>
      </w:tabs>
    </w:pPr>
  </w:style>
  <w:style w:type="character" w:customStyle="1" w:styleId="HeaderChar">
    <w:name w:val="Header Char"/>
    <w:basedOn w:val="DefaultParagraphFont"/>
    <w:link w:val="Header"/>
    <w:rsid w:val="00056BFE"/>
    <w:rPr>
      <w:rFonts w:eastAsia="Times New Roman" w:cs="Times New Roman"/>
      <w:color w:val="404040" w:themeColor="text1" w:themeTint="BF"/>
      <w:sz w:val="23"/>
      <w:szCs w:val="20"/>
    </w:rPr>
  </w:style>
  <w:style w:type="table" w:styleId="TableGrid">
    <w:name w:val="Table Grid"/>
    <w:basedOn w:val="TableNormal"/>
    <w:rsid w:val="00056B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056BFE"/>
    <w:rPr>
      <w:sz w:val="20"/>
      <w:szCs w:val="24"/>
    </w:rPr>
  </w:style>
  <w:style w:type="character" w:customStyle="1" w:styleId="BodyText3Char">
    <w:name w:val="Body Text 3 Char"/>
    <w:basedOn w:val="DefaultParagraphFont"/>
    <w:link w:val="BodyText3"/>
    <w:rsid w:val="00056BFE"/>
    <w:rPr>
      <w:rFonts w:eastAsia="Times New Roman" w:cs="Times New Roman"/>
      <w:color w:val="404040" w:themeColor="text1" w:themeTint="BF"/>
      <w:sz w:val="20"/>
      <w:szCs w:val="24"/>
    </w:rPr>
  </w:style>
  <w:style w:type="character" w:styleId="FootnoteReference">
    <w:name w:val="footnote reference"/>
    <w:basedOn w:val="DefaultParagraphFont"/>
    <w:rsid w:val="00056BFE"/>
    <w:rPr>
      <w:vertAlign w:val="superscript"/>
    </w:rPr>
  </w:style>
  <w:style w:type="paragraph" w:styleId="Footer">
    <w:name w:val="footer"/>
    <w:basedOn w:val="Normal"/>
    <w:link w:val="FooterChar"/>
    <w:uiPriority w:val="99"/>
    <w:rsid w:val="00056BFE"/>
    <w:pPr>
      <w:tabs>
        <w:tab w:val="center" w:pos="4320"/>
        <w:tab w:val="right" w:pos="8640"/>
      </w:tabs>
    </w:pPr>
  </w:style>
  <w:style w:type="character" w:customStyle="1" w:styleId="FooterChar">
    <w:name w:val="Footer Char"/>
    <w:basedOn w:val="DefaultParagraphFont"/>
    <w:link w:val="Footer"/>
    <w:uiPriority w:val="99"/>
    <w:rsid w:val="00056BFE"/>
    <w:rPr>
      <w:rFonts w:eastAsia="Times New Roman" w:cs="Times New Roman"/>
      <w:color w:val="404040" w:themeColor="text1" w:themeTint="BF"/>
      <w:sz w:val="23"/>
      <w:szCs w:val="20"/>
    </w:rPr>
  </w:style>
  <w:style w:type="character" w:styleId="Hyperlink">
    <w:name w:val="Hyperlink"/>
    <w:basedOn w:val="DefaultParagraphFont"/>
    <w:rsid w:val="00056BFE"/>
    <w:rPr>
      <w:color w:val="0000FF"/>
      <w:u w:val="single"/>
    </w:rPr>
  </w:style>
  <w:style w:type="paragraph" w:styleId="BodyTextIndent">
    <w:name w:val="Body Text Indent"/>
    <w:basedOn w:val="Normal"/>
    <w:link w:val="BodyTextIndentChar"/>
    <w:rsid w:val="00056BFE"/>
    <w:pPr>
      <w:ind w:left="360"/>
    </w:pPr>
  </w:style>
  <w:style w:type="character" w:customStyle="1" w:styleId="BodyTextIndentChar">
    <w:name w:val="Body Text Indent Char"/>
    <w:basedOn w:val="DefaultParagraphFont"/>
    <w:link w:val="BodyTextIndent"/>
    <w:rsid w:val="00056BFE"/>
    <w:rPr>
      <w:rFonts w:eastAsia="Times New Roman" w:cs="Times New Roman"/>
      <w:color w:val="404040" w:themeColor="text1" w:themeTint="BF"/>
      <w:sz w:val="23"/>
      <w:szCs w:val="20"/>
    </w:rPr>
  </w:style>
  <w:style w:type="character" w:styleId="CommentReference">
    <w:name w:val="annotation reference"/>
    <w:basedOn w:val="DefaultParagraphFont"/>
    <w:rsid w:val="00056BFE"/>
    <w:rPr>
      <w:sz w:val="16"/>
      <w:szCs w:val="16"/>
    </w:rPr>
  </w:style>
  <w:style w:type="paragraph" w:styleId="CommentText">
    <w:name w:val="annotation text"/>
    <w:basedOn w:val="Normal"/>
    <w:link w:val="CommentTextChar"/>
    <w:rsid w:val="00056BFE"/>
    <w:rPr>
      <w:sz w:val="20"/>
    </w:rPr>
  </w:style>
  <w:style w:type="character" w:customStyle="1" w:styleId="CommentTextChar">
    <w:name w:val="Comment Text Char"/>
    <w:basedOn w:val="DefaultParagraphFont"/>
    <w:link w:val="CommentText"/>
    <w:rsid w:val="00056BFE"/>
    <w:rPr>
      <w:rFonts w:eastAsia="Times New Roman" w:cs="Times New Roman"/>
      <w:color w:val="404040" w:themeColor="text1" w:themeTint="BF"/>
      <w:sz w:val="20"/>
      <w:szCs w:val="20"/>
    </w:rPr>
  </w:style>
  <w:style w:type="paragraph" w:styleId="BalloonText">
    <w:name w:val="Balloon Text"/>
    <w:basedOn w:val="Normal"/>
    <w:link w:val="BalloonTextChar"/>
    <w:rsid w:val="00056BFE"/>
    <w:rPr>
      <w:rFonts w:ascii="Tahoma" w:hAnsi="Tahoma" w:cs="Tahoma"/>
      <w:sz w:val="16"/>
      <w:szCs w:val="16"/>
    </w:rPr>
  </w:style>
  <w:style w:type="character" w:customStyle="1" w:styleId="BalloonTextChar">
    <w:name w:val="Balloon Text Char"/>
    <w:basedOn w:val="DefaultParagraphFont"/>
    <w:link w:val="BalloonText"/>
    <w:rsid w:val="00056BFE"/>
    <w:rPr>
      <w:rFonts w:ascii="Tahoma" w:eastAsia="Times New Roman" w:hAnsi="Tahoma" w:cs="Tahoma"/>
      <w:color w:val="404040" w:themeColor="text1" w:themeTint="BF"/>
      <w:sz w:val="16"/>
      <w:szCs w:val="16"/>
    </w:rPr>
  </w:style>
  <w:style w:type="paragraph" w:styleId="CommentSubject">
    <w:name w:val="annotation subject"/>
    <w:basedOn w:val="CommentText"/>
    <w:next w:val="CommentText"/>
    <w:link w:val="CommentSubjectChar"/>
    <w:rsid w:val="00056BFE"/>
    <w:rPr>
      <w:b/>
      <w:bCs/>
    </w:rPr>
  </w:style>
  <w:style w:type="character" w:customStyle="1" w:styleId="CommentSubjectChar">
    <w:name w:val="Comment Subject Char"/>
    <w:basedOn w:val="CommentTextChar"/>
    <w:link w:val="CommentSubject"/>
    <w:rsid w:val="00056BFE"/>
    <w:rPr>
      <w:rFonts w:eastAsia="Times New Roman" w:cs="Times New Roman"/>
      <w:b/>
      <w:bCs/>
      <w:color w:val="404040" w:themeColor="text1" w:themeTint="BF"/>
      <w:sz w:val="20"/>
      <w:szCs w:val="20"/>
    </w:rPr>
  </w:style>
  <w:style w:type="paragraph" w:styleId="DocumentMap">
    <w:name w:val="Document Map"/>
    <w:basedOn w:val="Normal"/>
    <w:link w:val="DocumentMapChar"/>
    <w:rsid w:val="00056BFE"/>
    <w:pPr>
      <w:shd w:val="clear" w:color="auto" w:fill="000080"/>
    </w:pPr>
    <w:rPr>
      <w:rFonts w:ascii="Tahoma" w:hAnsi="Tahoma" w:cs="Tahoma"/>
      <w:sz w:val="20"/>
    </w:rPr>
  </w:style>
  <w:style w:type="character" w:customStyle="1" w:styleId="DocumentMapChar">
    <w:name w:val="Document Map Char"/>
    <w:basedOn w:val="DefaultParagraphFont"/>
    <w:link w:val="DocumentMap"/>
    <w:rsid w:val="00056BFE"/>
    <w:rPr>
      <w:rFonts w:ascii="Tahoma" w:eastAsia="Times New Roman" w:hAnsi="Tahoma" w:cs="Tahoma"/>
      <w:color w:val="404040" w:themeColor="text1" w:themeTint="BF"/>
      <w:sz w:val="20"/>
      <w:szCs w:val="20"/>
      <w:shd w:val="clear" w:color="auto" w:fill="000080"/>
    </w:rPr>
  </w:style>
  <w:style w:type="character" w:styleId="PageNumber">
    <w:name w:val="page number"/>
    <w:basedOn w:val="DefaultParagraphFont"/>
    <w:rsid w:val="00056BFE"/>
  </w:style>
  <w:style w:type="paragraph" w:styleId="ListParagraph">
    <w:name w:val="List Paragraph"/>
    <w:basedOn w:val="Normal"/>
    <w:uiPriority w:val="34"/>
    <w:qFormat/>
    <w:rsid w:val="00056BFE"/>
    <w:pPr>
      <w:ind w:left="720"/>
      <w:contextualSpacing/>
    </w:pPr>
  </w:style>
  <w:style w:type="paragraph" w:styleId="Revision">
    <w:name w:val="Revision"/>
    <w:hidden/>
    <w:uiPriority w:val="99"/>
    <w:semiHidden/>
    <w:rsid w:val="00056BFE"/>
    <w:pPr>
      <w:spacing w:after="0" w:line="240" w:lineRule="auto"/>
    </w:pPr>
    <w:rPr>
      <w:rFonts w:ascii="Times New Roman" w:eastAsia="Times New Roman" w:hAnsi="Times New Roman" w:cs="Times New Roman"/>
      <w:sz w:val="23"/>
      <w:szCs w:val="20"/>
    </w:rPr>
  </w:style>
  <w:style w:type="paragraph" w:customStyle="1" w:styleId="Default">
    <w:name w:val="Default"/>
    <w:rsid w:val="00056BFE"/>
    <w:pPr>
      <w:autoSpaceDE w:val="0"/>
      <w:autoSpaceDN w:val="0"/>
      <w:adjustRightInd w:val="0"/>
      <w:spacing w:after="0" w:line="240" w:lineRule="auto"/>
    </w:pPr>
    <w:rPr>
      <w:rFonts w:ascii="Calibri" w:eastAsia="Calibri" w:hAnsi="Calibri" w:cs="Calibri"/>
      <w:color w:val="000000"/>
      <w:sz w:val="24"/>
      <w:szCs w:val="24"/>
    </w:rPr>
  </w:style>
  <w:style w:type="character" w:styleId="FollowedHyperlink">
    <w:name w:val="FollowedHyperlink"/>
    <w:basedOn w:val="DefaultParagraphFont"/>
    <w:rsid w:val="00056BFE"/>
    <w:rPr>
      <w:color w:val="800080"/>
      <w:u w:val="single"/>
    </w:rPr>
  </w:style>
  <w:style w:type="paragraph" w:styleId="EndnoteText">
    <w:name w:val="endnote text"/>
    <w:basedOn w:val="Normal"/>
    <w:link w:val="EndnoteTextChar"/>
    <w:rsid w:val="00056BFE"/>
    <w:rPr>
      <w:sz w:val="20"/>
    </w:rPr>
  </w:style>
  <w:style w:type="character" w:customStyle="1" w:styleId="EndnoteTextChar">
    <w:name w:val="Endnote Text Char"/>
    <w:basedOn w:val="DefaultParagraphFont"/>
    <w:link w:val="EndnoteText"/>
    <w:rsid w:val="00056BFE"/>
    <w:rPr>
      <w:rFonts w:eastAsia="Times New Roman" w:cs="Times New Roman"/>
      <w:color w:val="404040" w:themeColor="text1" w:themeTint="BF"/>
      <w:sz w:val="20"/>
      <w:szCs w:val="20"/>
    </w:rPr>
  </w:style>
  <w:style w:type="character" w:styleId="EndnoteReference">
    <w:name w:val="endnote reference"/>
    <w:basedOn w:val="DefaultParagraphFont"/>
    <w:rsid w:val="00056BFE"/>
    <w:rPr>
      <w:vertAlign w:val="superscript"/>
    </w:rPr>
  </w:style>
  <w:style w:type="paragraph" w:customStyle="1" w:styleId="BlueHeader">
    <w:name w:val="Blue Header"/>
    <w:basedOn w:val="Normal"/>
    <w:link w:val="BlueHeaderChar"/>
    <w:qFormat/>
    <w:rsid w:val="00056BFE"/>
    <w:pPr>
      <w:shd w:val="clear" w:color="auto" w:fill="548DD4" w:themeFill="text2" w:themeFillTint="99"/>
      <w:ind w:left="-360" w:right="-360" w:firstLine="360"/>
    </w:pPr>
    <w:rPr>
      <w:caps/>
      <w:color w:val="FFFFFF" w:themeColor="background1"/>
      <w:sz w:val="32"/>
      <w:szCs w:val="32"/>
    </w:rPr>
  </w:style>
  <w:style w:type="character" w:customStyle="1" w:styleId="BlueHeaderChar">
    <w:name w:val="Blue Header Char"/>
    <w:basedOn w:val="DefaultParagraphFont"/>
    <w:link w:val="BlueHeader"/>
    <w:rsid w:val="00056BFE"/>
    <w:rPr>
      <w:rFonts w:eastAsia="Times New Roman" w:cs="Times New Roman"/>
      <w:caps/>
      <w:color w:val="FFFFFF" w:themeColor="background1"/>
      <w:sz w:val="32"/>
      <w:szCs w:val="32"/>
      <w:shd w:val="clear" w:color="auto" w:fill="548DD4" w:themeFill="text2" w:themeFillTint="99"/>
    </w:rPr>
  </w:style>
  <w:style w:type="paragraph" w:customStyle="1" w:styleId="TableHeader">
    <w:name w:val="Table Header"/>
    <w:basedOn w:val="Normal"/>
    <w:link w:val="TableHeaderChar"/>
    <w:qFormat/>
    <w:rsid w:val="00056BFE"/>
    <w:pPr>
      <w:widowControl w:val="0"/>
      <w:shd w:val="clear" w:color="auto" w:fill="8DB3E2" w:themeFill="text2" w:themeFillTint="66"/>
      <w:spacing w:after="40"/>
      <w:jc w:val="center"/>
    </w:pPr>
    <w:rPr>
      <w:rFonts w:ascii="Calibri" w:hAnsi="Calibri"/>
      <w:color w:val="FFFFFF" w:themeColor="background1"/>
    </w:rPr>
  </w:style>
  <w:style w:type="paragraph" w:customStyle="1" w:styleId="TableText">
    <w:name w:val="Table Text"/>
    <w:basedOn w:val="Normal"/>
    <w:link w:val="TableTextChar"/>
    <w:qFormat/>
    <w:rsid w:val="00056BFE"/>
    <w:pPr>
      <w:spacing w:after="0"/>
      <w:jc w:val="center"/>
    </w:pPr>
    <w:rPr>
      <w:rFonts w:ascii="Calibri" w:hAnsi="Calibri"/>
      <w:sz w:val="20"/>
    </w:rPr>
  </w:style>
  <w:style w:type="character" w:customStyle="1" w:styleId="TableHeaderChar">
    <w:name w:val="Table Header Char"/>
    <w:basedOn w:val="DefaultParagraphFont"/>
    <w:link w:val="TableHeader"/>
    <w:rsid w:val="00056BFE"/>
    <w:rPr>
      <w:rFonts w:ascii="Calibri" w:eastAsia="Times New Roman" w:hAnsi="Calibri" w:cs="Times New Roman"/>
      <w:color w:val="FFFFFF" w:themeColor="background1"/>
      <w:sz w:val="23"/>
      <w:szCs w:val="20"/>
      <w:shd w:val="clear" w:color="auto" w:fill="8DB3E2" w:themeFill="text2" w:themeFillTint="66"/>
    </w:rPr>
  </w:style>
  <w:style w:type="paragraph" w:customStyle="1" w:styleId="MeasureText">
    <w:name w:val="Measure Text"/>
    <w:basedOn w:val="Normal"/>
    <w:link w:val="MeasureTextChar"/>
    <w:qFormat/>
    <w:rsid w:val="00056BFE"/>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C6D9F1" w:themeFill="text2" w:themeFillTint="33"/>
    </w:pPr>
    <w:rPr>
      <w:rFonts w:ascii="Calibri" w:hAnsi="Calibri"/>
      <w:color w:val="7F7F7F" w:themeColor="text1" w:themeTint="80"/>
      <w:szCs w:val="23"/>
    </w:rPr>
  </w:style>
  <w:style w:type="character" w:customStyle="1" w:styleId="TableTextChar">
    <w:name w:val="Table Text Char"/>
    <w:basedOn w:val="DefaultParagraphFont"/>
    <w:link w:val="TableText"/>
    <w:rsid w:val="00056BFE"/>
    <w:rPr>
      <w:rFonts w:ascii="Calibri" w:eastAsia="Times New Roman" w:hAnsi="Calibri" w:cs="Times New Roman"/>
      <w:color w:val="404040" w:themeColor="text1" w:themeTint="BF"/>
      <w:sz w:val="20"/>
      <w:szCs w:val="20"/>
    </w:rPr>
  </w:style>
  <w:style w:type="paragraph" w:customStyle="1" w:styleId="MeasureTitle">
    <w:name w:val="Measure Title"/>
    <w:basedOn w:val="Normal"/>
    <w:link w:val="MeasureTitleChar"/>
    <w:qFormat/>
    <w:rsid w:val="00403CFF"/>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hd w:val="clear" w:color="auto" w:fill="C6D9F1" w:themeFill="text2" w:themeFillTint="33"/>
      <w:outlineLvl w:val="1"/>
    </w:pPr>
    <w:rPr>
      <w:rFonts w:ascii="Calibri" w:hAnsi="Calibri"/>
      <w:b/>
      <w:bCs/>
      <w:iCs/>
      <w:color w:val="7F7F7F" w:themeColor="text1" w:themeTint="80"/>
      <w:szCs w:val="23"/>
    </w:rPr>
  </w:style>
  <w:style w:type="character" w:customStyle="1" w:styleId="MeasureTextChar">
    <w:name w:val="Measure Text Char"/>
    <w:basedOn w:val="DefaultParagraphFont"/>
    <w:link w:val="MeasureText"/>
    <w:rsid w:val="00056BFE"/>
    <w:rPr>
      <w:rFonts w:ascii="Calibri" w:eastAsia="Times New Roman" w:hAnsi="Calibri" w:cs="Times New Roman"/>
      <w:color w:val="7F7F7F" w:themeColor="text1" w:themeTint="80"/>
      <w:sz w:val="23"/>
      <w:szCs w:val="23"/>
      <w:shd w:val="clear" w:color="auto" w:fill="C6D9F1" w:themeFill="text2" w:themeFillTint="33"/>
    </w:rPr>
  </w:style>
  <w:style w:type="character" w:customStyle="1" w:styleId="MeasureTitleChar">
    <w:name w:val="Measure Title Char"/>
    <w:basedOn w:val="DefaultParagraphFont"/>
    <w:link w:val="MeasureTitle"/>
    <w:rsid w:val="00403CFF"/>
    <w:rPr>
      <w:rFonts w:ascii="Calibri" w:eastAsia="Times New Roman" w:hAnsi="Calibri" w:cs="Times New Roman"/>
      <w:b/>
      <w:bCs/>
      <w:iCs/>
      <w:color w:val="7F7F7F" w:themeColor="text1" w:themeTint="80"/>
      <w:sz w:val="23"/>
      <w:szCs w:val="23"/>
      <w:shd w:val="clear" w:color="auto" w:fill="C6D9F1" w:themeFill="text2" w:themeFillTint="33"/>
    </w:rPr>
  </w:style>
  <w:style w:type="paragraph" w:customStyle="1" w:styleId="GoalTitle">
    <w:name w:val="Goal Title"/>
    <w:basedOn w:val="Normal"/>
    <w:link w:val="GoalTitleChar"/>
    <w:qFormat/>
    <w:rsid w:val="00056BFE"/>
    <w:pPr>
      <w:shd w:val="clear" w:color="auto" w:fill="548DD4" w:themeFill="text2" w:themeFillTint="99"/>
    </w:pPr>
    <w:rPr>
      <w:rFonts w:ascii="Calibri" w:hAnsi="Calibri"/>
      <w:bCs/>
      <w:color w:val="FFFFFF" w:themeColor="background1"/>
      <w:sz w:val="28"/>
      <w:szCs w:val="28"/>
    </w:rPr>
  </w:style>
  <w:style w:type="paragraph" w:customStyle="1" w:styleId="GoalText">
    <w:name w:val="Goal Text"/>
    <w:basedOn w:val="Normal"/>
    <w:link w:val="GoalTextChar"/>
    <w:qFormat/>
    <w:rsid w:val="00056BFE"/>
    <w:pPr>
      <w:shd w:val="clear" w:color="auto" w:fill="548DD4" w:themeFill="text2" w:themeFillTint="99"/>
    </w:pPr>
    <w:rPr>
      <w:rFonts w:ascii="Calibri" w:hAnsi="Calibri"/>
      <w:color w:val="FFFFFF" w:themeColor="background1"/>
      <w:szCs w:val="23"/>
    </w:rPr>
  </w:style>
  <w:style w:type="character" w:customStyle="1" w:styleId="GoalTitleChar">
    <w:name w:val="Goal Title Char"/>
    <w:basedOn w:val="DefaultParagraphFont"/>
    <w:link w:val="GoalTitle"/>
    <w:rsid w:val="00056BFE"/>
    <w:rPr>
      <w:rFonts w:ascii="Calibri" w:eastAsia="Times New Roman" w:hAnsi="Calibri" w:cs="Times New Roman"/>
      <w:bCs/>
      <w:color w:val="FFFFFF" w:themeColor="background1"/>
      <w:sz w:val="28"/>
      <w:szCs w:val="28"/>
      <w:shd w:val="clear" w:color="auto" w:fill="548DD4" w:themeFill="text2" w:themeFillTint="99"/>
    </w:rPr>
  </w:style>
  <w:style w:type="character" w:customStyle="1" w:styleId="GoalTextChar">
    <w:name w:val="Goal Text Char"/>
    <w:basedOn w:val="DefaultParagraphFont"/>
    <w:link w:val="GoalText"/>
    <w:rsid w:val="00056BFE"/>
    <w:rPr>
      <w:rFonts w:ascii="Calibri" w:eastAsia="Times New Roman" w:hAnsi="Calibri" w:cs="Times New Roman"/>
      <w:color w:val="FFFFFF" w:themeColor="background1"/>
      <w:sz w:val="23"/>
      <w:szCs w:val="23"/>
      <w:shd w:val="clear" w:color="auto" w:fill="548DD4" w:themeFill="text2" w:themeFillTint="99"/>
    </w:rPr>
  </w:style>
  <w:style w:type="character" w:styleId="PlaceholderText">
    <w:name w:val="Placeholder Text"/>
    <w:basedOn w:val="DefaultParagraphFont"/>
    <w:uiPriority w:val="99"/>
    <w:semiHidden/>
    <w:rsid w:val="00056BFE"/>
    <w:rPr>
      <w:color w:val="808080"/>
    </w:rPr>
  </w:style>
  <w:style w:type="table" w:customStyle="1" w:styleId="TableGrid1">
    <w:name w:val="Table Grid1"/>
    <w:basedOn w:val="TableNormal"/>
    <w:next w:val="TableGrid"/>
    <w:uiPriority w:val="59"/>
    <w:rsid w:val="0056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25D9"/>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691125">
      <w:bodyDiv w:val="1"/>
      <w:marLeft w:val="0"/>
      <w:marRight w:val="0"/>
      <w:marTop w:val="0"/>
      <w:marBottom w:val="0"/>
      <w:divBdr>
        <w:top w:val="none" w:sz="0" w:space="0" w:color="auto"/>
        <w:left w:val="none" w:sz="0" w:space="0" w:color="auto"/>
        <w:bottom w:val="none" w:sz="0" w:space="0" w:color="auto"/>
        <w:right w:val="none" w:sz="0" w:space="0" w:color="auto"/>
      </w:divBdr>
    </w:div>
    <w:div w:id="932012507">
      <w:bodyDiv w:val="1"/>
      <w:marLeft w:val="0"/>
      <w:marRight w:val="0"/>
      <w:marTop w:val="0"/>
      <w:marBottom w:val="0"/>
      <w:divBdr>
        <w:top w:val="none" w:sz="0" w:space="0" w:color="auto"/>
        <w:left w:val="none" w:sz="0" w:space="0" w:color="auto"/>
        <w:bottom w:val="none" w:sz="0" w:space="0" w:color="auto"/>
        <w:right w:val="none" w:sz="0" w:space="0" w:color="auto"/>
      </w:divBdr>
    </w:div>
    <w:div w:id="1061055487">
      <w:bodyDiv w:val="1"/>
      <w:marLeft w:val="0"/>
      <w:marRight w:val="0"/>
      <w:marTop w:val="0"/>
      <w:marBottom w:val="0"/>
      <w:divBdr>
        <w:top w:val="none" w:sz="0" w:space="0" w:color="auto"/>
        <w:left w:val="none" w:sz="0" w:space="0" w:color="auto"/>
        <w:bottom w:val="none" w:sz="0" w:space="0" w:color="auto"/>
        <w:right w:val="none" w:sz="0" w:space="0" w:color="auto"/>
      </w:divBdr>
    </w:div>
    <w:div w:id="1187256934">
      <w:bodyDiv w:val="1"/>
      <w:marLeft w:val="0"/>
      <w:marRight w:val="0"/>
      <w:marTop w:val="0"/>
      <w:marBottom w:val="0"/>
      <w:divBdr>
        <w:top w:val="none" w:sz="0" w:space="0" w:color="auto"/>
        <w:left w:val="none" w:sz="0" w:space="0" w:color="auto"/>
        <w:bottom w:val="none" w:sz="0" w:space="0" w:color="auto"/>
        <w:right w:val="none" w:sz="0" w:space="0" w:color="auto"/>
      </w:divBdr>
    </w:div>
    <w:div w:id="1406681183">
      <w:bodyDiv w:val="1"/>
      <w:marLeft w:val="0"/>
      <w:marRight w:val="0"/>
      <w:marTop w:val="0"/>
      <w:marBottom w:val="0"/>
      <w:divBdr>
        <w:top w:val="none" w:sz="0" w:space="0" w:color="auto"/>
        <w:left w:val="none" w:sz="0" w:space="0" w:color="auto"/>
        <w:bottom w:val="none" w:sz="0" w:space="0" w:color="auto"/>
        <w:right w:val="none" w:sz="0" w:space="0" w:color="auto"/>
      </w:divBdr>
    </w:div>
    <w:div w:id="1437406843">
      <w:bodyDiv w:val="1"/>
      <w:marLeft w:val="0"/>
      <w:marRight w:val="0"/>
      <w:marTop w:val="0"/>
      <w:marBottom w:val="0"/>
      <w:divBdr>
        <w:top w:val="none" w:sz="0" w:space="0" w:color="auto"/>
        <w:left w:val="none" w:sz="0" w:space="0" w:color="auto"/>
        <w:bottom w:val="none" w:sz="0" w:space="0" w:color="auto"/>
        <w:right w:val="none" w:sz="0" w:space="0" w:color="auto"/>
      </w:divBdr>
    </w:div>
    <w:div w:id="1773697248">
      <w:bodyDiv w:val="1"/>
      <w:marLeft w:val="0"/>
      <w:marRight w:val="0"/>
      <w:marTop w:val="0"/>
      <w:marBottom w:val="0"/>
      <w:divBdr>
        <w:top w:val="none" w:sz="0" w:space="0" w:color="auto"/>
        <w:left w:val="none" w:sz="0" w:space="0" w:color="auto"/>
        <w:bottom w:val="none" w:sz="0" w:space="0" w:color="auto"/>
        <w:right w:val="none" w:sz="0" w:space="0" w:color="auto"/>
      </w:divBdr>
    </w:div>
    <w:div w:id="1811633855">
      <w:bodyDiv w:val="1"/>
      <w:marLeft w:val="0"/>
      <w:marRight w:val="0"/>
      <w:marTop w:val="0"/>
      <w:marBottom w:val="0"/>
      <w:divBdr>
        <w:top w:val="none" w:sz="0" w:space="0" w:color="auto"/>
        <w:left w:val="none" w:sz="0" w:space="0" w:color="auto"/>
        <w:bottom w:val="none" w:sz="0" w:space="0" w:color="auto"/>
        <w:right w:val="none" w:sz="0" w:space="0" w:color="auto"/>
      </w:divBdr>
    </w:div>
    <w:div w:id="2012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12.nysed.gov/ciai/multiple-pathway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12.nysed.gov/irs/sir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accountability/essa-accountability-design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wea.org/content/uploads/2020/02/NY-MAP-Growth-Linking-Study-Report-2020-07-22.pdf" TargetMode="External"/><Relationship Id="rId2" Type="http://schemas.openxmlformats.org/officeDocument/2006/relationships/hyperlink" Target="https://www.nwea.org/content/uploads/2020/02/NY-MAP-Growth-Linking-Study-Report-2020-07-22.pdf" TargetMode="External"/><Relationship Id="rId1" Type="http://schemas.openxmlformats.org/officeDocument/2006/relationships/hyperlink" Target="http://www.p12.nysed.gov/ciai/multiple-pathway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B55D0918E544CAA021495F4E968F96"/>
        <w:category>
          <w:name w:val="General"/>
          <w:gallery w:val="placeholder"/>
        </w:category>
        <w:types>
          <w:type w:val="bbPlcHdr"/>
        </w:types>
        <w:behaviors>
          <w:behavior w:val="content"/>
        </w:behaviors>
        <w:guid w:val="{6275F32F-8196-4E3F-B205-61B0DFD73443}"/>
      </w:docPartPr>
      <w:docPartBody>
        <w:p w:rsidR="002910A1" w:rsidRDefault="00FE7505" w:rsidP="00FE7505">
          <w:r w:rsidRPr="00B83C31">
            <w:rPr>
              <w:rStyle w:val="PlaceholderText"/>
            </w:rPr>
            <w:t>Click here to enter text.</w:t>
          </w:r>
        </w:p>
      </w:docPartBody>
    </w:docPart>
    <w:docPart>
      <w:docPartPr>
        <w:name w:val="FC17CE41C5AD48D19F7FC7FD92E5B1BA"/>
        <w:category>
          <w:name w:val="General"/>
          <w:gallery w:val="placeholder"/>
        </w:category>
        <w:types>
          <w:type w:val="bbPlcHdr"/>
        </w:types>
        <w:behaviors>
          <w:behavior w:val="content"/>
        </w:behaviors>
        <w:guid w:val="{F9EF62D1-EC1A-452C-B6F4-029C99882C29}"/>
      </w:docPartPr>
      <w:docPartBody>
        <w:p w:rsidR="00C14508" w:rsidRDefault="00C14508" w:rsidP="00C14508">
          <w:r w:rsidRPr="000A4FD5">
            <w:rPr>
              <w:rStyle w:val="PlaceholderText"/>
            </w:rPr>
            <w:t>Choose an item.</w:t>
          </w:r>
        </w:p>
      </w:docPartBody>
    </w:docPart>
    <w:docPart>
      <w:docPartPr>
        <w:name w:val="A695C7B385B649BBAC89DA109D153831"/>
        <w:category>
          <w:name w:val="General"/>
          <w:gallery w:val="placeholder"/>
        </w:category>
        <w:types>
          <w:type w:val="bbPlcHdr"/>
        </w:types>
        <w:behaviors>
          <w:behavior w:val="content"/>
        </w:behaviors>
        <w:guid w:val="{627852EC-7945-47AF-AE3C-6F3AA36D0B17}"/>
      </w:docPartPr>
      <w:docPartBody>
        <w:p w:rsidR="00C14508" w:rsidRDefault="00C14508" w:rsidP="00C14508">
          <w:r w:rsidRPr="000A4F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78F"/>
    <w:rsid w:val="0011153F"/>
    <w:rsid w:val="00226228"/>
    <w:rsid w:val="002910A1"/>
    <w:rsid w:val="00294C99"/>
    <w:rsid w:val="002D2FF9"/>
    <w:rsid w:val="0038492A"/>
    <w:rsid w:val="004366FE"/>
    <w:rsid w:val="004D3DE7"/>
    <w:rsid w:val="0050278F"/>
    <w:rsid w:val="00530B1D"/>
    <w:rsid w:val="00536447"/>
    <w:rsid w:val="006A537D"/>
    <w:rsid w:val="006B3B12"/>
    <w:rsid w:val="006F4246"/>
    <w:rsid w:val="008B5150"/>
    <w:rsid w:val="009C465C"/>
    <w:rsid w:val="00A42E83"/>
    <w:rsid w:val="00B143C7"/>
    <w:rsid w:val="00B704BF"/>
    <w:rsid w:val="00B74F20"/>
    <w:rsid w:val="00BB3CCE"/>
    <w:rsid w:val="00BD62E9"/>
    <w:rsid w:val="00C14508"/>
    <w:rsid w:val="00C30714"/>
    <w:rsid w:val="00CA3CA8"/>
    <w:rsid w:val="00CE5D0E"/>
    <w:rsid w:val="00D068CF"/>
    <w:rsid w:val="00D85B13"/>
    <w:rsid w:val="00D86F7D"/>
    <w:rsid w:val="00DB24E6"/>
    <w:rsid w:val="00DF187D"/>
    <w:rsid w:val="00E008F8"/>
    <w:rsid w:val="00E73ABC"/>
    <w:rsid w:val="00FB30B3"/>
    <w:rsid w:val="00FE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65C"/>
  </w:style>
  <w:style w:type="paragraph" w:customStyle="1" w:styleId="72B55D0918E544CAA021495F4E968F96">
    <w:name w:val="72B55D0918E544CAA021495F4E968F96"/>
    <w:rsid w:val="00FE7505"/>
    <w:pPr>
      <w:spacing w:after="160" w:line="259" w:lineRule="auto"/>
    </w:pPr>
  </w:style>
  <w:style w:type="paragraph" w:customStyle="1" w:styleId="31FBAD9A732B4BE0A394E0FD733CCC55">
    <w:name w:val="31FBAD9A732B4BE0A394E0FD733CCC55"/>
    <w:rsid w:val="00226228"/>
    <w:pPr>
      <w:spacing w:after="160" w:line="259" w:lineRule="auto"/>
    </w:pPr>
  </w:style>
  <w:style w:type="paragraph" w:customStyle="1" w:styleId="FC17CE41C5AD48D19F7FC7FD92E5B1BA">
    <w:name w:val="FC17CE41C5AD48D19F7FC7FD92E5B1BA"/>
    <w:rsid w:val="00C14508"/>
    <w:pPr>
      <w:spacing w:after="160" w:line="259" w:lineRule="auto"/>
    </w:pPr>
  </w:style>
  <w:style w:type="paragraph" w:customStyle="1" w:styleId="A695C7B385B649BBAC89DA109D153831">
    <w:name w:val="A695C7B385B649BBAC89DA109D153831"/>
    <w:rsid w:val="00C14508"/>
    <w:pPr>
      <w:spacing w:after="160" w:line="259" w:lineRule="auto"/>
    </w:pPr>
  </w:style>
  <w:style w:type="paragraph" w:customStyle="1" w:styleId="ADE31398E7894018AFE6712B44312645">
    <w:name w:val="ADE31398E7894018AFE6712B44312645"/>
    <w:rsid w:val="009C46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8290250507A24F8434D5E70676E7CC" ma:contentTypeVersion="16" ma:contentTypeDescription="Create a new document." ma:contentTypeScope="" ma:versionID="aaa2292c73e1e18d4bd85347e1cafbd8">
  <xsd:schema xmlns:xsd="http://www.w3.org/2001/XMLSchema" xmlns:xs="http://www.w3.org/2001/XMLSchema" xmlns:p="http://schemas.microsoft.com/office/2006/metadata/properties" xmlns:ns1="http://schemas.microsoft.com/sharepoint/v3" xmlns:ns2="35bd8e59-b1cf-419f-9b9f-ba69562445fe" xmlns:ns3="36867089-0e66-4887-8f12-d9d978369158" targetNamespace="http://schemas.microsoft.com/office/2006/metadata/properties" ma:root="true" ma:fieldsID="44301e740bfd2999e17108d5d1afbc84" ns1:_="" ns2:_="" ns3:_="">
    <xsd:import namespace="http://schemas.microsoft.com/sharepoint/v3"/>
    <xsd:import namespace="35bd8e59-b1cf-419f-9b9f-ba69562445fe"/>
    <xsd:import namespace="36867089-0e66-4887-8f12-d9d978369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d8e59-b1cf-419f-9b9f-ba6956244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867089-0e66-4887-8f12-d9d9783691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9917781-B00B-454F-BCED-6D1E01D21C43}">
  <ds:schemaRefs>
    <ds:schemaRef ds:uri="http://schemas.openxmlformats.org/officeDocument/2006/bibliography"/>
  </ds:schemaRefs>
</ds:datastoreItem>
</file>

<file path=customXml/itemProps2.xml><?xml version="1.0" encoding="utf-8"?>
<ds:datastoreItem xmlns:ds="http://schemas.openxmlformats.org/officeDocument/2006/customXml" ds:itemID="{2F08C2C7-14BE-4DB0-ADFE-AF6FE4BDD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bd8e59-b1cf-419f-9b9f-ba69562445fe"/>
    <ds:schemaRef ds:uri="36867089-0e66-4887-8f12-d9d978369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1F9CD-58C8-4C8C-86DF-1D2F3BB3D337}">
  <ds:schemaRefs>
    <ds:schemaRef ds:uri="http://schemas.microsoft.com/sharepoint/v3/contenttype/forms"/>
  </ds:schemaRefs>
</ds:datastoreItem>
</file>

<file path=customXml/itemProps4.xml><?xml version="1.0" encoding="utf-8"?>
<ds:datastoreItem xmlns:ds="http://schemas.openxmlformats.org/officeDocument/2006/customXml" ds:itemID="{10326F1B-C574-4A31-8E8E-4BB4A24063A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16800</Words>
  <Characters>95766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Company>
  <LinksUpToDate>false</LinksUpToDate>
  <CharactersWithSpaces>112342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BUCKNESI</dc:creator>
  <cp:lastModifiedBy>Sara Wilcox</cp:lastModifiedBy>
  <cp:revision>2</cp:revision>
  <dcterms:created xsi:type="dcterms:W3CDTF">2021-09-13T18:27:00Z</dcterms:created>
  <dcterms:modified xsi:type="dcterms:W3CDTF">2021-09-13T18:27:00Z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0x010100F38290250507A24F8434D5E70676E7CC</vt:lpwstr>
  </property>
</Properties>
</file>