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5CB8" w14:textId="77777777" w:rsidR="00E01399" w:rsidRDefault="00E01399" w:rsidP="002964EB">
      <w:pPr>
        <w:spacing w:after="360"/>
        <w:jc w:val="center"/>
        <w:rPr>
          <w:b/>
          <w:bCs/>
        </w:rPr>
      </w:pPr>
      <w:r>
        <w:rPr>
          <w:b/>
          <w:bCs/>
        </w:rPr>
        <w:t>APPENDIX A</w:t>
      </w:r>
    </w:p>
    <w:p w14:paraId="64C4F8FA" w14:textId="16287AC3" w:rsidR="00E01399" w:rsidRDefault="00E01399" w:rsidP="00E01399">
      <w:pPr>
        <w:spacing w:after="240"/>
        <w:jc w:val="center"/>
      </w:pPr>
      <w:r>
        <w:rPr>
          <w:b/>
          <w:bCs/>
        </w:rPr>
        <w:t xml:space="preserve">CERTAIN INFORMATION REGARDING </w:t>
      </w:r>
      <w:r w:rsidR="003910DA">
        <w:rPr>
          <w:b/>
          <w:bCs/>
        </w:rPr>
        <w:t xml:space="preserve">ENCORE, THE SCHOOL, </w:t>
      </w:r>
      <w:r w:rsidR="00E17847">
        <w:rPr>
          <w:b/>
          <w:bCs/>
        </w:rPr>
        <w:br/>
      </w:r>
      <w:r w:rsidR="003910DA">
        <w:rPr>
          <w:b/>
          <w:bCs/>
        </w:rPr>
        <w:t>THE CORPORATION AND THE OBLIGATED GROUP</w:t>
      </w:r>
    </w:p>
    <w:p w14:paraId="73906B81" w14:textId="77777777" w:rsidR="00E01399" w:rsidRDefault="00E01399" w:rsidP="00E01399"/>
    <w:p w14:paraId="06792828" w14:textId="77777777" w:rsidR="00E01399" w:rsidRDefault="00E01399" w:rsidP="00E01399">
      <w:pPr>
        <w:sectPr w:rsidR="00E01399">
          <w:footerReference w:type="default" r:id="rId8"/>
          <w:footnotePr>
            <w:numFmt w:val="chicago"/>
            <w:numRestart w:val="eachPage"/>
          </w:footnotePr>
          <w:pgSz w:w="12240" w:h="15840"/>
          <w:pgMar w:top="1440" w:right="1440" w:bottom="1440" w:left="1440" w:header="720" w:footer="720" w:gutter="0"/>
          <w:pgNumType w:start="1"/>
          <w:cols w:space="720"/>
        </w:sectPr>
      </w:pPr>
    </w:p>
    <w:p w14:paraId="71063668" w14:textId="77777777" w:rsidR="00E01399" w:rsidRDefault="00E01399" w:rsidP="00E01399">
      <w:pPr>
        <w:spacing w:after="120"/>
        <w:jc w:val="center"/>
        <w:rPr>
          <w:b/>
          <w:bCs/>
        </w:rPr>
      </w:pPr>
      <w:r>
        <w:rPr>
          <w:b/>
          <w:bCs/>
        </w:rPr>
        <w:lastRenderedPageBreak/>
        <w:t>TABLE OF CONTENTS</w:t>
      </w:r>
    </w:p>
    <w:p w14:paraId="1662369C" w14:textId="77777777" w:rsidR="00E01399" w:rsidRDefault="00E01399" w:rsidP="00E01399">
      <w:pPr>
        <w:spacing w:after="120"/>
        <w:jc w:val="right"/>
        <w:rPr>
          <w:b/>
          <w:bCs/>
        </w:rPr>
      </w:pPr>
      <w:r>
        <w:rPr>
          <w:b/>
          <w:bCs/>
        </w:rPr>
        <w:t>Page</w:t>
      </w:r>
    </w:p>
    <w:p w14:paraId="1D4DD345" w14:textId="6200EFAC" w:rsidR="009855E6" w:rsidRDefault="00E01399">
      <w:pPr>
        <w:pStyle w:val="TOC1"/>
        <w:rPr>
          <w:rFonts w:asciiTheme="minorHAnsi" w:eastAsiaTheme="minorEastAsia" w:hAnsiTheme="minorHAnsi" w:cstheme="minorBidi"/>
          <w:caps w:val="0"/>
          <w:noProof/>
          <w:sz w:val="22"/>
          <w:szCs w:val="22"/>
        </w:rPr>
      </w:pPr>
      <w:r>
        <w:fldChar w:fldCharType="begin"/>
      </w:r>
      <w:r>
        <w:instrText xml:space="preserve"> TOC \o "1-2" </w:instrText>
      </w:r>
      <w:r>
        <w:fldChar w:fldCharType="separate"/>
      </w:r>
      <w:r w:rsidR="009855E6">
        <w:rPr>
          <w:noProof/>
        </w:rPr>
        <w:t>ENCORE EDUCATION CORPORATION</w:t>
      </w:r>
      <w:r w:rsidR="009855E6">
        <w:rPr>
          <w:noProof/>
        </w:rPr>
        <w:tab/>
        <w:t>A-</w:t>
      </w:r>
      <w:r w:rsidR="009855E6">
        <w:rPr>
          <w:noProof/>
        </w:rPr>
        <w:fldChar w:fldCharType="begin"/>
      </w:r>
      <w:r w:rsidR="009855E6">
        <w:rPr>
          <w:noProof/>
        </w:rPr>
        <w:instrText xml:space="preserve"> PAGEREF _Toc101330543 \h </w:instrText>
      </w:r>
      <w:r w:rsidR="009855E6">
        <w:rPr>
          <w:noProof/>
        </w:rPr>
      </w:r>
      <w:r w:rsidR="009855E6">
        <w:rPr>
          <w:noProof/>
        </w:rPr>
        <w:fldChar w:fldCharType="separate"/>
      </w:r>
      <w:r w:rsidR="009855E6">
        <w:rPr>
          <w:noProof/>
        </w:rPr>
        <w:t>3</w:t>
      </w:r>
      <w:r w:rsidR="009855E6">
        <w:rPr>
          <w:noProof/>
        </w:rPr>
        <w:fldChar w:fldCharType="end"/>
      </w:r>
    </w:p>
    <w:p w14:paraId="4DAECEEA" w14:textId="2B20C585" w:rsidR="009855E6" w:rsidRDefault="009855E6">
      <w:pPr>
        <w:pStyle w:val="TOC2"/>
        <w:tabs>
          <w:tab w:val="right" w:leader="dot" w:pos="9350"/>
        </w:tabs>
        <w:rPr>
          <w:rFonts w:asciiTheme="minorHAnsi" w:eastAsiaTheme="minorEastAsia" w:hAnsiTheme="minorHAnsi" w:cstheme="minorBidi"/>
          <w:noProof/>
          <w:sz w:val="22"/>
          <w:szCs w:val="22"/>
        </w:rPr>
      </w:pPr>
      <w:r>
        <w:rPr>
          <w:noProof/>
        </w:rPr>
        <w:t>General</w:t>
      </w:r>
      <w:r>
        <w:rPr>
          <w:noProof/>
        </w:rPr>
        <w:tab/>
        <w:t>A-</w:t>
      </w:r>
      <w:r>
        <w:rPr>
          <w:noProof/>
        </w:rPr>
        <w:fldChar w:fldCharType="begin"/>
      </w:r>
      <w:r>
        <w:rPr>
          <w:noProof/>
        </w:rPr>
        <w:instrText xml:space="preserve"> PAGEREF _Toc101330544 \h </w:instrText>
      </w:r>
      <w:r>
        <w:rPr>
          <w:noProof/>
        </w:rPr>
      </w:r>
      <w:r>
        <w:rPr>
          <w:noProof/>
        </w:rPr>
        <w:fldChar w:fldCharType="separate"/>
      </w:r>
      <w:r>
        <w:rPr>
          <w:noProof/>
        </w:rPr>
        <w:t>3</w:t>
      </w:r>
      <w:r>
        <w:rPr>
          <w:noProof/>
        </w:rPr>
        <w:fldChar w:fldCharType="end"/>
      </w:r>
    </w:p>
    <w:p w14:paraId="4644C079" w14:textId="5AE5DB93" w:rsidR="009855E6" w:rsidRDefault="009855E6">
      <w:pPr>
        <w:pStyle w:val="TOC2"/>
        <w:tabs>
          <w:tab w:val="right" w:leader="dot" w:pos="9350"/>
        </w:tabs>
        <w:rPr>
          <w:rFonts w:asciiTheme="minorHAnsi" w:eastAsiaTheme="minorEastAsia" w:hAnsiTheme="minorHAnsi" w:cstheme="minorBidi"/>
          <w:noProof/>
          <w:sz w:val="22"/>
          <w:szCs w:val="22"/>
        </w:rPr>
      </w:pPr>
      <w:r>
        <w:rPr>
          <w:noProof/>
        </w:rPr>
        <w:t>Governance and Administration</w:t>
      </w:r>
      <w:r>
        <w:rPr>
          <w:noProof/>
        </w:rPr>
        <w:tab/>
        <w:t>A-</w:t>
      </w:r>
      <w:r>
        <w:rPr>
          <w:noProof/>
        </w:rPr>
        <w:fldChar w:fldCharType="begin"/>
      </w:r>
      <w:r>
        <w:rPr>
          <w:noProof/>
        </w:rPr>
        <w:instrText xml:space="preserve"> PAGEREF _Toc101330545 \h </w:instrText>
      </w:r>
      <w:r>
        <w:rPr>
          <w:noProof/>
        </w:rPr>
      </w:r>
      <w:r>
        <w:rPr>
          <w:noProof/>
        </w:rPr>
        <w:fldChar w:fldCharType="separate"/>
      </w:r>
      <w:r>
        <w:rPr>
          <w:noProof/>
        </w:rPr>
        <w:t>3</w:t>
      </w:r>
      <w:r>
        <w:rPr>
          <w:noProof/>
        </w:rPr>
        <w:fldChar w:fldCharType="end"/>
      </w:r>
    </w:p>
    <w:p w14:paraId="5698B726" w14:textId="1D9A064E" w:rsidR="009855E6" w:rsidRDefault="009855E6">
      <w:pPr>
        <w:pStyle w:val="TOC1"/>
        <w:rPr>
          <w:rFonts w:asciiTheme="minorHAnsi" w:eastAsiaTheme="minorEastAsia" w:hAnsiTheme="minorHAnsi" w:cstheme="minorBidi"/>
          <w:caps w:val="0"/>
          <w:noProof/>
          <w:sz w:val="22"/>
          <w:szCs w:val="22"/>
        </w:rPr>
      </w:pPr>
      <w:r>
        <w:rPr>
          <w:noProof/>
        </w:rPr>
        <w:t>THE SCHOOL</w:t>
      </w:r>
      <w:r>
        <w:rPr>
          <w:noProof/>
        </w:rPr>
        <w:tab/>
        <w:t>A-</w:t>
      </w:r>
      <w:r>
        <w:rPr>
          <w:noProof/>
        </w:rPr>
        <w:fldChar w:fldCharType="begin"/>
      </w:r>
      <w:r>
        <w:rPr>
          <w:noProof/>
        </w:rPr>
        <w:instrText xml:space="preserve"> PAGEREF _Toc101330546 \h </w:instrText>
      </w:r>
      <w:r>
        <w:rPr>
          <w:noProof/>
        </w:rPr>
      </w:r>
      <w:r>
        <w:rPr>
          <w:noProof/>
        </w:rPr>
        <w:fldChar w:fldCharType="separate"/>
      </w:r>
      <w:r>
        <w:rPr>
          <w:noProof/>
        </w:rPr>
        <w:t>5</w:t>
      </w:r>
      <w:r>
        <w:rPr>
          <w:noProof/>
        </w:rPr>
        <w:fldChar w:fldCharType="end"/>
      </w:r>
    </w:p>
    <w:p w14:paraId="3BB71ACD" w14:textId="030AA83A" w:rsidR="009855E6" w:rsidRDefault="009855E6">
      <w:pPr>
        <w:pStyle w:val="TOC2"/>
        <w:tabs>
          <w:tab w:val="right" w:leader="dot" w:pos="9350"/>
        </w:tabs>
        <w:rPr>
          <w:rFonts w:asciiTheme="minorHAnsi" w:eastAsiaTheme="minorEastAsia" w:hAnsiTheme="minorHAnsi" w:cstheme="minorBidi"/>
          <w:noProof/>
          <w:sz w:val="22"/>
          <w:szCs w:val="22"/>
        </w:rPr>
      </w:pPr>
      <w:r>
        <w:rPr>
          <w:noProof/>
        </w:rPr>
        <w:t>Charters</w:t>
      </w:r>
      <w:r>
        <w:rPr>
          <w:noProof/>
        </w:rPr>
        <w:tab/>
        <w:t>A-</w:t>
      </w:r>
      <w:r>
        <w:rPr>
          <w:noProof/>
        </w:rPr>
        <w:fldChar w:fldCharType="begin"/>
      </w:r>
      <w:r>
        <w:rPr>
          <w:noProof/>
        </w:rPr>
        <w:instrText xml:space="preserve"> PAGEREF _Toc101330547 \h </w:instrText>
      </w:r>
      <w:r>
        <w:rPr>
          <w:noProof/>
        </w:rPr>
      </w:r>
      <w:r>
        <w:rPr>
          <w:noProof/>
        </w:rPr>
        <w:fldChar w:fldCharType="separate"/>
      </w:r>
      <w:r>
        <w:rPr>
          <w:noProof/>
        </w:rPr>
        <w:t>5</w:t>
      </w:r>
      <w:r>
        <w:rPr>
          <w:noProof/>
        </w:rPr>
        <w:fldChar w:fldCharType="end"/>
      </w:r>
    </w:p>
    <w:p w14:paraId="7A8BF6D2" w14:textId="36A0F9FE" w:rsidR="009855E6" w:rsidRDefault="009855E6">
      <w:pPr>
        <w:pStyle w:val="TOC2"/>
        <w:tabs>
          <w:tab w:val="right" w:leader="dot" w:pos="9350"/>
        </w:tabs>
        <w:rPr>
          <w:rFonts w:asciiTheme="minorHAnsi" w:eastAsiaTheme="minorEastAsia" w:hAnsiTheme="minorHAnsi" w:cstheme="minorBidi"/>
          <w:noProof/>
          <w:sz w:val="22"/>
          <w:szCs w:val="22"/>
        </w:rPr>
      </w:pPr>
      <w:r>
        <w:rPr>
          <w:noProof/>
        </w:rPr>
        <w:t>Enrollment and Attendance</w:t>
      </w:r>
      <w:r>
        <w:rPr>
          <w:noProof/>
        </w:rPr>
        <w:tab/>
        <w:t>A-</w:t>
      </w:r>
      <w:r>
        <w:rPr>
          <w:noProof/>
        </w:rPr>
        <w:fldChar w:fldCharType="begin"/>
      </w:r>
      <w:r>
        <w:rPr>
          <w:noProof/>
        </w:rPr>
        <w:instrText xml:space="preserve"> PAGEREF _Toc101330548 \h </w:instrText>
      </w:r>
      <w:r>
        <w:rPr>
          <w:noProof/>
        </w:rPr>
      </w:r>
      <w:r>
        <w:rPr>
          <w:noProof/>
        </w:rPr>
        <w:fldChar w:fldCharType="separate"/>
      </w:r>
      <w:r>
        <w:rPr>
          <w:noProof/>
        </w:rPr>
        <w:t>7</w:t>
      </w:r>
      <w:r>
        <w:rPr>
          <w:noProof/>
        </w:rPr>
        <w:fldChar w:fldCharType="end"/>
      </w:r>
    </w:p>
    <w:p w14:paraId="6688DA03" w14:textId="0F08E743" w:rsidR="009855E6" w:rsidRDefault="009855E6">
      <w:pPr>
        <w:pStyle w:val="TOC2"/>
        <w:tabs>
          <w:tab w:val="right" w:leader="dot" w:pos="9350"/>
        </w:tabs>
        <w:rPr>
          <w:rFonts w:asciiTheme="minorHAnsi" w:eastAsiaTheme="minorEastAsia" w:hAnsiTheme="minorHAnsi" w:cstheme="minorBidi"/>
          <w:noProof/>
          <w:sz w:val="22"/>
          <w:szCs w:val="22"/>
        </w:rPr>
      </w:pPr>
      <w:r>
        <w:rPr>
          <w:noProof/>
        </w:rPr>
        <w:t>Academic Results</w:t>
      </w:r>
      <w:r>
        <w:rPr>
          <w:noProof/>
        </w:rPr>
        <w:tab/>
        <w:t>A-</w:t>
      </w:r>
      <w:r>
        <w:rPr>
          <w:noProof/>
        </w:rPr>
        <w:fldChar w:fldCharType="begin"/>
      </w:r>
      <w:r>
        <w:rPr>
          <w:noProof/>
        </w:rPr>
        <w:instrText xml:space="preserve"> PAGEREF _Toc101330549 \h </w:instrText>
      </w:r>
      <w:r>
        <w:rPr>
          <w:noProof/>
        </w:rPr>
      </w:r>
      <w:r>
        <w:rPr>
          <w:noProof/>
        </w:rPr>
        <w:fldChar w:fldCharType="separate"/>
      </w:r>
      <w:r>
        <w:rPr>
          <w:noProof/>
        </w:rPr>
        <w:t>8</w:t>
      </w:r>
      <w:r>
        <w:rPr>
          <w:noProof/>
        </w:rPr>
        <w:fldChar w:fldCharType="end"/>
      </w:r>
    </w:p>
    <w:p w14:paraId="2B208B85" w14:textId="0C4A287F" w:rsidR="009855E6" w:rsidRDefault="009855E6">
      <w:pPr>
        <w:pStyle w:val="TOC1"/>
        <w:rPr>
          <w:rFonts w:asciiTheme="minorHAnsi" w:eastAsiaTheme="minorEastAsia" w:hAnsiTheme="minorHAnsi" w:cstheme="minorBidi"/>
          <w:caps w:val="0"/>
          <w:noProof/>
          <w:sz w:val="22"/>
          <w:szCs w:val="22"/>
        </w:rPr>
      </w:pPr>
      <w:r w:rsidRPr="00897C42">
        <w:rPr>
          <w:caps w:val="0"/>
          <w:noProof/>
        </w:rPr>
        <w:t>OPERATING AND FINANCIAL INFORMATION</w:t>
      </w:r>
      <w:r>
        <w:rPr>
          <w:noProof/>
        </w:rPr>
        <w:tab/>
        <w:t>A-</w:t>
      </w:r>
      <w:r>
        <w:rPr>
          <w:noProof/>
        </w:rPr>
        <w:fldChar w:fldCharType="begin"/>
      </w:r>
      <w:r>
        <w:rPr>
          <w:noProof/>
        </w:rPr>
        <w:instrText xml:space="preserve"> PAGEREF _Toc101330550 \h </w:instrText>
      </w:r>
      <w:r>
        <w:rPr>
          <w:noProof/>
        </w:rPr>
      </w:r>
      <w:r>
        <w:rPr>
          <w:noProof/>
        </w:rPr>
        <w:fldChar w:fldCharType="separate"/>
      </w:r>
      <w:r>
        <w:rPr>
          <w:noProof/>
        </w:rPr>
        <w:t>14</w:t>
      </w:r>
      <w:r>
        <w:rPr>
          <w:noProof/>
        </w:rPr>
        <w:fldChar w:fldCharType="end"/>
      </w:r>
    </w:p>
    <w:p w14:paraId="1A952C69" w14:textId="6B8A548C" w:rsidR="009855E6" w:rsidRDefault="009855E6">
      <w:pPr>
        <w:pStyle w:val="TOC2"/>
        <w:tabs>
          <w:tab w:val="right" w:leader="dot" w:pos="9350"/>
        </w:tabs>
        <w:rPr>
          <w:rFonts w:asciiTheme="minorHAnsi" w:eastAsiaTheme="minorEastAsia" w:hAnsiTheme="minorHAnsi" w:cstheme="minorBidi"/>
          <w:noProof/>
          <w:sz w:val="22"/>
          <w:szCs w:val="22"/>
        </w:rPr>
      </w:pPr>
      <w:r>
        <w:rPr>
          <w:noProof/>
        </w:rPr>
        <w:t>Historical Financial Results</w:t>
      </w:r>
      <w:r>
        <w:rPr>
          <w:noProof/>
        </w:rPr>
        <w:tab/>
        <w:t>A-</w:t>
      </w:r>
      <w:r>
        <w:rPr>
          <w:noProof/>
        </w:rPr>
        <w:fldChar w:fldCharType="begin"/>
      </w:r>
      <w:r>
        <w:rPr>
          <w:noProof/>
        </w:rPr>
        <w:instrText xml:space="preserve"> PAGEREF _Toc101330551 \h </w:instrText>
      </w:r>
      <w:r>
        <w:rPr>
          <w:noProof/>
        </w:rPr>
      </w:r>
      <w:r>
        <w:rPr>
          <w:noProof/>
        </w:rPr>
        <w:fldChar w:fldCharType="separate"/>
      </w:r>
      <w:r>
        <w:rPr>
          <w:noProof/>
        </w:rPr>
        <w:t>14</w:t>
      </w:r>
      <w:r>
        <w:rPr>
          <w:noProof/>
        </w:rPr>
        <w:fldChar w:fldCharType="end"/>
      </w:r>
    </w:p>
    <w:p w14:paraId="67D5695F" w14:textId="3A020053" w:rsidR="009855E6" w:rsidRDefault="009855E6">
      <w:pPr>
        <w:pStyle w:val="TOC2"/>
        <w:tabs>
          <w:tab w:val="right" w:leader="dot" w:pos="9350"/>
        </w:tabs>
        <w:rPr>
          <w:rFonts w:asciiTheme="minorHAnsi" w:eastAsiaTheme="minorEastAsia" w:hAnsiTheme="minorHAnsi" w:cstheme="minorBidi"/>
          <w:noProof/>
          <w:sz w:val="22"/>
          <w:szCs w:val="22"/>
        </w:rPr>
      </w:pPr>
      <w:r>
        <w:rPr>
          <w:noProof/>
        </w:rPr>
        <w:t>Historical Statements of Financial Position</w:t>
      </w:r>
      <w:r>
        <w:rPr>
          <w:noProof/>
        </w:rPr>
        <w:tab/>
        <w:t>A-</w:t>
      </w:r>
      <w:r>
        <w:rPr>
          <w:noProof/>
        </w:rPr>
        <w:fldChar w:fldCharType="begin"/>
      </w:r>
      <w:r>
        <w:rPr>
          <w:noProof/>
        </w:rPr>
        <w:instrText xml:space="preserve"> PAGEREF _Toc101330552 \h </w:instrText>
      </w:r>
      <w:r>
        <w:rPr>
          <w:noProof/>
        </w:rPr>
      </w:r>
      <w:r>
        <w:rPr>
          <w:noProof/>
        </w:rPr>
        <w:fldChar w:fldCharType="separate"/>
      </w:r>
      <w:r>
        <w:rPr>
          <w:noProof/>
        </w:rPr>
        <w:t>15</w:t>
      </w:r>
      <w:r>
        <w:rPr>
          <w:noProof/>
        </w:rPr>
        <w:fldChar w:fldCharType="end"/>
      </w:r>
    </w:p>
    <w:p w14:paraId="01384851" w14:textId="37212599" w:rsidR="009855E6" w:rsidRDefault="009855E6">
      <w:pPr>
        <w:pStyle w:val="TOC2"/>
        <w:tabs>
          <w:tab w:val="right" w:leader="dot" w:pos="9350"/>
        </w:tabs>
        <w:rPr>
          <w:rFonts w:asciiTheme="minorHAnsi" w:eastAsiaTheme="minorEastAsia" w:hAnsiTheme="minorHAnsi" w:cstheme="minorBidi"/>
          <w:noProof/>
          <w:sz w:val="22"/>
          <w:szCs w:val="22"/>
        </w:rPr>
      </w:pPr>
      <w:r>
        <w:rPr>
          <w:noProof/>
        </w:rPr>
        <w:t>Financial Statements</w:t>
      </w:r>
      <w:r>
        <w:rPr>
          <w:noProof/>
        </w:rPr>
        <w:tab/>
        <w:t>A-</w:t>
      </w:r>
      <w:r>
        <w:rPr>
          <w:noProof/>
        </w:rPr>
        <w:fldChar w:fldCharType="begin"/>
      </w:r>
      <w:r>
        <w:rPr>
          <w:noProof/>
        </w:rPr>
        <w:instrText xml:space="preserve"> PAGEREF _Toc101330553 \h </w:instrText>
      </w:r>
      <w:r>
        <w:rPr>
          <w:noProof/>
        </w:rPr>
      </w:r>
      <w:r>
        <w:rPr>
          <w:noProof/>
        </w:rPr>
        <w:fldChar w:fldCharType="separate"/>
      </w:r>
      <w:r>
        <w:rPr>
          <w:noProof/>
        </w:rPr>
        <w:t>15</w:t>
      </w:r>
      <w:r>
        <w:rPr>
          <w:noProof/>
        </w:rPr>
        <w:fldChar w:fldCharType="end"/>
      </w:r>
    </w:p>
    <w:p w14:paraId="673B06FE" w14:textId="1FD2BD61" w:rsidR="009855E6" w:rsidRDefault="009855E6">
      <w:pPr>
        <w:pStyle w:val="TOC2"/>
        <w:tabs>
          <w:tab w:val="right" w:leader="dot" w:pos="9350"/>
        </w:tabs>
        <w:rPr>
          <w:rFonts w:asciiTheme="minorHAnsi" w:eastAsiaTheme="minorEastAsia" w:hAnsiTheme="minorHAnsi" w:cstheme="minorBidi"/>
          <w:noProof/>
          <w:sz w:val="22"/>
          <w:szCs w:val="22"/>
        </w:rPr>
      </w:pPr>
      <w:r>
        <w:rPr>
          <w:noProof/>
        </w:rPr>
        <w:t>Management Discussion and Analysis; 2020-21 and 2021-22 Fiscal Years</w:t>
      </w:r>
      <w:r>
        <w:rPr>
          <w:noProof/>
        </w:rPr>
        <w:tab/>
        <w:t>A-</w:t>
      </w:r>
      <w:r>
        <w:rPr>
          <w:noProof/>
        </w:rPr>
        <w:fldChar w:fldCharType="begin"/>
      </w:r>
      <w:r>
        <w:rPr>
          <w:noProof/>
        </w:rPr>
        <w:instrText xml:space="preserve"> PAGEREF _Toc101330554 \h </w:instrText>
      </w:r>
      <w:r>
        <w:rPr>
          <w:noProof/>
        </w:rPr>
      </w:r>
      <w:r>
        <w:rPr>
          <w:noProof/>
        </w:rPr>
        <w:fldChar w:fldCharType="separate"/>
      </w:r>
      <w:r>
        <w:rPr>
          <w:noProof/>
        </w:rPr>
        <w:t>16</w:t>
      </w:r>
      <w:r>
        <w:rPr>
          <w:noProof/>
        </w:rPr>
        <w:fldChar w:fldCharType="end"/>
      </w:r>
    </w:p>
    <w:p w14:paraId="5E88279F" w14:textId="15925C88" w:rsidR="009855E6" w:rsidRDefault="009855E6">
      <w:pPr>
        <w:pStyle w:val="TOC2"/>
        <w:tabs>
          <w:tab w:val="right" w:leader="dot" w:pos="9350"/>
        </w:tabs>
        <w:rPr>
          <w:rFonts w:asciiTheme="minorHAnsi" w:eastAsiaTheme="minorEastAsia" w:hAnsiTheme="minorHAnsi" w:cstheme="minorBidi"/>
          <w:noProof/>
          <w:sz w:val="22"/>
          <w:szCs w:val="22"/>
        </w:rPr>
      </w:pPr>
      <w:r>
        <w:rPr>
          <w:noProof/>
        </w:rPr>
        <w:t>Retirement Programs</w:t>
      </w:r>
      <w:r>
        <w:rPr>
          <w:noProof/>
        </w:rPr>
        <w:tab/>
        <w:t>A-</w:t>
      </w:r>
      <w:r>
        <w:rPr>
          <w:noProof/>
        </w:rPr>
        <w:fldChar w:fldCharType="begin"/>
      </w:r>
      <w:r>
        <w:rPr>
          <w:noProof/>
        </w:rPr>
        <w:instrText xml:space="preserve"> PAGEREF _Toc101330555 \h </w:instrText>
      </w:r>
      <w:r>
        <w:rPr>
          <w:noProof/>
        </w:rPr>
      </w:r>
      <w:r>
        <w:rPr>
          <w:noProof/>
        </w:rPr>
        <w:fldChar w:fldCharType="separate"/>
      </w:r>
      <w:r>
        <w:rPr>
          <w:noProof/>
        </w:rPr>
        <w:t>16</w:t>
      </w:r>
      <w:r>
        <w:rPr>
          <w:noProof/>
        </w:rPr>
        <w:fldChar w:fldCharType="end"/>
      </w:r>
    </w:p>
    <w:p w14:paraId="2864F2E7" w14:textId="04038D1E" w:rsidR="009855E6" w:rsidRDefault="009855E6">
      <w:pPr>
        <w:pStyle w:val="TOC2"/>
        <w:tabs>
          <w:tab w:val="right" w:leader="dot" w:pos="9350"/>
        </w:tabs>
        <w:rPr>
          <w:rFonts w:asciiTheme="minorHAnsi" w:eastAsiaTheme="minorEastAsia" w:hAnsiTheme="minorHAnsi" w:cstheme="minorBidi"/>
          <w:noProof/>
          <w:sz w:val="22"/>
          <w:szCs w:val="22"/>
        </w:rPr>
      </w:pPr>
      <w:r>
        <w:rPr>
          <w:noProof/>
        </w:rPr>
        <w:t>Outstanding Debt Obligations</w:t>
      </w:r>
      <w:r>
        <w:rPr>
          <w:noProof/>
        </w:rPr>
        <w:tab/>
        <w:t>A-</w:t>
      </w:r>
      <w:r>
        <w:rPr>
          <w:noProof/>
        </w:rPr>
        <w:fldChar w:fldCharType="begin"/>
      </w:r>
      <w:r>
        <w:rPr>
          <w:noProof/>
        </w:rPr>
        <w:instrText xml:space="preserve"> PAGEREF _Toc101330556 \h </w:instrText>
      </w:r>
      <w:r>
        <w:rPr>
          <w:noProof/>
        </w:rPr>
      </w:r>
      <w:r>
        <w:rPr>
          <w:noProof/>
        </w:rPr>
        <w:fldChar w:fldCharType="separate"/>
      </w:r>
      <w:r>
        <w:rPr>
          <w:noProof/>
        </w:rPr>
        <w:t>24</w:t>
      </w:r>
      <w:r>
        <w:rPr>
          <w:noProof/>
        </w:rPr>
        <w:fldChar w:fldCharType="end"/>
      </w:r>
    </w:p>
    <w:p w14:paraId="43C75039" w14:textId="77CE465A" w:rsidR="009855E6" w:rsidRDefault="009855E6">
      <w:pPr>
        <w:pStyle w:val="TOC2"/>
        <w:tabs>
          <w:tab w:val="right" w:leader="dot" w:pos="9350"/>
        </w:tabs>
        <w:rPr>
          <w:rFonts w:asciiTheme="minorHAnsi" w:eastAsiaTheme="minorEastAsia" w:hAnsiTheme="minorHAnsi" w:cstheme="minorBidi"/>
          <w:noProof/>
          <w:sz w:val="22"/>
          <w:szCs w:val="22"/>
        </w:rPr>
      </w:pPr>
      <w:r>
        <w:rPr>
          <w:noProof/>
        </w:rPr>
        <w:t>SB 740</w:t>
      </w:r>
      <w:r>
        <w:rPr>
          <w:noProof/>
        </w:rPr>
        <w:tab/>
        <w:t>A-</w:t>
      </w:r>
      <w:r>
        <w:rPr>
          <w:noProof/>
        </w:rPr>
        <w:fldChar w:fldCharType="begin"/>
      </w:r>
      <w:r>
        <w:rPr>
          <w:noProof/>
        </w:rPr>
        <w:instrText xml:space="preserve"> PAGEREF _Toc101330557 \h </w:instrText>
      </w:r>
      <w:r>
        <w:rPr>
          <w:noProof/>
        </w:rPr>
      </w:r>
      <w:r>
        <w:rPr>
          <w:noProof/>
        </w:rPr>
        <w:fldChar w:fldCharType="separate"/>
      </w:r>
      <w:r>
        <w:rPr>
          <w:noProof/>
        </w:rPr>
        <w:t>25</w:t>
      </w:r>
      <w:r>
        <w:rPr>
          <w:noProof/>
        </w:rPr>
        <w:fldChar w:fldCharType="end"/>
      </w:r>
    </w:p>
    <w:p w14:paraId="505D7F69" w14:textId="7707493B" w:rsidR="009855E6" w:rsidRDefault="009855E6">
      <w:pPr>
        <w:pStyle w:val="TOC2"/>
        <w:tabs>
          <w:tab w:val="right" w:leader="dot" w:pos="9350"/>
        </w:tabs>
        <w:rPr>
          <w:rFonts w:asciiTheme="minorHAnsi" w:eastAsiaTheme="minorEastAsia" w:hAnsiTheme="minorHAnsi" w:cstheme="minorBidi"/>
          <w:noProof/>
          <w:sz w:val="22"/>
          <w:szCs w:val="22"/>
        </w:rPr>
      </w:pPr>
      <w:r>
        <w:rPr>
          <w:noProof/>
        </w:rPr>
        <w:t>No Material Litigation</w:t>
      </w:r>
      <w:r>
        <w:rPr>
          <w:noProof/>
        </w:rPr>
        <w:tab/>
        <w:t>A-</w:t>
      </w:r>
      <w:r>
        <w:rPr>
          <w:noProof/>
        </w:rPr>
        <w:fldChar w:fldCharType="begin"/>
      </w:r>
      <w:r>
        <w:rPr>
          <w:noProof/>
        </w:rPr>
        <w:instrText xml:space="preserve"> PAGEREF _Toc101330558 \h </w:instrText>
      </w:r>
      <w:r>
        <w:rPr>
          <w:noProof/>
        </w:rPr>
      </w:r>
      <w:r>
        <w:rPr>
          <w:noProof/>
        </w:rPr>
        <w:fldChar w:fldCharType="separate"/>
      </w:r>
      <w:r>
        <w:rPr>
          <w:noProof/>
        </w:rPr>
        <w:t>25</w:t>
      </w:r>
      <w:r>
        <w:rPr>
          <w:noProof/>
        </w:rPr>
        <w:fldChar w:fldCharType="end"/>
      </w:r>
    </w:p>
    <w:p w14:paraId="2DEDBDC8" w14:textId="7973EF60" w:rsidR="009855E6" w:rsidRDefault="009855E6">
      <w:pPr>
        <w:pStyle w:val="TOC1"/>
        <w:rPr>
          <w:rFonts w:asciiTheme="minorHAnsi" w:eastAsiaTheme="minorEastAsia" w:hAnsiTheme="minorHAnsi" w:cstheme="minorBidi"/>
          <w:caps w:val="0"/>
          <w:noProof/>
          <w:sz w:val="22"/>
          <w:szCs w:val="22"/>
        </w:rPr>
      </w:pPr>
      <w:r w:rsidRPr="00897C42">
        <w:rPr>
          <w:caps w:val="0"/>
          <w:noProof/>
        </w:rPr>
        <w:t>PROJECTIONS AND CASH FLOWS</w:t>
      </w:r>
      <w:r>
        <w:rPr>
          <w:noProof/>
        </w:rPr>
        <w:tab/>
        <w:t>A-</w:t>
      </w:r>
      <w:r>
        <w:rPr>
          <w:noProof/>
        </w:rPr>
        <w:fldChar w:fldCharType="begin"/>
      </w:r>
      <w:r>
        <w:rPr>
          <w:noProof/>
        </w:rPr>
        <w:instrText xml:space="preserve"> PAGEREF _Toc101330559 \h </w:instrText>
      </w:r>
      <w:r>
        <w:rPr>
          <w:noProof/>
        </w:rPr>
      </w:r>
      <w:r>
        <w:rPr>
          <w:noProof/>
        </w:rPr>
        <w:fldChar w:fldCharType="separate"/>
      </w:r>
      <w:r>
        <w:rPr>
          <w:noProof/>
        </w:rPr>
        <w:t>26</w:t>
      </w:r>
      <w:r>
        <w:rPr>
          <w:noProof/>
        </w:rPr>
        <w:fldChar w:fldCharType="end"/>
      </w:r>
    </w:p>
    <w:p w14:paraId="149664F2" w14:textId="46880D89" w:rsidR="009855E6" w:rsidRDefault="009855E6">
      <w:pPr>
        <w:pStyle w:val="TOC1"/>
        <w:rPr>
          <w:rFonts w:asciiTheme="minorHAnsi" w:eastAsiaTheme="minorEastAsia" w:hAnsiTheme="minorHAnsi" w:cstheme="minorBidi"/>
          <w:caps w:val="0"/>
          <w:noProof/>
          <w:sz w:val="22"/>
          <w:szCs w:val="22"/>
        </w:rPr>
      </w:pPr>
      <w:r w:rsidRPr="00897C42">
        <w:rPr>
          <w:caps w:val="0"/>
          <w:noProof/>
        </w:rPr>
        <w:t>THE BORROWER</w:t>
      </w:r>
      <w:r>
        <w:rPr>
          <w:noProof/>
        </w:rPr>
        <w:tab/>
        <w:t>A-</w:t>
      </w:r>
      <w:r>
        <w:rPr>
          <w:noProof/>
        </w:rPr>
        <w:fldChar w:fldCharType="begin"/>
      </w:r>
      <w:r>
        <w:rPr>
          <w:noProof/>
        </w:rPr>
        <w:instrText xml:space="preserve"> PAGEREF _Toc101330560 \h </w:instrText>
      </w:r>
      <w:r>
        <w:rPr>
          <w:noProof/>
        </w:rPr>
      </w:r>
      <w:r>
        <w:rPr>
          <w:noProof/>
        </w:rPr>
        <w:fldChar w:fldCharType="separate"/>
      </w:r>
      <w:r>
        <w:rPr>
          <w:noProof/>
        </w:rPr>
        <w:t>26</w:t>
      </w:r>
      <w:r>
        <w:rPr>
          <w:noProof/>
        </w:rPr>
        <w:fldChar w:fldCharType="end"/>
      </w:r>
    </w:p>
    <w:p w14:paraId="68AB4FBC" w14:textId="6D5843E6" w:rsidR="009855E6" w:rsidRDefault="009855E6">
      <w:pPr>
        <w:pStyle w:val="TOC2"/>
        <w:tabs>
          <w:tab w:val="right" w:leader="dot" w:pos="9350"/>
        </w:tabs>
        <w:rPr>
          <w:rFonts w:asciiTheme="minorHAnsi" w:eastAsiaTheme="minorEastAsia" w:hAnsiTheme="minorHAnsi" w:cstheme="minorBidi"/>
          <w:noProof/>
          <w:sz w:val="22"/>
          <w:szCs w:val="22"/>
        </w:rPr>
      </w:pPr>
      <w:r>
        <w:rPr>
          <w:noProof/>
        </w:rPr>
        <w:t>General</w:t>
      </w:r>
      <w:r>
        <w:rPr>
          <w:noProof/>
        </w:rPr>
        <w:tab/>
        <w:t>A-</w:t>
      </w:r>
      <w:r>
        <w:rPr>
          <w:noProof/>
        </w:rPr>
        <w:fldChar w:fldCharType="begin"/>
      </w:r>
      <w:r>
        <w:rPr>
          <w:noProof/>
        </w:rPr>
        <w:instrText xml:space="preserve"> PAGEREF _Toc101330561 \h </w:instrText>
      </w:r>
      <w:r>
        <w:rPr>
          <w:noProof/>
        </w:rPr>
      </w:r>
      <w:r>
        <w:rPr>
          <w:noProof/>
        </w:rPr>
        <w:fldChar w:fldCharType="separate"/>
      </w:r>
      <w:r>
        <w:rPr>
          <w:noProof/>
        </w:rPr>
        <w:t>26</w:t>
      </w:r>
      <w:r>
        <w:rPr>
          <w:noProof/>
        </w:rPr>
        <w:fldChar w:fldCharType="end"/>
      </w:r>
    </w:p>
    <w:p w14:paraId="0F1EC581" w14:textId="0340EEFE" w:rsidR="009855E6" w:rsidRDefault="009855E6">
      <w:pPr>
        <w:pStyle w:val="TOC2"/>
        <w:tabs>
          <w:tab w:val="right" w:leader="dot" w:pos="9350"/>
        </w:tabs>
        <w:rPr>
          <w:rFonts w:asciiTheme="minorHAnsi" w:eastAsiaTheme="minorEastAsia" w:hAnsiTheme="minorHAnsi" w:cstheme="minorBidi"/>
          <w:noProof/>
          <w:sz w:val="22"/>
          <w:szCs w:val="22"/>
        </w:rPr>
      </w:pPr>
      <w:r>
        <w:rPr>
          <w:noProof/>
        </w:rPr>
        <w:t>Governance</w:t>
      </w:r>
      <w:r>
        <w:rPr>
          <w:noProof/>
        </w:rPr>
        <w:tab/>
        <w:t>A-</w:t>
      </w:r>
      <w:r>
        <w:rPr>
          <w:noProof/>
        </w:rPr>
        <w:fldChar w:fldCharType="begin"/>
      </w:r>
      <w:r>
        <w:rPr>
          <w:noProof/>
        </w:rPr>
        <w:instrText xml:space="preserve"> PAGEREF _Toc101330562 \h </w:instrText>
      </w:r>
      <w:r>
        <w:rPr>
          <w:noProof/>
        </w:rPr>
      </w:r>
      <w:r>
        <w:rPr>
          <w:noProof/>
        </w:rPr>
        <w:fldChar w:fldCharType="separate"/>
      </w:r>
      <w:r>
        <w:rPr>
          <w:noProof/>
        </w:rPr>
        <w:t>26</w:t>
      </w:r>
      <w:r>
        <w:rPr>
          <w:noProof/>
        </w:rPr>
        <w:fldChar w:fldCharType="end"/>
      </w:r>
    </w:p>
    <w:p w14:paraId="2A8B900D" w14:textId="153D4C6D" w:rsidR="009855E6" w:rsidRDefault="009855E6">
      <w:pPr>
        <w:pStyle w:val="TOC2"/>
        <w:tabs>
          <w:tab w:val="right" w:leader="dot" w:pos="9350"/>
        </w:tabs>
        <w:rPr>
          <w:rFonts w:asciiTheme="minorHAnsi" w:eastAsiaTheme="minorEastAsia" w:hAnsiTheme="minorHAnsi" w:cstheme="minorBidi"/>
          <w:noProof/>
          <w:sz w:val="22"/>
          <w:szCs w:val="22"/>
        </w:rPr>
      </w:pPr>
      <w:r>
        <w:rPr>
          <w:noProof/>
        </w:rPr>
        <w:t>Role in the Financing</w:t>
      </w:r>
      <w:r>
        <w:rPr>
          <w:noProof/>
        </w:rPr>
        <w:tab/>
        <w:t>A-</w:t>
      </w:r>
      <w:r>
        <w:rPr>
          <w:noProof/>
        </w:rPr>
        <w:fldChar w:fldCharType="begin"/>
      </w:r>
      <w:r>
        <w:rPr>
          <w:noProof/>
        </w:rPr>
        <w:instrText xml:space="preserve"> PAGEREF _Toc101330563 \h </w:instrText>
      </w:r>
      <w:r>
        <w:rPr>
          <w:noProof/>
        </w:rPr>
      </w:r>
      <w:r>
        <w:rPr>
          <w:noProof/>
        </w:rPr>
        <w:fldChar w:fldCharType="separate"/>
      </w:r>
      <w:r>
        <w:rPr>
          <w:noProof/>
        </w:rPr>
        <w:t>27</w:t>
      </w:r>
      <w:r>
        <w:rPr>
          <w:noProof/>
        </w:rPr>
        <w:fldChar w:fldCharType="end"/>
      </w:r>
    </w:p>
    <w:p w14:paraId="47220050" w14:textId="6992B484" w:rsidR="009855E6" w:rsidRDefault="009855E6">
      <w:pPr>
        <w:pStyle w:val="TOC1"/>
        <w:rPr>
          <w:rFonts w:asciiTheme="minorHAnsi" w:eastAsiaTheme="minorEastAsia" w:hAnsiTheme="minorHAnsi" w:cstheme="minorBidi"/>
          <w:caps w:val="0"/>
          <w:noProof/>
          <w:sz w:val="22"/>
          <w:szCs w:val="22"/>
        </w:rPr>
      </w:pPr>
      <w:r w:rsidRPr="00897C42">
        <w:rPr>
          <w:caps w:val="0"/>
          <w:noProof/>
        </w:rPr>
        <w:t>THE MEMBER OF THE OBLIGATED GROUP</w:t>
      </w:r>
      <w:r>
        <w:rPr>
          <w:noProof/>
        </w:rPr>
        <w:tab/>
        <w:t>A-</w:t>
      </w:r>
      <w:r>
        <w:rPr>
          <w:noProof/>
        </w:rPr>
        <w:fldChar w:fldCharType="begin"/>
      </w:r>
      <w:r>
        <w:rPr>
          <w:noProof/>
        </w:rPr>
        <w:instrText xml:space="preserve"> PAGEREF _Toc101330564 \h </w:instrText>
      </w:r>
      <w:r>
        <w:rPr>
          <w:noProof/>
        </w:rPr>
      </w:r>
      <w:r>
        <w:rPr>
          <w:noProof/>
        </w:rPr>
        <w:fldChar w:fldCharType="separate"/>
      </w:r>
      <w:r>
        <w:rPr>
          <w:noProof/>
        </w:rPr>
        <w:t>27</w:t>
      </w:r>
      <w:r>
        <w:rPr>
          <w:noProof/>
        </w:rPr>
        <w:fldChar w:fldCharType="end"/>
      </w:r>
    </w:p>
    <w:p w14:paraId="7E72E2BD" w14:textId="5023EA35" w:rsidR="009855E6" w:rsidRDefault="009855E6">
      <w:pPr>
        <w:pStyle w:val="TOC2"/>
        <w:tabs>
          <w:tab w:val="right" w:leader="dot" w:pos="9350"/>
        </w:tabs>
        <w:rPr>
          <w:rFonts w:asciiTheme="minorHAnsi" w:eastAsiaTheme="minorEastAsia" w:hAnsiTheme="minorHAnsi" w:cstheme="minorBidi"/>
          <w:noProof/>
          <w:sz w:val="22"/>
          <w:szCs w:val="22"/>
        </w:rPr>
      </w:pPr>
      <w:r>
        <w:rPr>
          <w:noProof/>
        </w:rPr>
        <w:t>General</w:t>
      </w:r>
      <w:r>
        <w:rPr>
          <w:noProof/>
        </w:rPr>
        <w:tab/>
        <w:t>A-</w:t>
      </w:r>
      <w:r>
        <w:rPr>
          <w:noProof/>
        </w:rPr>
        <w:fldChar w:fldCharType="begin"/>
      </w:r>
      <w:r>
        <w:rPr>
          <w:noProof/>
        </w:rPr>
        <w:instrText xml:space="preserve"> PAGEREF _Toc101330565 \h </w:instrText>
      </w:r>
      <w:r>
        <w:rPr>
          <w:noProof/>
        </w:rPr>
      </w:r>
      <w:r>
        <w:rPr>
          <w:noProof/>
        </w:rPr>
        <w:fldChar w:fldCharType="separate"/>
      </w:r>
      <w:r>
        <w:rPr>
          <w:noProof/>
        </w:rPr>
        <w:t>27</w:t>
      </w:r>
      <w:r>
        <w:rPr>
          <w:noProof/>
        </w:rPr>
        <w:fldChar w:fldCharType="end"/>
      </w:r>
    </w:p>
    <w:p w14:paraId="08356DE1" w14:textId="18715929" w:rsidR="00CD67BC" w:rsidRDefault="00E01399" w:rsidP="00E01399">
      <w:r>
        <w:fldChar w:fldCharType="end"/>
      </w:r>
    </w:p>
    <w:p w14:paraId="6A6CC5A0" w14:textId="2F6D4871" w:rsidR="00E01399" w:rsidRPr="00CD67BC" w:rsidRDefault="00CD67BC" w:rsidP="00CD67BC">
      <w:pPr>
        <w:tabs>
          <w:tab w:val="left" w:pos="1170"/>
          <w:tab w:val="left" w:pos="1440"/>
          <w:tab w:val="right" w:leader="dot" w:pos="9360"/>
        </w:tabs>
        <w:ind w:left="1440" w:hanging="1440"/>
      </w:pPr>
      <w:r w:rsidRPr="00CD67BC">
        <w:t>EXHIBIT A</w:t>
      </w:r>
      <w:r w:rsidRPr="00CD67BC">
        <w:tab/>
        <w:t xml:space="preserve">– </w:t>
      </w:r>
      <w:r>
        <w:tab/>
      </w:r>
      <w:r w:rsidRPr="00CD67BC">
        <w:t xml:space="preserve">MEMORANDUM OF UNDERSTANDING BETWEEN ENCORE AND </w:t>
      </w:r>
      <w:r>
        <w:br/>
      </w:r>
      <w:r w:rsidRPr="00CD67BC">
        <w:t>HESPERIA USD</w:t>
      </w:r>
      <w:r w:rsidRPr="00CD67BC">
        <w:tab/>
        <w:t>A-A-1</w:t>
      </w:r>
      <w:r w:rsidRPr="00CD67BC">
        <w:tab/>
      </w:r>
    </w:p>
    <w:p w14:paraId="69E67EAA" w14:textId="77777777" w:rsidR="00E01399" w:rsidRDefault="00E01399" w:rsidP="00E01399">
      <w:pPr>
        <w:sectPr w:rsidR="00E01399">
          <w:footnotePr>
            <w:numFmt w:val="chicago"/>
            <w:numRestart w:val="eachPage"/>
          </w:footnotePr>
          <w:pgSz w:w="12240" w:h="15840"/>
          <w:pgMar w:top="1440" w:right="1440" w:bottom="1440" w:left="1440" w:header="720" w:footer="720" w:gutter="0"/>
          <w:cols w:space="720"/>
        </w:sectPr>
      </w:pPr>
    </w:p>
    <w:p w14:paraId="4A961D0B" w14:textId="77777777" w:rsidR="00E01399" w:rsidRDefault="00E01399" w:rsidP="00E01399">
      <w:pPr>
        <w:spacing w:after="360"/>
        <w:jc w:val="center"/>
        <w:rPr>
          <w:b/>
          <w:bCs/>
        </w:rPr>
      </w:pPr>
      <w:r>
        <w:rPr>
          <w:b/>
          <w:bCs/>
        </w:rPr>
        <w:lastRenderedPageBreak/>
        <w:t>APPENDIX A</w:t>
      </w:r>
    </w:p>
    <w:p w14:paraId="086B7CE0" w14:textId="70169820" w:rsidR="003910DA" w:rsidRDefault="003910DA" w:rsidP="003910DA">
      <w:pPr>
        <w:spacing w:after="240"/>
        <w:jc w:val="center"/>
      </w:pPr>
      <w:bookmarkStart w:id="0" w:name="OLE_LINK6"/>
      <w:bookmarkStart w:id="1" w:name="OLE_LINK5"/>
      <w:r>
        <w:rPr>
          <w:b/>
          <w:bCs/>
        </w:rPr>
        <w:t xml:space="preserve">CERTAIN INFORMATION REGARDING ENCORE, THE SCHOOL, </w:t>
      </w:r>
      <w:r w:rsidR="00E17847">
        <w:rPr>
          <w:b/>
          <w:bCs/>
        </w:rPr>
        <w:br/>
      </w:r>
      <w:r>
        <w:rPr>
          <w:b/>
          <w:bCs/>
        </w:rPr>
        <w:t>THE CORPORATION AND THE OBLIGATED GROUP</w:t>
      </w:r>
    </w:p>
    <w:p w14:paraId="1D62A1FA" w14:textId="119A8BA3" w:rsidR="00E01399" w:rsidRDefault="00E01399" w:rsidP="00510BB0">
      <w:pPr>
        <w:pStyle w:val="BodyText"/>
        <w:spacing w:after="360"/>
        <w:rPr>
          <w:iCs/>
        </w:rPr>
      </w:pPr>
      <w:r>
        <w:rPr>
          <w:i/>
          <w:iCs/>
        </w:rPr>
        <w:t xml:space="preserve">Certain statements contained in this Appendix reflect forecasts, projections and “forward-looking statements.”  No assurance can be given that the future results discussed herein will be achieved.  Actual results may differ materially from the forecasts described herein.  In this respect, the words “estimate,” “project,” “anticipate,” “expect,” “intend,” “believe” and similar expressions are intended to identify forward-looking statements.  All projections, forecasts, assumptions, expressions of opinions, estimates and other forward-looking statements are expressly qualified in their entirety by the cautionary statements set forth in this </w:t>
      </w:r>
      <w:r w:rsidR="003910DA">
        <w:rPr>
          <w:i/>
          <w:iCs/>
        </w:rPr>
        <w:t xml:space="preserve">Private Placement </w:t>
      </w:r>
      <w:r>
        <w:rPr>
          <w:i/>
          <w:iCs/>
        </w:rPr>
        <w:t xml:space="preserve">Memorandum.  Unless otherwise noted, all information, data, and projections in this Appendix were furnished by the Borrower.  All capitalized terms in this Appendix A that are not defined herein will have such meaning as given to them in the forepart of this </w:t>
      </w:r>
      <w:r w:rsidR="003910DA">
        <w:rPr>
          <w:i/>
          <w:iCs/>
        </w:rPr>
        <w:t>Private Placement</w:t>
      </w:r>
      <w:r>
        <w:rPr>
          <w:i/>
          <w:iCs/>
        </w:rPr>
        <w:t xml:space="preserve"> Memorandum.</w:t>
      </w:r>
    </w:p>
    <w:p w14:paraId="77A81B70" w14:textId="0A6F98F2" w:rsidR="00D56C06" w:rsidRDefault="003910DA" w:rsidP="00D56C06">
      <w:pPr>
        <w:pStyle w:val="Heading1"/>
      </w:pPr>
      <w:bookmarkStart w:id="2" w:name="_Toc101330543"/>
      <w:bookmarkStart w:id="3" w:name="_Toc38372114"/>
      <w:r>
        <w:t>ENCORE EDUCATION CORPORATION</w:t>
      </w:r>
      <w:bookmarkEnd w:id="2"/>
    </w:p>
    <w:p w14:paraId="379D3512" w14:textId="0A8691DD" w:rsidR="00905C21" w:rsidRDefault="00905C21" w:rsidP="00905C21">
      <w:pPr>
        <w:spacing w:after="240"/>
        <w:ind w:firstLine="720"/>
        <w:jc w:val="both"/>
      </w:pPr>
      <w:bookmarkStart w:id="4" w:name="_Toc64380670"/>
      <w:r w:rsidRPr="00EB659F">
        <w:t xml:space="preserve">The following section presents general information regarding </w:t>
      </w:r>
      <w:r>
        <w:t>Encore</w:t>
      </w:r>
      <w:r w:rsidRPr="00EB659F">
        <w:t xml:space="preserve"> Education</w:t>
      </w:r>
      <w:r>
        <w:t xml:space="preserve"> Corporation (“Encore”)</w:t>
      </w:r>
      <w:r w:rsidRPr="00EB659F">
        <w:t xml:space="preserve">.  However, the obligation of </w:t>
      </w:r>
      <w:r>
        <w:t xml:space="preserve">Encore </w:t>
      </w:r>
      <w:r w:rsidRPr="00EB659F">
        <w:t xml:space="preserve">to </w:t>
      </w:r>
      <w:r>
        <w:t>pay amounts due under the Lease</w:t>
      </w:r>
      <w:r w:rsidRPr="00EB659F">
        <w:t xml:space="preserve"> is limited to the </w:t>
      </w:r>
      <w:r>
        <w:t>Gross School Revenues, as defined under the Lease, which are generally limited to revenues of Encore associated with the operation of Encore Jr./Sr. High School for the Performing and Visual Arts (the “School”)</w:t>
      </w:r>
      <w:r w:rsidRPr="00EB659F">
        <w:t xml:space="preserve">.  See </w:t>
      </w:r>
      <w:r>
        <w:t>“THE LEASE”</w:t>
      </w:r>
      <w:r w:rsidRPr="00EB659F">
        <w:t xml:space="preserve"> in the </w:t>
      </w:r>
      <w:r>
        <w:t xml:space="preserve">forepart of the Private Placement </w:t>
      </w:r>
      <w:r w:rsidRPr="00EB659F">
        <w:t xml:space="preserve">Memorandum to which this Appendix is attached.  </w:t>
      </w:r>
    </w:p>
    <w:p w14:paraId="2509D2C6" w14:textId="0CA6CDD8" w:rsidR="00905C21" w:rsidRPr="00EB659F" w:rsidRDefault="00905C21" w:rsidP="00905C21">
      <w:pPr>
        <w:spacing w:after="240"/>
        <w:ind w:firstLine="720"/>
        <w:jc w:val="both"/>
      </w:pPr>
      <w:r w:rsidRPr="00F4161C">
        <w:rPr>
          <w:b/>
        </w:rPr>
        <w:t xml:space="preserve">The inclusion in this appendix of information regarding financial results of </w:t>
      </w:r>
      <w:r>
        <w:rPr>
          <w:b/>
        </w:rPr>
        <w:t xml:space="preserve">or the </w:t>
      </w:r>
      <w:r w:rsidRPr="00F4161C">
        <w:rPr>
          <w:b/>
        </w:rPr>
        <w:t xml:space="preserve">operation of </w:t>
      </w:r>
      <w:r>
        <w:rPr>
          <w:b/>
        </w:rPr>
        <w:t>any charter school</w:t>
      </w:r>
      <w:r w:rsidRPr="00F4161C">
        <w:rPr>
          <w:b/>
        </w:rPr>
        <w:t xml:space="preserve"> other than the School does not indicate that such moneys are available for the satisfaction</w:t>
      </w:r>
      <w:r>
        <w:rPr>
          <w:b/>
        </w:rPr>
        <w:t xml:space="preserve"> of obligations under the Lease</w:t>
      </w:r>
      <w:r w:rsidRPr="00F4161C">
        <w:rPr>
          <w:b/>
        </w:rPr>
        <w:t>.</w:t>
      </w:r>
      <w:r w:rsidRPr="00EB659F">
        <w:t xml:space="preserve">  Beneficial Owners of the Bonds and the Trustee will not have any rights against the assets of </w:t>
      </w:r>
      <w:r>
        <w:t xml:space="preserve">Encore </w:t>
      </w:r>
      <w:r w:rsidRPr="00EB659F">
        <w:t xml:space="preserve">to pay any debt service on the Bonds, except as specifically provided in the </w:t>
      </w:r>
      <w:r>
        <w:t>documents governing the issuance of the Bonds and the Lease</w:t>
      </w:r>
      <w:r w:rsidRPr="00EB659F">
        <w:t>.</w:t>
      </w:r>
    </w:p>
    <w:p w14:paraId="07318D8E" w14:textId="77777777" w:rsidR="00D56C06" w:rsidRDefault="00D56C06" w:rsidP="00D56C06">
      <w:pPr>
        <w:pStyle w:val="Heading2"/>
      </w:pPr>
      <w:bookmarkStart w:id="5" w:name="_Toc101330544"/>
      <w:r>
        <w:t>General</w:t>
      </w:r>
      <w:bookmarkEnd w:id="4"/>
      <w:bookmarkEnd w:id="5"/>
    </w:p>
    <w:p w14:paraId="1310296D" w14:textId="618BCAEE" w:rsidR="00D56C06" w:rsidRDefault="00905C21" w:rsidP="00E92BCC">
      <w:pPr>
        <w:spacing w:after="240"/>
        <w:ind w:firstLine="720"/>
        <w:jc w:val="both"/>
      </w:pPr>
      <w:r>
        <w:t xml:space="preserve">Encore is a </w:t>
      </w:r>
      <w:r w:rsidRPr="00EB659F">
        <w:t xml:space="preserve">California nonprofit public benefit corporation and </w:t>
      </w:r>
      <w:r>
        <w:t>an organization described in</w:t>
      </w:r>
      <w:r w:rsidRPr="00EB659F">
        <w:t xml:space="preserve"> Section</w:t>
      </w:r>
      <w:r>
        <w:t> </w:t>
      </w:r>
      <w:r w:rsidRPr="00EB659F">
        <w:t xml:space="preserve">501(c)(3) of the </w:t>
      </w:r>
      <w:r>
        <w:t xml:space="preserve">Internal Revenue </w:t>
      </w:r>
      <w:r w:rsidRPr="00EB659F">
        <w:t>Code</w:t>
      </w:r>
      <w:r>
        <w:t xml:space="preserve"> of 1986, as amended (the “Code”).  Encore </w:t>
      </w:r>
      <w:r w:rsidRPr="00062576">
        <w:t xml:space="preserve">currently holds </w:t>
      </w:r>
      <w:r>
        <w:t xml:space="preserve">one </w:t>
      </w:r>
      <w:r w:rsidRPr="00062576">
        <w:t xml:space="preserve">charter authorized by the Hesperia Unified School District </w:t>
      </w:r>
      <w:r>
        <w:t xml:space="preserve">(“Hesperia USD”) </w:t>
      </w:r>
      <w:r w:rsidRPr="00062576">
        <w:t xml:space="preserve">and </w:t>
      </w:r>
      <w:r>
        <w:t>operates one charter school in Hesperia, California focusing on preparing students with a passion for the arts for college.</w:t>
      </w:r>
      <w:r w:rsidR="00E92BCC">
        <w:t xml:space="preserve">  Encore</w:t>
      </w:r>
      <w:r w:rsidR="00D56C06" w:rsidRPr="00681F0C">
        <w:t xml:space="preserve"> is the recipient of all state and federal revenue related to the operation of </w:t>
      </w:r>
      <w:r w:rsidR="00E92BCC">
        <w:t>the S</w:t>
      </w:r>
      <w:r w:rsidR="00D56C06" w:rsidRPr="00681F0C">
        <w:t>chool.</w:t>
      </w:r>
    </w:p>
    <w:p w14:paraId="4AF4EF37" w14:textId="7AC2625B" w:rsidR="001C0F68" w:rsidRDefault="001C0F68" w:rsidP="001C0F68">
      <w:pPr>
        <w:pStyle w:val="Heading2"/>
      </w:pPr>
      <w:bookmarkStart w:id="6" w:name="_Toc101330545"/>
      <w:r>
        <w:t>Governance and Administration</w:t>
      </w:r>
      <w:bookmarkEnd w:id="6"/>
    </w:p>
    <w:p w14:paraId="3B3BF91D" w14:textId="6968FD06" w:rsidR="001C0F68" w:rsidRDefault="00381196" w:rsidP="001C0F68">
      <w:pPr>
        <w:pStyle w:val="BodyText"/>
      </w:pPr>
      <w:r>
        <w:rPr>
          <w:b/>
          <w:bCs/>
          <w:i/>
          <w:iCs/>
        </w:rPr>
        <w:t xml:space="preserve">Board of Directors.  </w:t>
      </w:r>
      <w:r w:rsidR="001C0F68">
        <w:t xml:space="preserve">Encore is governed by its board of directors (the “Board”).  The Board comprises no fewer than five and no more than </w:t>
      </w:r>
      <w:r>
        <w:t>nine</w:t>
      </w:r>
      <w:r w:rsidR="001C0F68">
        <w:t xml:space="preserve"> members.  The Board currently comprises </w:t>
      </w:r>
      <w:r>
        <w:t>four</w:t>
      </w:r>
      <w:r w:rsidR="001C0F68">
        <w:t xml:space="preserve"> members</w:t>
      </w:r>
      <w:r>
        <w:t>, with one vacancy</w:t>
      </w:r>
      <w:r w:rsidR="001C0F68">
        <w:t xml:space="preserve">.  Members of the Board serve terms of </w:t>
      </w:r>
      <w:r>
        <w:t>two</w:t>
      </w:r>
      <w:r w:rsidR="001C0F68">
        <w:t xml:space="preserve"> years and until a successor is designated and qualified.  Director</w:t>
      </w:r>
      <w:r>
        <w:t>s</w:t>
      </w:r>
      <w:r w:rsidR="001C0F68">
        <w:t xml:space="preserve"> </w:t>
      </w:r>
      <w:r>
        <w:t xml:space="preserve">may </w:t>
      </w:r>
      <w:r w:rsidR="001C0F68">
        <w:t xml:space="preserve">serve </w:t>
      </w:r>
      <w:r>
        <w:t xml:space="preserve">multiple </w:t>
      </w:r>
      <w:r w:rsidR="001C0F68">
        <w:t xml:space="preserve">terms.  In accordance with Section 47604I of the California Education Code, </w:t>
      </w:r>
      <w:r>
        <w:t>Hesperia USD</w:t>
      </w:r>
      <w:r w:rsidR="001C0F68">
        <w:t xml:space="preserve"> is entitled to a representative on the Board; but </w:t>
      </w:r>
      <w:r>
        <w:t xml:space="preserve">Hesperia USD </w:t>
      </w:r>
      <w:r w:rsidR="001C0F68">
        <w:t xml:space="preserve">has not appointed a member of the Board.  </w:t>
      </w:r>
    </w:p>
    <w:p w14:paraId="06D09C24" w14:textId="77777777" w:rsidR="001C0F68" w:rsidRDefault="001C0F68" w:rsidP="001C0F68">
      <w:pPr>
        <w:pStyle w:val="BodyText"/>
      </w:pPr>
      <w:r>
        <w:t xml:space="preserve">Vacancies on the Board, except for a vacancy with respect to a representative appointed by the charter authorizer, may be filled by approval of the Board or, if the number of directors then in office is less than a quorum, by (a) the affirmative vote of a majority of the directors then in office at a regular or special meeting of the Board, or (b) a sole remaining director.  A vacancy in the seat of the representative of the charter authorizer shall be filled by the charter authorizer.  </w:t>
      </w:r>
    </w:p>
    <w:p w14:paraId="0C02B2F3" w14:textId="5AFBF58D" w:rsidR="001C0F68" w:rsidRDefault="001C0F68" w:rsidP="001C0F68">
      <w:pPr>
        <w:pStyle w:val="BodyText"/>
      </w:pPr>
      <w:r>
        <w:lastRenderedPageBreak/>
        <w:t xml:space="preserve">The following table lists the current members of the Board as well as their titles, when they joined the Board and the expiration of their current term.  </w:t>
      </w:r>
    </w:p>
    <w:p w14:paraId="0F07FCF7" w14:textId="2E938BA4" w:rsidR="00381196" w:rsidRDefault="00381196" w:rsidP="00381196">
      <w:pPr>
        <w:pStyle w:val="BodyText"/>
        <w:ind w:firstLine="0"/>
        <w:jc w:val="center"/>
      </w:pPr>
      <w:r>
        <w:t>[TO BE UPDATED – ONE MEMBER HAS RESIGNED, PER SABRINA]</w:t>
      </w:r>
    </w:p>
    <w:tbl>
      <w:tblPr>
        <w:tblStyle w:val="TableGrid"/>
        <w:tblW w:w="97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440"/>
        <w:gridCol w:w="3168"/>
        <w:gridCol w:w="1710"/>
        <w:gridCol w:w="1655"/>
      </w:tblGrid>
      <w:tr w:rsidR="001C0F68" w:rsidRPr="007B6A7A" w14:paraId="633D0207" w14:textId="77777777" w:rsidTr="00381196">
        <w:trPr>
          <w:tblHeader/>
          <w:jc w:val="center"/>
        </w:trPr>
        <w:tc>
          <w:tcPr>
            <w:tcW w:w="1728" w:type="dxa"/>
            <w:tcBorders>
              <w:top w:val="nil"/>
              <w:left w:val="nil"/>
              <w:bottom w:val="single" w:sz="4" w:space="0" w:color="auto"/>
              <w:right w:val="nil"/>
            </w:tcBorders>
            <w:hideMark/>
          </w:tcPr>
          <w:p w14:paraId="5E97CBA6" w14:textId="77777777" w:rsidR="001C0F68" w:rsidRPr="007B6A7A" w:rsidRDefault="001C0F68" w:rsidP="00C634FA">
            <w:pPr>
              <w:pStyle w:val="BodyText"/>
              <w:spacing w:after="0"/>
              <w:ind w:firstLine="0"/>
              <w:rPr>
                <w:b/>
                <w:sz w:val="20"/>
                <w:szCs w:val="20"/>
              </w:rPr>
            </w:pPr>
            <w:r w:rsidRPr="007B6A7A">
              <w:rPr>
                <w:b/>
                <w:sz w:val="20"/>
                <w:szCs w:val="20"/>
              </w:rPr>
              <w:t>Name</w:t>
            </w:r>
          </w:p>
        </w:tc>
        <w:tc>
          <w:tcPr>
            <w:tcW w:w="1440" w:type="dxa"/>
            <w:tcBorders>
              <w:top w:val="nil"/>
              <w:left w:val="nil"/>
              <w:bottom w:val="single" w:sz="4" w:space="0" w:color="auto"/>
              <w:right w:val="nil"/>
            </w:tcBorders>
            <w:hideMark/>
          </w:tcPr>
          <w:p w14:paraId="006C8210" w14:textId="77777777" w:rsidR="001C0F68" w:rsidRPr="007B6A7A" w:rsidRDefault="001C0F68" w:rsidP="00C634FA">
            <w:pPr>
              <w:pStyle w:val="BodyText"/>
              <w:spacing w:after="0"/>
              <w:ind w:firstLine="0"/>
              <w:jc w:val="center"/>
              <w:rPr>
                <w:b/>
                <w:sz w:val="20"/>
                <w:szCs w:val="20"/>
              </w:rPr>
            </w:pPr>
            <w:r w:rsidRPr="007B6A7A">
              <w:rPr>
                <w:b/>
                <w:sz w:val="20"/>
                <w:szCs w:val="20"/>
              </w:rPr>
              <w:t>Title</w:t>
            </w:r>
          </w:p>
        </w:tc>
        <w:tc>
          <w:tcPr>
            <w:tcW w:w="3168" w:type="dxa"/>
            <w:tcBorders>
              <w:top w:val="nil"/>
              <w:left w:val="nil"/>
              <w:bottom w:val="single" w:sz="4" w:space="0" w:color="auto"/>
              <w:right w:val="nil"/>
            </w:tcBorders>
          </w:tcPr>
          <w:p w14:paraId="5DC662B9" w14:textId="77777777" w:rsidR="001C0F68" w:rsidRPr="007B6A7A" w:rsidRDefault="001C0F68" w:rsidP="00C634FA">
            <w:pPr>
              <w:pStyle w:val="BodyText"/>
              <w:spacing w:after="0"/>
              <w:ind w:firstLine="0"/>
              <w:jc w:val="center"/>
              <w:rPr>
                <w:b/>
                <w:sz w:val="20"/>
                <w:szCs w:val="20"/>
              </w:rPr>
            </w:pPr>
            <w:r>
              <w:rPr>
                <w:b/>
                <w:sz w:val="20"/>
                <w:szCs w:val="20"/>
              </w:rPr>
              <w:t>Occupation</w:t>
            </w:r>
          </w:p>
        </w:tc>
        <w:tc>
          <w:tcPr>
            <w:tcW w:w="1710" w:type="dxa"/>
            <w:tcBorders>
              <w:top w:val="nil"/>
              <w:left w:val="nil"/>
              <w:bottom w:val="single" w:sz="4" w:space="0" w:color="auto"/>
              <w:right w:val="nil"/>
            </w:tcBorders>
            <w:hideMark/>
          </w:tcPr>
          <w:p w14:paraId="1EC634EB" w14:textId="77777777" w:rsidR="001C0F68" w:rsidRPr="007B6A7A" w:rsidRDefault="001C0F68" w:rsidP="00C634FA">
            <w:pPr>
              <w:pStyle w:val="BodyText"/>
              <w:spacing w:after="0"/>
              <w:ind w:firstLine="0"/>
              <w:jc w:val="center"/>
              <w:rPr>
                <w:b/>
                <w:sz w:val="20"/>
                <w:szCs w:val="20"/>
              </w:rPr>
            </w:pPr>
            <w:r w:rsidRPr="007B6A7A">
              <w:rPr>
                <w:b/>
                <w:sz w:val="20"/>
                <w:szCs w:val="20"/>
              </w:rPr>
              <w:t>Joined Board</w:t>
            </w:r>
          </w:p>
        </w:tc>
        <w:tc>
          <w:tcPr>
            <w:tcW w:w="1655" w:type="dxa"/>
            <w:tcBorders>
              <w:top w:val="nil"/>
              <w:left w:val="nil"/>
              <w:bottom w:val="single" w:sz="4" w:space="0" w:color="auto"/>
              <w:right w:val="nil"/>
            </w:tcBorders>
            <w:hideMark/>
          </w:tcPr>
          <w:p w14:paraId="34E8D4EB" w14:textId="77777777" w:rsidR="001C0F68" w:rsidRPr="007B6A7A" w:rsidRDefault="001C0F68" w:rsidP="00C634FA">
            <w:pPr>
              <w:pStyle w:val="BodyText"/>
              <w:spacing w:after="0"/>
              <w:ind w:firstLine="0"/>
              <w:jc w:val="center"/>
              <w:rPr>
                <w:b/>
                <w:sz w:val="20"/>
                <w:szCs w:val="20"/>
              </w:rPr>
            </w:pPr>
            <w:r w:rsidRPr="007B6A7A">
              <w:rPr>
                <w:b/>
                <w:sz w:val="20"/>
                <w:szCs w:val="20"/>
              </w:rPr>
              <w:t>Term Expires</w:t>
            </w:r>
          </w:p>
        </w:tc>
      </w:tr>
      <w:tr w:rsidR="001C0F68" w:rsidRPr="007B6A7A" w14:paraId="7653D2FA" w14:textId="77777777" w:rsidTr="00381196">
        <w:trPr>
          <w:cantSplit/>
          <w:jc w:val="center"/>
        </w:trPr>
        <w:tc>
          <w:tcPr>
            <w:tcW w:w="1728" w:type="dxa"/>
          </w:tcPr>
          <w:p w14:paraId="3683AB66" w14:textId="51916C94" w:rsidR="001C0F68" w:rsidRPr="0018068B" w:rsidRDefault="00381196" w:rsidP="00C634FA">
            <w:pPr>
              <w:spacing w:after="40"/>
              <w:rPr>
                <w:sz w:val="20"/>
                <w:szCs w:val="20"/>
              </w:rPr>
            </w:pPr>
            <w:r>
              <w:rPr>
                <w:rStyle w:val="BodyTextChar2"/>
              </w:rPr>
              <w:t xml:space="preserve">Rob </w:t>
            </w:r>
            <w:proofErr w:type="spellStart"/>
            <w:r>
              <w:rPr>
                <w:rStyle w:val="BodyTextChar2"/>
              </w:rPr>
              <w:t>Gasler</w:t>
            </w:r>
            <w:proofErr w:type="spellEnd"/>
          </w:p>
        </w:tc>
        <w:tc>
          <w:tcPr>
            <w:tcW w:w="1440" w:type="dxa"/>
          </w:tcPr>
          <w:p w14:paraId="74532E42" w14:textId="77777777" w:rsidR="001C0F68" w:rsidRPr="0018068B" w:rsidRDefault="001C0F68" w:rsidP="00C634FA">
            <w:pPr>
              <w:spacing w:after="40"/>
              <w:jc w:val="center"/>
              <w:rPr>
                <w:sz w:val="20"/>
                <w:szCs w:val="20"/>
              </w:rPr>
            </w:pPr>
            <w:r w:rsidRPr="0018068B">
              <w:rPr>
                <w:sz w:val="20"/>
                <w:szCs w:val="20"/>
              </w:rPr>
              <w:t>President</w:t>
            </w:r>
          </w:p>
        </w:tc>
        <w:tc>
          <w:tcPr>
            <w:tcW w:w="3168" w:type="dxa"/>
          </w:tcPr>
          <w:p w14:paraId="3622A1BF" w14:textId="21E5A37D" w:rsidR="001C0F68" w:rsidRPr="0018068B" w:rsidRDefault="00381196" w:rsidP="00C634FA">
            <w:pPr>
              <w:spacing w:after="40"/>
              <w:jc w:val="center"/>
              <w:rPr>
                <w:color w:val="000000"/>
                <w:sz w:val="20"/>
                <w:szCs w:val="20"/>
              </w:rPr>
            </w:pPr>
            <w:r w:rsidRPr="00381196">
              <w:rPr>
                <w:color w:val="000000"/>
                <w:sz w:val="20"/>
                <w:szCs w:val="20"/>
              </w:rPr>
              <w:t>Retired Firefighter</w:t>
            </w:r>
          </w:p>
        </w:tc>
        <w:tc>
          <w:tcPr>
            <w:tcW w:w="1710" w:type="dxa"/>
            <w:vAlign w:val="center"/>
          </w:tcPr>
          <w:p w14:paraId="69A3FB52" w14:textId="17FEF4DB" w:rsidR="001C0F68" w:rsidRPr="0018068B" w:rsidRDefault="00381196" w:rsidP="00C634FA">
            <w:pPr>
              <w:spacing w:after="40"/>
              <w:jc w:val="center"/>
              <w:rPr>
                <w:color w:val="000000"/>
                <w:sz w:val="20"/>
                <w:szCs w:val="20"/>
              </w:rPr>
            </w:pPr>
            <w:r>
              <w:rPr>
                <w:color w:val="000000"/>
                <w:sz w:val="20"/>
                <w:szCs w:val="20"/>
              </w:rPr>
              <w:t>2017</w:t>
            </w:r>
          </w:p>
        </w:tc>
        <w:tc>
          <w:tcPr>
            <w:tcW w:w="1655" w:type="dxa"/>
            <w:vAlign w:val="center"/>
          </w:tcPr>
          <w:p w14:paraId="52ED57F2" w14:textId="2C9785AE" w:rsidR="001C0F68" w:rsidRPr="0018068B" w:rsidRDefault="00381196" w:rsidP="00C634FA">
            <w:pPr>
              <w:spacing w:after="40"/>
              <w:jc w:val="center"/>
              <w:rPr>
                <w:color w:val="000000"/>
                <w:sz w:val="20"/>
                <w:szCs w:val="20"/>
              </w:rPr>
            </w:pPr>
            <w:r>
              <w:rPr>
                <w:color w:val="000000"/>
                <w:sz w:val="20"/>
                <w:szCs w:val="20"/>
              </w:rPr>
              <w:t>June 2022</w:t>
            </w:r>
          </w:p>
        </w:tc>
      </w:tr>
      <w:tr w:rsidR="001C0F68" w:rsidRPr="007B6A7A" w14:paraId="2B4D6CF0" w14:textId="77777777" w:rsidTr="00381196">
        <w:trPr>
          <w:cantSplit/>
          <w:jc w:val="center"/>
        </w:trPr>
        <w:tc>
          <w:tcPr>
            <w:tcW w:w="1728" w:type="dxa"/>
          </w:tcPr>
          <w:p w14:paraId="08D1A886" w14:textId="647B90D9" w:rsidR="001C0F68" w:rsidRPr="0018068B" w:rsidRDefault="00381196" w:rsidP="00C634FA">
            <w:pPr>
              <w:spacing w:after="40"/>
              <w:rPr>
                <w:sz w:val="20"/>
                <w:szCs w:val="20"/>
              </w:rPr>
            </w:pPr>
            <w:proofErr w:type="spellStart"/>
            <w:r>
              <w:rPr>
                <w:rStyle w:val="BodyTextChar2"/>
              </w:rPr>
              <w:t>Chandale</w:t>
            </w:r>
            <w:proofErr w:type="spellEnd"/>
            <w:r>
              <w:rPr>
                <w:rStyle w:val="BodyTextChar2"/>
              </w:rPr>
              <w:t xml:space="preserve"> Sutton</w:t>
            </w:r>
          </w:p>
        </w:tc>
        <w:tc>
          <w:tcPr>
            <w:tcW w:w="1440" w:type="dxa"/>
          </w:tcPr>
          <w:p w14:paraId="6E3ADF23" w14:textId="425BA189" w:rsidR="001C0F68" w:rsidRPr="0018068B" w:rsidRDefault="00381196" w:rsidP="00C634FA">
            <w:pPr>
              <w:spacing w:after="40"/>
              <w:jc w:val="center"/>
              <w:rPr>
                <w:sz w:val="20"/>
                <w:szCs w:val="20"/>
              </w:rPr>
            </w:pPr>
            <w:r>
              <w:rPr>
                <w:sz w:val="20"/>
                <w:szCs w:val="20"/>
              </w:rPr>
              <w:t>Vice President</w:t>
            </w:r>
          </w:p>
        </w:tc>
        <w:tc>
          <w:tcPr>
            <w:tcW w:w="3168" w:type="dxa"/>
          </w:tcPr>
          <w:p w14:paraId="638F4656" w14:textId="04DA6F3E" w:rsidR="001C0F68" w:rsidRPr="0018068B" w:rsidRDefault="00381196" w:rsidP="00C634FA">
            <w:pPr>
              <w:spacing w:after="40"/>
              <w:jc w:val="center"/>
              <w:rPr>
                <w:color w:val="000000"/>
                <w:sz w:val="20"/>
                <w:szCs w:val="20"/>
              </w:rPr>
            </w:pPr>
            <w:r w:rsidRPr="00381196">
              <w:rPr>
                <w:color w:val="000000"/>
                <w:sz w:val="20"/>
                <w:szCs w:val="20"/>
              </w:rPr>
              <w:t>Human Resources Director</w:t>
            </w:r>
          </w:p>
        </w:tc>
        <w:tc>
          <w:tcPr>
            <w:tcW w:w="1710" w:type="dxa"/>
            <w:vAlign w:val="center"/>
          </w:tcPr>
          <w:p w14:paraId="0A8A3E91" w14:textId="687E966C" w:rsidR="001C0F68" w:rsidRPr="0018068B" w:rsidRDefault="00381196" w:rsidP="00C634FA">
            <w:pPr>
              <w:spacing w:after="40"/>
              <w:jc w:val="center"/>
              <w:rPr>
                <w:color w:val="000000"/>
                <w:sz w:val="20"/>
                <w:szCs w:val="20"/>
              </w:rPr>
            </w:pPr>
            <w:r>
              <w:rPr>
                <w:color w:val="000000"/>
                <w:sz w:val="20"/>
                <w:szCs w:val="20"/>
              </w:rPr>
              <w:t>2021</w:t>
            </w:r>
          </w:p>
        </w:tc>
        <w:tc>
          <w:tcPr>
            <w:tcW w:w="1655" w:type="dxa"/>
            <w:vAlign w:val="center"/>
          </w:tcPr>
          <w:p w14:paraId="748EF4AC" w14:textId="44FDA8C1" w:rsidR="001C0F68" w:rsidRPr="0018068B" w:rsidRDefault="00381196" w:rsidP="00C634FA">
            <w:pPr>
              <w:spacing w:after="40"/>
              <w:jc w:val="center"/>
              <w:rPr>
                <w:color w:val="000000"/>
                <w:sz w:val="20"/>
                <w:szCs w:val="20"/>
              </w:rPr>
            </w:pPr>
            <w:r>
              <w:rPr>
                <w:color w:val="000000"/>
                <w:sz w:val="20"/>
                <w:szCs w:val="20"/>
              </w:rPr>
              <w:t>June 2023</w:t>
            </w:r>
          </w:p>
        </w:tc>
      </w:tr>
      <w:tr w:rsidR="001C0F68" w:rsidRPr="007B6A7A" w14:paraId="1D9CA4DE" w14:textId="77777777" w:rsidTr="00381196">
        <w:trPr>
          <w:cantSplit/>
          <w:jc w:val="center"/>
        </w:trPr>
        <w:tc>
          <w:tcPr>
            <w:tcW w:w="1728" w:type="dxa"/>
          </w:tcPr>
          <w:p w14:paraId="5458EFCE" w14:textId="698F347E" w:rsidR="001C0F68" w:rsidRPr="0018068B" w:rsidRDefault="00381196" w:rsidP="00C634FA">
            <w:pPr>
              <w:spacing w:after="40"/>
              <w:rPr>
                <w:sz w:val="20"/>
                <w:szCs w:val="20"/>
              </w:rPr>
            </w:pPr>
            <w:r>
              <w:rPr>
                <w:rStyle w:val="BodyTextChar2"/>
              </w:rPr>
              <w:t>Dr. Kelly Ahmed</w:t>
            </w:r>
          </w:p>
        </w:tc>
        <w:tc>
          <w:tcPr>
            <w:tcW w:w="1440" w:type="dxa"/>
          </w:tcPr>
          <w:p w14:paraId="72F489A6" w14:textId="4679ACF9" w:rsidR="001C0F68" w:rsidRPr="0018068B" w:rsidRDefault="00381196" w:rsidP="00C634FA">
            <w:pPr>
              <w:spacing w:after="40"/>
              <w:jc w:val="center"/>
              <w:rPr>
                <w:sz w:val="20"/>
                <w:szCs w:val="20"/>
              </w:rPr>
            </w:pPr>
            <w:r>
              <w:rPr>
                <w:sz w:val="20"/>
                <w:szCs w:val="20"/>
              </w:rPr>
              <w:t>Secretary</w:t>
            </w:r>
          </w:p>
        </w:tc>
        <w:tc>
          <w:tcPr>
            <w:tcW w:w="3168" w:type="dxa"/>
          </w:tcPr>
          <w:p w14:paraId="2A51A103" w14:textId="6D4CF5B3" w:rsidR="001C0F68" w:rsidRPr="0018068B" w:rsidRDefault="00381196" w:rsidP="00C634FA">
            <w:pPr>
              <w:spacing w:after="40"/>
              <w:jc w:val="center"/>
              <w:rPr>
                <w:color w:val="000000"/>
                <w:sz w:val="20"/>
                <w:szCs w:val="20"/>
              </w:rPr>
            </w:pPr>
            <w:r w:rsidRPr="00381196">
              <w:rPr>
                <w:color w:val="000000"/>
                <w:sz w:val="20"/>
                <w:szCs w:val="20"/>
              </w:rPr>
              <w:t>Medical Doctor</w:t>
            </w:r>
          </w:p>
        </w:tc>
        <w:tc>
          <w:tcPr>
            <w:tcW w:w="1710" w:type="dxa"/>
            <w:vAlign w:val="center"/>
          </w:tcPr>
          <w:p w14:paraId="189AC5BC" w14:textId="200DADEE" w:rsidR="001C0F68" w:rsidRPr="0018068B" w:rsidRDefault="00381196" w:rsidP="00C634FA">
            <w:pPr>
              <w:spacing w:after="40"/>
              <w:jc w:val="center"/>
              <w:rPr>
                <w:color w:val="000000"/>
                <w:sz w:val="20"/>
                <w:szCs w:val="20"/>
              </w:rPr>
            </w:pPr>
            <w:r>
              <w:rPr>
                <w:color w:val="000000"/>
                <w:sz w:val="20"/>
                <w:szCs w:val="20"/>
              </w:rPr>
              <w:t>2016</w:t>
            </w:r>
          </w:p>
        </w:tc>
        <w:tc>
          <w:tcPr>
            <w:tcW w:w="1655" w:type="dxa"/>
            <w:vAlign w:val="center"/>
          </w:tcPr>
          <w:p w14:paraId="04A08861" w14:textId="46F5F22C" w:rsidR="001C0F68" w:rsidRPr="0018068B" w:rsidRDefault="00381196" w:rsidP="00C634FA">
            <w:pPr>
              <w:spacing w:after="40"/>
              <w:jc w:val="center"/>
              <w:rPr>
                <w:color w:val="000000"/>
                <w:sz w:val="20"/>
                <w:szCs w:val="20"/>
              </w:rPr>
            </w:pPr>
            <w:r>
              <w:rPr>
                <w:color w:val="000000"/>
                <w:sz w:val="20"/>
                <w:szCs w:val="20"/>
              </w:rPr>
              <w:t>June 2023</w:t>
            </w:r>
          </w:p>
        </w:tc>
      </w:tr>
      <w:tr w:rsidR="001C0F68" w:rsidRPr="007B6A7A" w14:paraId="33304E6D" w14:textId="77777777" w:rsidTr="00381196">
        <w:trPr>
          <w:cantSplit/>
          <w:jc w:val="center"/>
        </w:trPr>
        <w:tc>
          <w:tcPr>
            <w:tcW w:w="1728" w:type="dxa"/>
          </w:tcPr>
          <w:p w14:paraId="1D6D91E5" w14:textId="3EFAE448" w:rsidR="001C0F68" w:rsidRPr="0018068B" w:rsidRDefault="00381196" w:rsidP="00C634FA">
            <w:pPr>
              <w:spacing w:after="40"/>
              <w:rPr>
                <w:sz w:val="20"/>
                <w:szCs w:val="20"/>
              </w:rPr>
            </w:pPr>
            <w:r>
              <w:rPr>
                <w:rStyle w:val="BodyTextChar2"/>
              </w:rPr>
              <w:t>Kathy Staley</w:t>
            </w:r>
          </w:p>
        </w:tc>
        <w:tc>
          <w:tcPr>
            <w:tcW w:w="1440" w:type="dxa"/>
          </w:tcPr>
          <w:p w14:paraId="0F82CF58" w14:textId="77777777" w:rsidR="001C0F68" w:rsidRPr="0018068B" w:rsidRDefault="001C0F68" w:rsidP="00C634FA">
            <w:pPr>
              <w:spacing w:after="40"/>
              <w:jc w:val="center"/>
              <w:rPr>
                <w:sz w:val="20"/>
                <w:szCs w:val="20"/>
              </w:rPr>
            </w:pPr>
            <w:r w:rsidRPr="0018068B">
              <w:rPr>
                <w:sz w:val="20"/>
                <w:szCs w:val="20"/>
              </w:rPr>
              <w:t>Member</w:t>
            </w:r>
          </w:p>
        </w:tc>
        <w:tc>
          <w:tcPr>
            <w:tcW w:w="3168" w:type="dxa"/>
          </w:tcPr>
          <w:p w14:paraId="28590B95" w14:textId="456DDA79" w:rsidR="001C0F68" w:rsidRPr="0018068B" w:rsidRDefault="001C0F68" w:rsidP="00C634FA">
            <w:pPr>
              <w:spacing w:after="40"/>
              <w:jc w:val="center"/>
              <w:rPr>
                <w:color w:val="000000"/>
                <w:sz w:val="20"/>
                <w:szCs w:val="20"/>
              </w:rPr>
            </w:pPr>
          </w:p>
        </w:tc>
        <w:tc>
          <w:tcPr>
            <w:tcW w:w="1710" w:type="dxa"/>
            <w:vAlign w:val="center"/>
          </w:tcPr>
          <w:p w14:paraId="7B1E17D6" w14:textId="55C44BB3" w:rsidR="001C0F68" w:rsidRPr="0018068B" w:rsidRDefault="00381196" w:rsidP="00C634FA">
            <w:pPr>
              <w:spacing w:after="40"/>
              <w:jc w:val="center"/>
              <w:rPr>
                <w:color w:val="000000"/>
                <w:sz w:val="20"/>
                <w:szCs w:val="20"/>
              </w:rPr>
            </w:pPr>
            <w:r>
              <w:rPr>
                <w:color w:val="000000"/>
                <w:sz w:val="20"/>
                <w:szCs w:val="20"/>
              </w:rPr>
              <w:t>2020</w:t>
            </w:r>
          </w:p>
        </w:tc>
        <w:tc>
          <w:tcPr>
            <w:tcW w:w="1655" w:type="dxa"/>
            <w:vAlign w:val="center"/>
          </w:tcPr>
          <w:p w14:paraId="4C855C3C" w14:textId="79A066E1" w:rsidR="001C0F68" w:rsidRPr="0018068B" w:rsidRDefault="00381196" w:rsidP="00C634FA">
            <w:pPr>
              <w:spacing w:after="40"/>
              <w:jc w:val="center"/>
              <w:rPr>
                <w:color w:val="000000"/>
                <w:sz w:val="20"/>
                <w:szCs w:val="20"/>
              </w:rPr>
            </w:pPr>
            <w:r>
              <w:rPr>
                <w:color w:val="000000"/>
                <w:sz w:val="20"/>
                <w:szCs w:val="20"/>
              </w:rPr>
              <w:t>June 2022</w:t>
            </w:r>
          </w:p>
        </w:tc>
      </w:tr>
      <w:tr w:rsidR="001C0F68" w:rsidRPr="007B6A7A" w14:paraId="25D92968" w14:textId="77777777" w:rsidTr="00381196">
        <w:trPr>
          <w:cantSplit/>
          <w:jc w:val="center"/>
        </w:trPr>
        <w:tc>
          <w:tcPr>
            <w:tcW w:w="1728" w:type="dxa"/>
          </w:tcPr>
          <w:p w14:paraId="5F3D8343" w14:textId="2FC18B9C" w:rsidR="001C0F68" w:rsidRPr="0018068B" w:rsidRDefault="00381196" w:rsidP="00C634FA">
            <w:pPr>
              <w:spacing w:after="40"/>
              <w:rPr>
                <w:sz w:val="20"/>
                <w:szCs w:val="20"/>
              </w:rPr>
            </w:pPr>
            <w:r>
              <w:rPr>
                <w:rStyle w:val="BodyTextChar2"/>
              </w:rPr>
              <w:t>Glenn Thackeray</w:t>
            </w:r>
          </w:p>
        </w:tc>
        <w:tc>
          <w:tcPr>
            <w:tcW w:w="1440" w:type="dxa"/>
          </w:tcPr>
          <w:p w14:paraId="55E18F1C" w14:textId="77777777" w:rsidR="001C0F68" w:rsidRPr="0018068B" w:rsidRDefault="001C0F68" w:rsidP="00C634FA">
            <w:pPr>
              <w:spacing w:after="40"/>
              <w:jc w:val="center"/>
              <w:rPr>
                <w:sz w:val="20"/>
                <w:szCs w:val="20"/>
              </w:rPr>
            </w:pPr>
            <w:r w:rsidRPr="0018068B">
              <w:rPr>
                <w:sz w:val="20"/>
                <w:szCs w:val="20"/>
              </w:rPr>
              <w:t>Member</w:t>
            </w:r>
          </w:p>
        </w:tc>
        <w:tc>
          <w:tcPr>
            <w:tcW w:w="3168" w:type="dxa"/>
          </w:tcPr>
          <w:p w14:paraId="493C02FB" w14:textId="1C8FD4F5" w:rsidR="001C0F68" w:rsidRPr="0018068B" w:rsidRDefault="00381196" w:rsidP="00C634FA">
            <w:pPr>
              <w:spacing w:after="40"/>
              <w:jc w:val="center"/>
              <w:rPr>
                <w:color w:val="000000"/>
                <w:sz w:val="20"/>
                <w:szCs w:val="20"/>
              </w:rPr>
            </w:pPr>
            <w:r w:rsidRPr="00381196">
              <w:rPr>
                <w:color w:val="000000"/>
                <w:sz w:val="20"/>
                <w:szCs w:val="20"/>
              </w:rPr>
              <w:t>Retired Fleet Manager for Mercedes</w:t>
            </w:r>
          </w:p>
        </w:tc>
        <w:tc>
          <w:tcPr>
            <w:tcW w:w="1710" w:type="dxa"/>
            <w:vAlign w:val="center"/>
          </w:tcPr>
          <w:p w14:paraId="1E4B40E9" w14:textId="203FB3B0" w:rsidR="001C0F68" w:rsidRPr="0018068B" w:rsidRDefault="00381196" w:rsidP="00C634FA">
            <w:pPr>
              <w:spacing w:after="40"/>
              <w:jc w:val="center"/>
              <w:rPr>
                <w:color w:val="000000"/>
                <w:sz w:val="20"/>
                <w:szCs w:val="20"/>
              </w:rPr>
            </w:pPr>
            <w:r>
              <w:rPr>
                <w:color w:val="000000"/>
                <w:sz w:val="20"/>
                <w:szCs w:val="20"/>
              </w:rPr>
              <w:t>2021</w:t>
            </w:r>
          </w:p>
        </w:tc>
        <w:tc>
          <w:tcPr>
            <w:tcW w:w="1655" w:type="dxa"/>
            <w:vAlign w:val="center"/>
          </w:tcPr>
          <w:p w14:paraId="4805E96F" w14:textId="3638673A" w:rsidR="001C0F68" w:rsidRPr="0018068B" w:rsidRDefault="00381196" w:rsidP="00C634FA">
            <w:pPr>
              <w:spacing w:after="40"/>
              <w:jc w:val="center"/>
              <w:rPr>
                <w:color w:val="000000"/>
                <w:sz w:val="20"/>
                <w:szCs w:val="20"/>
              </w:rPr>
            </w:pPr>
            <w:r>
              <w:rPr>
                <w:color w:val="000000"/>
                <w:sz w:val="20"/>
                <w:szCs w:val="20"/>
              </w:rPr>
              <w:t>June 2022</w:t>
            </w:r>
          </w:p>
        </w:tc>
      </w:tr>
    </w:tbl>
    <w:p w14:paraId="17164BB5" w14:textId="77777777" w:rsidR="001C0F68" w:rsidRPr="00AF5AE9" w:rsidRDefault="001C0F68" w:rsidP="001C0F68">
      <w:pPr>
        <w:pStyle w:val="BodyText"/>
        <w:spacing w:after="0"/>
        <w:ind w:left="-720"/>
        <w:rPr>
          <w:iCs/>
          <w:sz w:val="18"/>
          <w:u w:val="single"/>
        </w:rPr>
      </w:pPr>
      <w:r>
        <w:rPr>
          <w:iCs/>
          <w:sz w:val="18"/>
          <w:u w:val="single"/>
        </w:rPr>
        <w:tab/>
      </w:r>
      <w:r>
        <w:rPr>
          <w:iCs/>
          <w:sz w:val="18"/>
          <w:u w:val="single"/>
        </w:rPr>
        <w:tab/>
      </w:r>
    </w:p>
    <w:p w14:paraId="4D6318D3" w14:textId="02B657E0" w:rsidR="001C0F68" w:rsidRDefault="001C0F68" w:rsidP="001C0F68">
      <w:pPr>
        <w:pStyle w:val="BodyText"/>
        <w:ind w:left="-720"/>
        <w:rPr>
          <w:i/>
          <w:sz w:val="18"/>
        </w:rPr>
      </w:pPr>
      <w:r>
        <w:rPr>
          <w:i/>
          <w:sz w:val="18"/>
        </w:rPr>
        <w:t xml:space="preserve">Source:  </w:t>
      </w:r>
      <w:r w:rsidR="00381196">
        <w:rPr>
          <w:i/>
          <w:sz w:val="18"/>
        </w:rPr>
        <w:t>Encore</w:t>
      </w:r>
      <w:r>
        <w:rPr>
          <w:i/>
          <w:sz w:val="18"/>
        </w:rPr>
        <w:t>.</w:t>
      </w:r>
    </w:p>
    <w:p w14:paraId="51E13205" w14:textId="460FE699" w:rsidR="00381196" w:rsidRDefault="00381196" w:rsidP="00381196">
      <w:pPr>
        <w:pStyle w:val="BodyText"/>
      </w:pPr>
      <w:r>
        <w:rPr>
          <w:b/>
          <w:bCs/>
          <w:i/>
          <w:iCs/>
        </w:rPr>
        <w:t>Prior Administration</w:t>
      </w:r>
      <w:r w:rsidR="0076046C">
        <w:rPr>
          <w:b/>
          <w:bCs/>
          <w:i/>
          <w:iCs/>
        </w:rPr>
        <w:t>; Investigative Report</w:t>
      </w:r>
      <w:r>
        <w:rPr>
          <w:b/>
          <w:bCs/>
          <w:i/>
          <w:iCs/>
        </w:rPr>
        <w:t>.</w:t>
      </w:r>
      <w:r>
        <w:t xml:space="preserve">  Encore was founded in 2007 by Denise Griffin and John Griffin, who served as Chief Executive Officer and Chief Operating Officer.  As one condition of the most recent charter renewal of the School in January 2021 (described below), Hesperia USD (as defined below), as the School’s charter authorizer, required that Encore hire a qualified controller by March 1, 2021, to start full-time by May 1, 2021.  Encore engaged a full-time controller (the “Controller”), who began work on March 16, 2021. </w:t>
      </w:r>
    </w:p>
    <w:p w14:paraId="20FE107F" w14:textId="77777777" w:rsidR="0076046C" w:rsidRDefault="009D133A" w:rsidP="00381196">
      <w:pPr>
        <w:pStyle w:val="BodyText"/>
      </w:pPr>
      <w:r>
        <w:t xml:space="preserve">On July 27, 2021, the Controller notified Encore’s board of directors (the “Board”) that Encore was failing to comply with the conditions of its most recent charter renewal for the School, and followed with a document to the board outlining the Controller’s concerns related to Encore’s practices and failure to comply with the terms of its charter.  Thereafter, </w:t>
      </w:r>
      <w:r w:rsidR="0076046C">
        <w:t xml:space="preserve">on September 3, 2021, </w:t>
      </w:r>
      <w:r>
        <w:t>the Board engaged Encore’s legal counsel regarding the Controller’s concerns and, in consultation therewith, requested that Nicole Miller &amp; Associates, Inc.</w:t>
      </w:r>
      <w:r w:rsidR="0076046C">
        <w:t xml:space="preserve"> (the “Investigator”)</w:t>
      </w:r>
      <w:r>
        <w:t xml:space="preserve">, a full-service independent investigative firm, conduct an investigation into concerns raised by the Controller.  On </w:t>
      </w:r>
      <w:r w:rsidR="0076046C">
        <w:t>October 19, 2021, Encore received a letter from Hesperia USD expressing additional concerns, and the Investigator’s investigation was expanded to include those concerns.</w:t>
      </w:r>
    </w:p>
    <w:p w14:paraId="2AFE4BDC" w14:textId="1017BE7B" w:rsidR="00381196" w:rsidRDefault="0076046C" w:rsidP="00381196">
      <w:pPr>
        <w:pStyle w:val="BodyText"/>
      </w:pPr>
      <w:r>
        <w:t xml:space="preserve"> Following receipt of the letter from Hesperia USD on October 19, 2021, the Board placed Denise Griffin and John Griffin on administrative leave in early November 2021.</w:t>
      </w:r>
    </w:p>
    <w:p w14:paraId="79F3320C" w14:textId="7E7A6C99" w:rsidR="0076046C" w:rsidRDefault="0076046C" w:rsidP="00381196">
      <w:pPr>
        <w:pStyle w:val="BodyText"/>
      </w:pPr>
      <w:r>
        <w:t>On January 24, 2022, the Investigator issued a comprehensive report of its investigation and findings (the “Investigator’s Report”).  A redacted copy of the Investigator’s Report is available on the Municipal Securities Rulemaking Board’s</w:t>
      </w:r>
      <w:r w:rsidR="009855E6">
        <w:t xml:space="preserve"> (“MSRB”)</w:t>
      </w:r>
      <w:r>
        <w:t xml:space="preserve"> Electronic Municipal Market Access (“EMMA”) website at </w:t>
      </w:r>
      <w:hyperlink r:id="rId9" w:history="1">
        <w:r w:rsidRPr="00FA44E3">
          <w:rPr>
            <w:rStyle w:val="Hyperlink"/>
            <w:lang w:eastAsia="en-US"/>
          </w:rPr>
          <w:t>https://emma.msrb.org/P11573670-P11214889-P11635530.pdf</w:t>
        </w:r>
      </w:hyperlink>
      <w:r>
        <w:t>.  Certain of the allegations investigated by the Investigator were partially or fully sustained, including:</w:t>
      </w:r>
    </w:p>
    <w:p w14:paraId="00F66721" w14:textId="3E4581BE" w:rsidR="0076046C" w:rsidRDefault="0076046C" w:rsidP="0076046C">
      <w:pPr>
        <w:pStyle w:val="BodyText"/>
        <w:numPr>
          <w:ilvl w:val="0"/>
          <w:numId w:val="42"/>
        </w:numPr>
      </w:pPr>
      <w:r>
        <w:t>Continued use of debit cards despite their discontinuance being a condition in the MOU (as defined herein) between Encore and Hesperia USD;</w:t>
      </w:r>
    </w:p>
    <w:p w14:paraId="0B8F1E08" w14:textId="2F0A609B" w:rsidR="0076046C" w:rsidRDefault="0076046C" w:rsidP="0076046C">
      <w:pPr>
        <w:pStyle w:val="BodyText"/>
        <w:numPr>
          <w:ilvl w:val="0"/>
          <w:numId w:val="42"/>
        </w:numPr>
      </w:pPr>
      <w:r>
        <w:t>The Controller being excluded from determinations regarding salary increases; and</w:t>
      </w:r>
    </w:p>
    <w:p w14:paraId="1A3BBCD6" w14:textId="35777481" w:rsidR="0076046C" w:rsidRDefault="0076046C" w:rsidP="0076046C">
      <w:pPr>
        <w:pStyle w:val="BodyText"/>
        <w:numPr>
          <w:ilvl w:val="0"/>
          <w:numId w:val="42"/>
        </w:numPr>
      </w:pPr>
      <w:r>
        <w:t>Continued large purchases being made not preapproved under Encore’s new fiscal processes;</w:t>
      </w:r>
    </w:p>
    <w:p w14:paraId="42BD40A5" w14:textId="13BCB7E2" w:rsidR="0076046C" w:rsidRDefault="0076046C" w:rsidP="0076046C">
      <w:pPr>
        <w:pStyle w:val="BodyText"/>
      </w:pPr>
      <w:r>
        <w:t>At its February 19, 2022 meeting, the Board voted to terminate Denise Griffin and John Griffin without cause on February 23, 2022.  Employment contracts for Denise Griffin and John Griffin included a requirement for severance pay in the event of early termination; due to Encore’s financial situation, the Board authorized a payment to Denise Griffin and John Griffin of less than required under their employment contracts.  See “OPERATING AND FINANCIAL INFORMATION – No Material Litigation” herein.</w:t>
      </w:r>
    </w:p>
    <w:p w14:paraId="49E71D23" w14:textId="19918D1E" w:rsidR="0076046C" w:rsidRDefault="0076046C" w:rsidP="0076046C">
      <w:pPr>
        <w:pStyle w:val="BodyText"/>
      </w:pPr>
      <w:r>
        <w:rPr>
          <w:b/>
          <w:bCs/>
          <w:i/>
          <w:iCs/>
        </w:rPr>
        <w:lastRenderedPageBreak/>
        <w:t xml:space="preserve">Current Administration.  </w:t>
      </w:r>
      <w:r>
        <w:t>In December 2021, Encore engaged Dr. Sabrina Bow as the Interim Executive Director of Encore.  In March 2022, Dr. Bow was named the permanent Executive Director of Encore.  The following is a brief biography of Dr. Bow.</w:t>
      </w:r>
    </w:p>
    <w:p w14:paraId="7FDF81ED" w14:textId="62939D04" w:rsidR="0076046C" w:rsidRDefault="0076046C" w:rsidP="00AD19B6">
      <w:pPr>
        <w:pStyle w:val="BodyText"/>
      </w:pPr>
      <w:r w:rsidRPr="0076046C">
        <w:rPr>
          <w:u w:val="single"/>
        </w:rPr>
        <w:t>Dr. Sabrina Bow, Executive Director</w:t>
      </w:r>
      <w:r>
        <w:rPr>
          <w:b/>
          <w:bCs/>
          <w:i/>
          <w:iCs/>
        </w:rPr>
        <w:t xml:space="preserve">.  </w:t>
      </w:r>
      <w:r w:rsidR="00AD19B6">
        <w:t>Dr. Bow joined the Encore team with 18 years of experience in educational administration and fundraising from colleges and schools in the greater Los Angeles area. As a former executive director of charter schools in the two largest school districts in the state, her perspective brought a veteran educator’s insight to the analysis and feasibility of school budgets, facilities, operations, and leadership capacity.  Dr. Bow holds an MBA from University of Southern California’s Marshall School of Business, and a Doctorate in Education from University of California Los Angeles.  Dr. Bow is a member of the Azusa Library Commission and Vice President of the Azusa Unified School District Governing Board.</w:t>
      </w:r>
    </w:p>
    <w:p w14:paraId="6E641870" w14:textId="48813A99" w:rsidR="0076046C" w:rsidRDefault="0076046C" w:rsidP="0076046C">
      <w:pPr>
        <w:pStyle w:val="BodyText"/>
      </w:pPr>
      <w:r>
        <w:rPr>
          <w:u w:val="single"/>
        </w:rPr>
        <w:t>Fiscal Controller</w:t>
      </w:r>
      <w:r>
        <w:t>.  Carol Walker was engaged as Controller in March 2021.  In April 2022, Ms. Walker notified Encore of her intention to retire and relocate, for personal reasons.  Encore is currently searching for a new controller, with an expectation of filling the role by July 2022.</w:t>
      </w:r>
    </w:p>
    <w:p w14:paraId="20B1D0E2" w14:textId="1A8F3B84" w:rsidR="0076046C" w:rsidRDefault="0076046C" w:rsidP="0076046C">
      <w:pPr>
        <w:pStyle w:val="BodyText"/>
      </w:pPr>
      <w:r w:rsidRPr="0076046C">
        <w:rPr>
          <w:u w:val="single"/>
        </w:rPr>
        <w:t>Delta Managed Solutions</w:t>
      </w:r>
      <w:r w:rsidRPr="0076046C">
        <w:t>.  Encore contracts with Delta Managed Solutions, Inc. (“DMS”) for payroll, purchasing, accounts payable, budgeting, and compliance services (collectively, “</w:t>
      </w:r>
      <w:proofErr w:type="spellStart"/>
      <w:r w:rsidRPr="0076046C">
        <w:t>backoffice</w:t>
      </w:r>
      <w:proofErr w:type="spellEnd"/>
      <w:r w:rsidRPr="0076046C">
        <w:t xml:space="preserve"> services”).  Founded in 2003, DMS provides comprehensive </w:t>
      </w:r>
      <w:proofErr w:type="spellStart"/>
      <w:r w:rsidRPr="0076046C">
        <w:t>backoffice</w:t>
      </w:r>
      <w:proofErr w:type="spellEnd"/>
      <w:r w:rsidRPr="0076046C">
        <w:t xml:space="preserve"> services to charter schools in California and Nevada from its Sacramento location.  </w:t>
      </w:r>
      <w:r>
        <w:t>See “OPERATING AND FINANCIAL INFORMATION – Outstanding Debt Obligations” herein.</w:t>
      </w:r>
    </w:p>
    <w:p w14:paraId="6ACF77DF" w14:textId="3402A75F" w:rsidR="001C0F68" w:rsidRDefault="001C0F68" w:rsidP="001C0F68">
      <w:pPr>
        <w:pStyle w:val="Heading1"/>
      </w:pPr>
      <w:bookmarkStart w:id="7" w:name="_Toc101330546"/>
      <w:r>
        <w:t>THE SCHOOL</w:t>
      </w:r>
      <w:bookmarkEnd w:id="7"/>
    </w:p>
    <w:p w14:paraId="54358DC7" w14:textId="494C0ACD" w:rsidR="00E92BCC" w:rsidRDefault="00E92BCC" w:rsidP="00D56C06">
      <w:pPr>
        <w:pStyle w:val="Heading2"/>
      </w:pPr>
      <w:bookmarkStart w:id="8" w:name="_Toc101330547"/>
      <w:bookmarkStart w:id="9" w:name="_Toc64380671"/>
      <w:r>
        <w:t>Charters</w:t>
      </w:r>
      <w:bookmarkEnd w:id="8"/>
    </w:p>
    <w:p w14:paraId="23244439" w14:textId="071B8094" w:rsidR="00E92BCC" w:rsidRDefault="00E92BCC" w:rsidP="00E92BCC">
      <w:pPr>
        <w:pStyle w:val="BodyText"/>
      </w:pPr>
      <w:r w:rsidRPr="00381196">
        <w:rPr>
          <w:b/>
          <w:bCs/>
          <w:i/>
          <w:iCs/>
        </w:rPr>
        <w:t xml:space="preserve">History of Charters and Charter Schools Operated by Encore. </w:t>
      </w:r>
      <w:r>
        <w:t xml:space="preserve"> Encore received its first charter from Hesperia USD in 2008 to establish the School, which opened in August 2008 initially serving 502 students in grades 7-12.  On December 8, 2014, Riverside Unified School District (“Riverside USD”) authorized Encore’s second charter, and Encore opened Encore High School for the Arts – Riverside (“Encore Riverside”) in downtown Riverside, California in August 2015, initially serving 413 students in grades 7-10.</w:t>
      </w:r>
    </w:p>
    <w:p w14:paraId="75B9D9DE" w14:textId="2092B457" w:rsidR="00E92BCC" w:rsidRDefault="00E92BCC" w:rsidP="00E92BCC">
      <w:pPr>
        <w:pStyle w:val="BodyText"/>
      </w:pPr>
      <w:r>
        <w:t xml:space="preserve">In July 2015, Encore entered into an agreement with Synergy Education Project to operate SEP High School in Pittsburg, California.  In October 2015, the board of directors of Synergy Education Project resigned </w:t>
      </w:r>
      <w:proofErr w:type="spellStart"/>
      <w:r w:rsidRPr="003B6EF9">
        <w:rPr>
          <w:i/>
        </w:rPr>
        <w:t>en</w:t>
      </w:r>
      <w:proofErr w:type="spellEnd"/>
      <w:r w:rsidRPr="003B6EF9">
        <w:rPr>
          <w:i/>
        </w:rPr>
        <w:t xml:space="preserve"> masse</w:t>
      </w:r>
      <w:r>
        <w:t xml:space="preserve">, and in November 2015, Encore terminated its contract to manage the school.  In ending its relationship with SEP High School, Encore cited </w:t>
      </w:r>
      <w:r w:rsidRPr="004C456B">
        <w:t>circumstances surrounding the school</w:t>
      </w:r>
      <w:r>
        <w:t xml:space="preserve"> that had not been disclosed to Encore, </w:t>
      </w:r>
      <w:r w:rsidRPr="004C456B">
        <w:t xml:space="preserve">including corrective notices from the </w:t>
      </w:r>
      <w:r>
        <w:t>California Department of Education</w:t>
      </w:r>
      <w:r w:rsidRPr="004C456B">
        <w:t xml:space="preserve">, deep rooted safety concerns </w:t>
      </w:r>
      <w:r>
        <w:t xml:space="preserve">regarding </w:t>
      </w:r>
      <w:r w:rsidRPr="004C456B">
        <w:t xml:space="preserve">gang activity, discipline issues, </w:t>
      </w:r>
      <w:r>
        <w:t>student achievement issues</w:t>
      </w:r>
      <w:r w:rsidRPr="004C456B">
        <w:t>, and operational, financial and procedural impropriet</w:t>
      </w:r>
      <w:r>
        <w:t>ies.  The California Department of Education revoked the charter for SEP High School on January 14, 2016, and the school closed on January 22.</w:t>
      </w:r>
    </w:p>
    <w:p w14:paraId="745F5F67" w14:textId="01B7F04A" w:rsidR="00E92BCC" w:rsidRDefault="00E92BCC" w:rsidP="00E92BCC">
      <w:pPr>
        <w:pStyle w:val="BodyText"/>
      </w:pPr>
      <w:r>
        <w:t xml:space="preserve">Encore received charter renewals for the School from Hesperia USD in 2011 and 2016, each for five-year terms.  </w:t>
      </w:r>
    </w:p>
    <w:p w14:paraId="0889EE60" w14:textId="0D349D73" w:rsidR="00E92BCC" w:rsidRDefault="00E92BCC" w:rsidP="00E92BCC">
      <w:pPr>
        <w:pStyle w:val="BodyText"/>
      </w:pPr>
      <w:r>
        <w:t>In December 2019, Encore applied for renewal of the charter petition for Encore Riverside.  At its February 18, 2020 board meeting, Riverside USD staff initially recommended denial of the charter petition, due in part to academic performance and fiscal challenges.  The board of education agreed to delay acting on the renewal until a subsequent meeting, during which time Riverside USD and Encore to meet and confer on a possible renewal option.  At its March 18, 2020 meeting, the Riverside USD board of education approved a charter renewal for Encore Riverside with various conditions.  Approximately one month later, on April 30, 2020, the Encore board of directors voted to close Encore Riverside at the end of the 2019-20 fiscal year.</w:t>
      </w:r>
    </w:p>
    <w:p w14:paraId="22EB7CBD" w14:textId="77777777" w:rsidR="00EC5C62" w:rsidRDefault="00E92BCC" w:rsidP="00E92BCC">
      <w:pPr>
        <w:pStyle w:val="BodyText"/>
      </w:pPr>
      <w:r w:rsidRPr="00381196">
        <w:rPr>
          <w:b/>
          <w:bCs/>
          <w:i/>
          <w:iCs/>
        </w:rPr>
        <w:lastRenderedPageBreak/>
        <w:t>2020 Charter Renewal.</w:t>
      </w:r>
      <w:r>
        <w:t xml:space="preserve">  On September 11, 2020, Encore submitted a petition to Hesperia USD seeking renewal of the charter for the School.  </w:t>
      </w:r>
      <w:r w:rsidR="00EC5C62">
        <w:t xml:space="preserve">In response to concerns expressed by Hesperia USD, Encore made various revisions to its charter petition and resubmitted it for review and action.  </w:t>
      </w:r>
    </w:p>
    <w:p w14:paraId="23F17793" w14:textId="692DD80C" w:rsidR="00124C08" w:rsidRDefault="00EC5C62" w:rsidP="00E92BCC">
      <w:pPr>
        <w:pStyle w:val="BodyText"/>
      </w:pPr>
      <w:r>
        <w:t xml:space="preserve">On November 4, 2020, Hesperia USD issued Encore a notice </w:t>
      </w:r>
      <w:r w:rsidR="00025566">
        <w:t xml:space="preserve">(the “November 4 Notice”) </w:t>
      </w:r>
      <w:r>
        <w:t xml:space="preserve">in accordance with the Education Code setting forth fiscal and governance factors that could support a finding that Encore is demonstrably unlikely to successfully implement the program set forth in its renewal charter petition.  </w:t>
      </w:r>
      <w:r w:rsidR="00025566">
        <w:t>On November 27, 2020, Encore submitted a response to such notice.  In a memorandum dated December 3, 2020, from Hesperia USD Assistant Superintendent to Hesperia USD Superintendent (the “Staff Analysis”), Hesperia USD staff  recommended that the Hesperia USD Board of Trustees (the “Hesperia USD Board”) find that Encore had not satisfactorily addressed Hesperia USD’s concerns set forth in the November 4 Notice, that Encore’s corrective action plan has been unsuccessful, and that the Hesperia USD Board deny the School’s charter renewal because Encore is demonstrably unlikely to successfully implement the program set forth in its charter due to the fiscal and governance factors detailed in the November 4 Notice that remain unresolved by Encore’s response.</w:t>
      </w:r>
    </w:p>
    <w:p w14:paraId="7ABC969B" w14:textId="14130FE5" w:rsidR="00025566" w:rsidRDefault="00025566" w:rsidP="00025566">
      <w:pPr>
        <w:pStyle w:val="BodyText"/>
      </w:pPr>
      <w:r>
        <w:t>In the Staff Analysis, Hesperia USD staff recommended to the Hesperia USD Board that the Encore renewal charter be denied based on the findings and the facts set forth therein, however, in the event the Hesperia USD Board determines that the Encore renewal charter should be approved, such renewal be conditioned on Encore addressing all of the staff’s to its satisfaction, including but not limited to those specifically addressed in the November Notice and the Staff Analysis, as well as any additional conditions identified by the Hesperia USD Board.</w:t>
      </w:r>
    </w:p>
    <w:p w14:paraId="57931A89" w14:textId="269ED7D0" w:rsidR="004157D7" w:rsidRDefault="004157D7" w:rsidP="004157D7">
      <w:pPr>
        <w:pStyle w:val="BodyText"/>
      </w:pPr>
      <w:r>
        <w:t xml:space="preserve">On January 15, 2021, Encore submitted a revised charter petition to Hesperia USD.  </w:t>
      </w:r>
      <w:r w:rsidR="00025566">
        <w:t>At its January 25, 2021 meeting, the Hesperia USD Board voted 4-1 to adopt a resolution conditionally approving the charter renewal for the School</w:t>
      </w:r>
      <w:r>
        <w:t xml:space="preserve"> for a term through June 30, 2026</w:t>
      </w:r>
      <w:r w:rsidR="00025566">
        <w:t xml:space="preserve">, making written factual findings supporting denial, and denying the renewal charter if </w:t>
      </w:r>
      <w:r>
        <w:t>certain</w:t>
      </w:r>
      <w:r w:rsidR="00025566">
        <w:t xml:space="preserve"> conditions are not met</w:t>
      </w:r>
      <w:r>
        <w:t>, including Encore updating its practices/procedures/policies and/or revise its charter and/or enter into and execute a memorandum of understanding (“MOU”) with Hesperia USD satisfactory to Hesperia USD, in its sole discretion, that will address all of Hesperia USD staff’s concerns with the renewal charter, including but not limited to those specified in the Staff Analysis and in the November 4 Notice, and any additional concerns and requirements as noted by the Hesperia USD Board.</w:t>
      </w:r>
    </w:p>
    <w:p w14:paraId="091C5FC0" w14:textId="51A31C1E" w:rsidR="00025566" w:rsidRDefault="004157D7" w:rsidP="00025566">
      <w:pPr>
        <w:pStyle w:val="BodyText"/>
      </w:pPr>
      <w:r>
        <w:t>On _________, 2021, Encore and Hesperia USD entered into the MOU, the form of which is attached as Exhibit A to this Appendix to the Private Placement Memorandum.</w:t>
      </w:r>
    </w:p>
    <w:p w14:paraId="1F10A4B6" w14:textId="0BB1BA94" w:rsidR="00E92BCC" w:rsidRDefault="00E92BCC" w:rsidP="004157D7">
      <w:pPr>
        <w:pStyle w:val="BodyText"/>
        <w:keepNext/>
      </w:pPr>
      <w:r w:rsidRPr="00381196">
        <w:rPr>
          <w:b/>
          <w:bCs/>
          <w:i/>
          <w:iCs/>
        </w:rPr>
        <w:t>Authorizer Relations.</w:t>
      </w:r>
      <w:r>
        <w:t xml:space="preserve">  </w:t>
      </w:r>
      <w:r w:rsidR="004157D7">
        <w:t>On March 17, 2022, the Superintendent of Hesperia USD issued a letter addressed to Encore, stating the following:</w:t>
      </w:r>
    </w:p>
    <w:p w14:paraId="3EBC058A" w14:textId="06634580" w:rsidR="004157D7" w:rsidRDefault="004157D7" w:rsidP="004157D7">
      <w:pPr>
        <w:pStyle w:val="BodyText"/>
        <w:ind w:left="720" w:right="720" w:firstLine="0"/>
      </w:pPr>
      <w:r>
        <w:t xml:space="preserve">To continue fulfilling all oversight duties as the authorizer for [the School], we have received and reviewed the following documentation submitted by Encore to date: (a) annual audited financial statements including findings and recommendations; (b) year to date budget, financial, and cash flow reports; and (c) an investigative report dated January 24, 2022, relating to purchasing, accounting controls, student service fund accounting, and other issues.  Based on [Hesperia USD’s] review of these documents, [Hesperia USD] has no current plan to revoke or non-renew Encore’s charter.  [Hesperia USD’s] execution of this letter is explicitly on the basis that it reflects [Hesperia USD’s] current understanding and belief, including based on the current status of Encore’s representations and stated efforts to address areas of concern reflected in the above-referenced documents and the conditions of renewal of Encore’s charter, including but not limited to the terms of the Memorandum of Understanding approved by the [Hesperia USD] Board on May 3, 2021, between Encore and [Hesperia USD] (“MOU”).  Hesperia USD expressly reserves the right to determine that Encore is and/or has been operating in violation of the law and/or its charter or has engaged in </w:t>
      </w:r>
      <w:r>
        <w:lastRenderedPageBreak/>
        <w:t>fiscal mismanagement, and to issue a Notice(s) of Violations, a Notice(s) of Intent to Revoke, to revoke Encore’s charter, and/or take any and all steps or measures [Hesperia USD] deems necessary or appropriate in its role as chartering authority pursuant to the applicable provisions of the Education Code.</w:t>
      </w:r>
    </w:p>
    <w:p w14:paraId="3C4F7F9B" w14:textId="03057A74" w:rsidR="004157D7" w:rsidRPr="00E92BCC" w:rsidRDefault="004157D7" w:rsidP="004157D7">
      <w:pPr>
        <w:pStyle w:val="BodyText"/>
        <w:ind w:left="720" w:right="720" w:firstLine="0"/>
      </w:pPr>
      <w:r>
        <w:t>Finally, [Hesperia USD’s] execution of this correspondence is not precedent setting and nothing in this correspondence can be utilized by Encore or any Encore creditors in any proceedings that may arise after the date of the submission of this correspondence, including, but not limited to, any effort by Encore to use this correspondence as evidence of Encore’s compliance with its charter, the MOU, and/or law in response to any notice, concern, or other proceeding or action raised or instituted by [Hesperia USD].</w:t>
      </w:r>
    </w:p>
    <w:p w14:paraId="16371930" w14:textId="420A8650" w:rsidR="00767D76" w:rsidRDefault="00767D76" w:rsidP="00767D76">
      <w:pPr>
        <w:pStyle w:val="Heading2"/>
      </w:pPr>
      <w:bookmarkStart w:id="10" w:name="_Toc101330548"/>
      <w:r>
        <w:t xml:space="preserve">Enrollment and </w:t>
      </w:r>
      <w:r w:rsidR="00961960">
        <w:t>Attendance</w:t>
      </w:r>
      <w:bookmarkEnd w:id="10"/>
    </w:p>
    <w:p w14:paraId="19FD9A12" w14:textId="72D418B2" w:rsidR="00767D76" w:rsidRDefault="00767D76" w:rsidP="00767D76">
      <w:pPr>
        <w:keepNext/>
        <w:keepLines/>
        <w:spacing w:after="240"/>
        <w:ind w:firstLine="720"/>
        <w:jc w:val="both"/>
      </w:pPr>
      <w:r>
        <w:rPr>
          <w:b/>
          <w:i/>
        </w:rPr>
        <w:t xml:space="preserve">Enrollment.  </w:t>
      </w:r>
      <w:r>
        <w:t>The following tables present historical and projected enrollment by grade at the School.</w:t>
      </w:r>
    </w:p>
    <w:p w14:paraId="310C6FD8" w14:textId="77777777" w:rsidR="00767D76" w:rsidRPr="005541CA" w:rsidRDefault="00767D76" w:rsidP="00767D76">
      <w:pPr>
        <w:keepNext/>
        <w:keepLines/>
        <w:jc w:val="center"/>
        <w:rPr>
          <w:b/>
          <w:sz w:val="20"/>
          <w:szCs w:val="20"/>
        </w:rPr>
      </w:pPr>
      <w:r>
        <w:rPr>
          <w:b/>
          <w:sz w:val="20"/>
          <w:szCs w:val="20"/>
        </w:rPr>
        <w:t>TABLE 2</w:t>
      </w:r>
    </w:p>
    <w:p w14:paraId="452B7A00" w14:textId="722DAAD5" w:rsidR="00767D76" w:rsidRPr="00370D4E" w:rsidRDefault="00767D76" w:rsidP="00767D76">
      <w:pPr>
        <w:keepNext/>
        <w:keepLines/>
        <w:jc w:val="center"/>
        <w:rPr>
          <w:b/>
          <w:sz w:val="20"/>
          <w:szCs w:val="20"/>
        </w:rPr>
      </w:pPr>
      <w:r>
        <w:rPr>
          <w:b/>
          <w:sz w:val="20"/>
          <w:szCs w:val="20"/>
        </w:rPr>
        <w:t xml:space="preserve">HISTORICAL </w:t>
      </w:r>
      <w:r w:rsidRPr="00370D4E">
        <w:rPr>
          <w:b/>
          <w:sz w:val="20"/>
          <w:szCs w:val="20"/>
        </w:rPr>
        <w:t>ENROLLMENT</w:t>
      </w:r>
      <w:r w:rsidRPr="00370D4E">
        <w:rPr>
          <w:b/>
          <w:sz w:val="20"/>
          <w:szCs w:val="20"/>
          <w:vertAlign w:val="superscript"/>
        </w:rPr>
        <w:t>(1)</w:t>
      </w:r>
    </w:p>
    <w:p w14:paraId="2FF4253F" w14:textId="120FE2FE" w:rsidR="00767D76" w:rsidRDefault="00767D76" w:rsidP="00767D76">
      <w:pPr>
        <w:keepNext/>
        <w:keepLines/>
        <w:spacing w:after="120"/>
        <w:jc w:val="center"/>
        <w:rPr>
          <w:sz w:val="20"/>
          <w:szCs w:val="20"/>
        </w:rPr>
      </w:pPr>
      <w:r w:rsidRPr="00370D4E">
        <w:rPr>
          <w:b/>
          <w:sz w:val="20"/>
          <w:szCs w:val="20"/>
        </w:rPr>
        <w:t>201</w:t>
      </w:r>
      <w:r>
        <w:rPr>
          <w:b/>
          <w:sz w:val="20"/>
          <w:szCs w:val="20"/>
        </w:rPr>
        <w:t>6</w:t>
      </w:r>
      <w:r w:rsidRPr="00370D4E">
        <w:rPr>
          <w:b/>
          <w:sz w:val="20"/>
          <w:szCs w:val="20"/>
        </w:rPr>
        <w:t>-1</w:t>
      </w:r>
      <w:r>
        <w:rPr>
          <w:b/>
          <w:sz w:val="20"/>
          <w:szCs w:val="20"/>
        </w:rPr>
        <w:t>7</w:t>
      </w:r>
      <w:r w:rsidRPr="00370D4E">
        <w:rPr>
          <w:b/>
          <w:sz w:val="20"/>
          <w:szCs w:val="20"/>
        </w:rPr>
        <w:t xml:space="preserve"> through 202</w:t>
      </w:r>
      <w:r>
        <w:rPr>
          <w:b/>
          <w:sz w:val="20"/>
          <w:szCs w:val="20"/>
        </w:rPr>
        <w:t>1</w:t>
      </w:r>
      <w:r w:rsidRPr="00370D4E">
        <w:rPr>
          <w:b/>
          <w:sz w:val="20"/>
          <w:szCs w:val="20"/>
        </w:rPr>
        <w:t>-</w:t>
      </w:r>
      <w:r>
        <w:rPr>
          <w:b/>
          <w:sz w:val="20"/>
          <w:szCs w:val="20"/>
        </w:rPr>
        <w:t>22</w:t>
      </w:r>
      <w:r>
        <w:rPr>
          <w:sz w:val="20"/>
          <w:szCs w:val="20"/>
        </w:rPr>
        <w:br/>
        <w:t>The School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1122"/>
        <w:gridCol w:w="1122"/>
        <w:gridCol w:w="1221"/>
        <w:gridCol w:w="1221"/>
        <w:gridCol w:w="1221"/>
        <w:gridCol w:w="1221"/>
        <w:gridCol w:w="1221"/>
      </w:tblGrid>
      <w:tr w:rsidR="00767D76" w:rsidRPr="00767D76" w14:paraId="15D79461" w14:textId="77777777" w:rsidTr="00767D76">
        <w:trPr>
          <w:jc w:val="center"/>
        </w:trPr>
        <w:tc>
          <w:tcPr>
            <w:tcW w:w="1227" w:type="dxa"/>
          </w:tcPr>
          <w:p w14:paraId="373511E2" w14:textId="77777777" w:rsidR="00767D76" w:rsidRPr="00767D76" w:rsidRDefault="00767D76" w:rsidP="00767D76">
            <w:pPr>
              <w:pStyle w:val="BodyText"/>
              <w:keepNext/>
              <w:keepLines/>
              <w:tabs>
                <w:tab w:val="left" w:pos="360"/>
              </w:tabs>
              <w:spacing w:after="0"/>
              <w:ind w:firstLine="0"/>
              <w:rPr>
                <w:sz w:val="20"/>
                <w:szCs w:val="20"/>
              </w:rPr>
            </w:pPr>
          </w:p>
        </w:tc>
        <w:tc>
          <w:tcPr>
            <w:tcW w:w="1122" w:type="dxa"/>
          </w:tcPr>
          <w:p w14:paraId="1F278837" w14:textId="4397D5EE" w:rsidR="00767D76" w:rsidRPr="00767D76" w:rsidRDefault="00767D76" w:rsidP="00767D76">
            <w:pPr>
              <w:pStyle w:val="BodyText"/>
              <w:keepNext/>
              <w:keepLines/>
              <w:pBdr>
                <w:bottom w:val="single" w:sz="4" w:space="1" w:color="auto"/>
              </w:pBdr>
              <w:tabs>
                <w:tab w:val="left" w:pos="360"/>
              </w:tabs>
              <w:spacing w:after="0"/>
              <w:ind w:firstLine="0"/>
              <w:jc w:val="center"/>
              <w:rPr>
                <w:b/>
                <w:bCs/>
                <w:i/>
                <w:iCs/>
                <w:sz w:val="20"/>
                <w:szCs w:val="20"/>
              </w:rPr>
            </w:pPr>
            <w:r>
              <w:rPr>
                <w:b/>
                <w:bCs/>
                <w:i/>
                <w:iCs/>
                <w:sz w:val="20"/>
                <w:szCs w:val="20"/>
              </w:rPr>
              <w:t>2015-16</w:t>
            </w:r>
          </w:p>
        </w:tc>
        <w:tc>
          <w:tcPr>
            <w:tcW w:w="1122" w:type="dxa"/>
          </w:tcPr>
          <w:p w14:paraId="418EF469" w14:textId="7FB439F7" w:rsidR="00767D76" w:rsidRPr="00767D76" w:rsidRDefault="00767D76" w:rsidP="00767D76">
            <w:pPr>
              <w:pStyle w:val="BodyText"/>
              <w:keepNext/>
              <w:keepLines/>
              <w:pBdr>
                <w:bottom w:val="single" w:sz="4" w:space="1" w:color="auto"/>
              </w:pBdr>
              <w:tabs>
                <w:tab w:val="left" w:pos="360"/>
              </w:tabs>
              <w:spacing w:after="0"/>
              <w:ind w:firstLine="0"/>
              <w:jc w:val="center"/>
              <w:rPr>
                <w:b/>
                <w:bCs/>
                <w:i/>
                <w:iCs/>
                <w:sz w:val="20"/>
                <w:szCs w:val="20"/>
              </w:rPr>
            </w:pPr>
            <w:r>
              <w:rPr>
                <w:b/>
                <w:bCs/>
                <w:i/>
                <w:iCs/>
                <w:sz w:val="20"/>
                <w:szCs w:val="20"/>
              </w:rPr>
              <w:t>2016-17</w:t>
            </w:r>
          </w:p>
        </w:tc>
        <w:tc>
          <w:tcPr>
            <w:tcW w:w="1221" w:type="dxa"/>
          </w:tcPr>
          <w:p w14:paraId="09FBEB17" w14:textId="24CF58D0" w:rsidR="00767D76" w:rsidRPr="00767D76" w:rsidRDefault="00767D76" w:rsidP="00767D76">
            <w:pPr>
              <w:pStyle w:val="BodyText"/>
              <w:keepNext/>
              <w:keepLines/>
              <w:pBdr>
                <w:bottom w:val="single" w:sz="4" w:space="1" w:color="auto"/>
              </w:pBdr>
              <w:tabs>
                <w:tab w:val="left" w:pos="360"/>
              </w:tabs>
              <w:spacing w:after="0"/>
              <w:ind w:firstLine="0"/>
              <w:jc w:val="center"/>
              <w:rPr>
                <w:b/>
                <w:bCs/>
                <w:i/>
                <w:iCs/>
                <w:sz w:val="20"/>
                <w:szCs w:val="20"/>
              </w:rPr>
            </w:pPr>
            <w:r w:rsidRPr="00767D76">
              <w:rPr>
                <w:b/>
                <w:bCs/>
                <w:i/>
                <w:iCs/>
                <w:sz w:val="20"/>
                <w:szCs w:val="20"/>
              </w:rPr>
              <w:t>2017-18</w:t>
            </w:r>
          </w:p>
        </w:tc>
        <w:tc>
          <w:tcPr>
            <w:tcW w:w="1221" w:type="dxa"/>
          </w:tcPr>
          <w:p w14:paraId="2076789F" w14:textId="54FC7D20" w:rsidR="00767D76" w:rsidRPr="00767D76" w:rsidRDefault="00767D76" w:rsidP="00767D76">
            <w:pPr>
              <w:pStyle w:val="BodyText"/>
              <w:keepNext/>
              <w:keepLines/>
              <w:pBdr>
                <w:bottom w:val="single" w:sz="4" w:space="1" w:color="auto"/>
              </w:pBdr>
              <w:tabs>
                <w:tab w:val="left" w:pos="360"/>
              </w:tabs>
              <w:spacing w:after="0"/>
              <w:ind w:firstLine="0"/>
              <w:jc w:val="center"/>
              <w:rPr>
                <w:b/>
                <w:bCs/>
                <w:i/>
                <w:iCs/>
                <w:sz w:val="20"/>
                <w:szCs w:val="20"/>
              </w:rPr>
            </w:pPr>
            <w:r w:rsidRPr="00767D76">
              <w:rPr>
                <w:b/>
                <w:bCs/>
                <w:i/>
                <w:iCs/>
                <w:sz w:val="20"/>
                <w:szCs w:val="20"/>
              </w:rPr>
              <w:t>2018-19</w:t>
            </w:r>
          </w:p>
        </w:tc>
        <w:tc>
          <w:tcPr>
            <w:tcW w:w="1221" w:type="dxa"/>
          </w:tcPr>
          <w:p w14:paraId="7BFE2621" w14:textId="3B1D1E92" w:rsidR="00767D76" w:rsidRPr="00767D76" w:rsidRDefault="00767D76" w:rsidP="00767D76">
            <w:pPr>
              <w:pStyle w:val="BodyText"/>
              <w:keepNext/>
              <w:keepLines/>
              <w:pBdr>
                <w:bottom w:val="single" w:sz="4" w:space="1" w:color="auto"/>
              </w:pBdr>
              <w:tabs>
                <w:tab w:val="left" w:pos="360"/>
              </w:tabs>
              <w:spacing w:after="0"/>
              <w:ind w:firstLine="0"/>
              <w:jc w:val="center"/>
              <w:rPr>
                <w:b/>
                <w:bCs/>
                <w:i/>
                <w:iCs/>
                <w:sz w:val="20"/>
                <w:szCs w:val="20"/>
              </w:rPr>
            </w:pPr>
            <w:r w:rsidRPr="00767D76">
              <w:rPr>
                <w:b/>
                <w:bCs/>
                <w:i/>
                <w:iCs/>
                <w:sz w:val="20"/>
                <w:szCs w:val="20"/>
              </w:rPr>
              <w:t>2019-20</w:t>
            </w:r>
          </w:p>
        </w:tc>
        <w:tc>
          <w:tcPr>
            <w:tcW w:w="1221" w:type="dxa"/>
          </w:tcPr>
          <w:p w14:paraId="6009ACEF" w14:textId="49CB7833" w:rsidR="00767D76" w:rsidRPr="00767D76" w:rsidRDefault="00767D76" w:rsidP="00767D76">
            <w:pPr>
              <w:pStyle w:val="BodyText"/>
              <w:keepNext/>
              <w:keepLines/>
              <w:pBdr>
                <w:bottom w:val="single" w:sz="4" w:space="1" w:color="auto"/>
              </w:pBdr>
              <w:tabs>
                <w:tab w:val="left" w:pos="360"/>
              </w:tabs>
              <w:spacing w:after="0"/>
              <w:ind w:firstLine="0"/>
              <w:jc w:val="center"/>
              <w:rPr>
                <w:b/>
                <w:bCs/>
                <w:i/>
                <w:iCs/>
                <w:sz w:val="20"/>
                <w:szCs w:val="20"/>
              </w:rPr>
            </w:pPr>
            <w:r w:rsidRPr="00767D76">
              <w:rPr>
                <w:b/>
                <w:bCs/>
                <w:i/>
                <w:iCs/>
                <w:sz w:val="20"/>
                <w:szCs w:val="20"/>
              </w:rPr>
              <w:t>2020-21</w:t>
            </w:r>
          </w:p>
        </w:tc>
        <w:tc>
          <w:tcPr>
            <w:tcW w:w="1221" w:type="dxa"/>
          </w:tcPr>
          <w:p w14:paraId="6E3C2ADB" w14:textId="4CFC41B0" w:rsidR="00767D76" w:rsidRPr="00767D76" w:rsidRDefault="00767D76" w:rsidP="00767D76">
            <w:pPr>
              <w:pStyle w:val="BodyText"/>
              <w:keepNext/>
              <w:keepLines/>
              <w:pBdr>
                <w:bottom w:val="single" w:sz="4" w:space="1" w:color="auto"/>
              </w:pBdr>
              <w:tabs>
                <w:tab w:val="left" w:pos="360"/>
              </w:tabs>
              <w:spacing w:after="0"/>
              <w:ind w:firstLine="0"/>
              <w:jc w:val="center"/>
              <w:rPr>
                <w:b/>
                <w:bCs/>
                <w:i/>
                <w:iCs/>
                <w:sz w:val="20"/>
                <w:szCs w:val="20"/>
              </w:rPr>
            </w:pPr>
            <w:r w:rsidRPr="00767D76">
              <w:rPr>
                <w:b/>
                <w:bCs/>
                <w:i/>
                <w:iCs/>
                <w:sz w:val="20"/>
                <w:szCs w:val="20"/>
              </w:rPr>
              <w:t>2021-22</w:t>
            </w:r>
          </w:p>
        </w:tc>
      </w:tr>
      <w:tr w:rsidR="00767D76" w:rsidRPr="00767D76" w14:paraId="21B1F4C2" w14:textId="77777777" w:rsidTr="00767D76">
        <w:trPr>
          <w:jc w:val="center"/>
        </w:trPr>
        <w:tc>
          <w:tcPr>
            <w:tcW w:w="1227" w:type="dxa"/>
          </w:tcPr>
          <w:p w14:paraId="5B0EF31A" w14:textId="667ADB47" w:rsidR="00767D76" w:rsidRPr="00767D76" w:rsidRDefault="00767D76" w:rsidP="00767D76">
            <w:pPr>
              <w:pStyle w:val="BodyText"/>
              <w:keepNext/>
              <w:keepLines/>
              <w:tabs>
                <w:tab w:val="left" w:pos="360"/>
              </w:tabs>
              <w:spacing w:after="0"/>
              <w:ind w:firstLine="0"/>
              <w:rPr>
                <w:sz w:val="20"/>
                <w:szCs w:val="20"/>
              </w:rPr>
            </w:pPr>
            <w:r w:rsidRPr="00767D76">
              <w:rPr>
                <w:sz w:val="20"/>
                <w:szCs w:val="20"/>
              </w:rPr>
              <w:t>7</w:t>
            </w:r>
            <w:r w:rsidRPr="00767D76">
              <w:rPr>
                <w:sz w:val="20"/>
                <w:szCs w:val="20"/>
                <w:vertAlign w:val="superscript"/>
              </w:rPr>
              <w:t>th</w:t>
            </w:r>
            <w:r w:rsidRPr="00767D76">
              <w:rPr>
                <w:sz w:val="20"/>
                <w:szCs w:val="20"/>
              </w:rPr>
              <w:t xml:space="preserve"> Grade</w:t>
            </w:r>
          </w:p>
        </w:tc>
        <w:tc>
          <w:tcPr>
            <w:tcW w:w="1122" w:type="dxa"/>
          </w:tcPr>
          <w:p w14:paraId="4EB01ED4" w14:textId="23397E9E" w:rsidR="00767D76" w:rsidRPr="00767D76" w:rsidRDefault="00767D76" w:rsidP="00767D76">
            <w:pPr>
              <w:pStyle w:val="BodyText"/>
              <w:keepNext/>
              <w:keepLines/>
              <w:tabs>
                <w:tab w:val="decimal" w:pos="658"/>
              </w:tabs>
              <w:spacing w:after="0"/>
              <w:ind w:firstLine="0"/>
              <w:rPr>
                <w:sz w:val="20"/>
                <w:szCs w:val="20"/>
              </w:rPr>
            </w:pPr>
            <w:r>
              <w:rPr>
                <w:sz w:val="20"/>
                <w:szCs w:val="20"/>
              </w:rPr>
              <w:t>314</w:t>
            </w:r>
          </w:p>
        </w:tc>
        <w:tc>
          <w:tcPr>
            <w:tcW w:w="1122" w:type="dxa"/>
          </w:tcPr>
          <w:p w14:paraId="1B00AC83" w14:textId="4DDD6B83" w:rsidR="00767D76" w:rsidRPr="00767D76" w:rsidRDefault="00767D76" w:rsidP="00767D76">
            <w:pPr>
              <w:pStyle w:val="BodyText"/>
              <w:keepNext/>
              <w:keepLines/>
              <w:tabs>
                <w:tab w:val="decimal" w:pos="658"/>
              </w:tabs>
              <w:spacing w:after="0"/>
              <w:ind w:firstLine="0"/>
              <w:rPr>
                <w:sz w:val="20"/>
                <w:szCs w:val="20"/>
              </w:rPr>
            </w:pPr>
            <w:r>
              <w:rPr>
                <w:sz w:val="20"/>
                <w:szCs w:val="20"/>
              </w:rPr>
              <w:t>200</w:t>
            </w:r>
          </w:p>
        </w:tc>
        <w:tc>
          <w:tcPr>
            <w:tcW w:w="1221" w:type="dxa"/>
          </w:tcPr>
          <w:p w14:paraId="679105FC" w14:textId="579BB4E2" w:rsidR="00767D76" w:rsidRPr="00767D76" w:rsidRDefault="00767D76" w:rsidP="00767D76">
            <w:pPr>
              <w:pStyle w:val="BodyText"/>
              <w:keepNext/>
              <w:keepLines/>
              <w:tabs>
                <w:tab w:val="decimal" w:pos="658"/>
              </w:tabs>
              <w:spacing w:after="0"/>
              <w:ind w:firstLine="0"/>
              <w:rPr>
                <w:sz w:val="20"/>
                <w:szCs w:val="20"/>
              </w:rPr>
            </w:pPr>
            <w:r>
              <w:rPr>
                <w:sz w:val="20"/>
                <w:szCs w:val="20"/>
              </w:rPr>
              <w:t>178</w:t>
            </w:r>
          </w:p>
        </w:tc>
        <w:tc>
          <w:tcPr>
            <w:tcW w:w="1221" w:type="dxa"/>
          </w:tcPr>
          <w:p w14:paraId="419F70B5" w14:textId="462B4D7D" w:rsidR="00767D76" w:rsidRPr="00767D76" w:rsidRDefault="00767D76" w:rsidP="00767D76">
            <w:pPr>
              <w:pStyle w:val="BodyText"/>
              <w:keepNext/>
              <w:keepLines/>
              <w:tabs>
                <w:tab w:val="decimal" w:pos="658"/>
              </w:tabs>
              <w:spacing w:after="0"/>
              <w:ind w:firstLine="0"/>
              <w:rPr>
                <w:sz w:val="20"/>
                <w:szCs w:val="20"/>
              </w:rPr>
            </w:pPr>
            <w:r>
              <w:rPr>
                <w:sz w:val="20"/>
                <w:szCs w:val="20"/>
              </w:rPr>
              <w:t>205</w:t>
            </w:r>
          </w:p>
        </w:tc>
        <w:tc>
          <w:tcPr>
            <w:tcW w:w="1221" w:type="dxa"/>
          </w:tcPr>
          <w:p w14:paraId="1CB3B9A1" w14:textId="7DD4D546" w:rsidR="00767D76" w:rsidRPr="00767D76" w:rsidRDefault="00767D76" w:rsidP="00767D76">
            <w:pPr>
              <w:pStyle w:val="BodyText"/>
              <w:keepNext/>
              <w:keepLines/>
              <w:tabs>
                <w:tab w:val="decimal" w:pos="658"/>
              </w:tabs>
              <w:spacing w:after="0"/>
              <w:ind w:firstLine="0"/>
              <w:rPr>
                <w:sz w:val="20"/>
                <w:szCs w:val="20"/>
              </w:rPr>
            </w:pPr>
            <w:r>
              <w:rPr>
                <w:sz w:val="20"/>
                <w:szCs w:val="20"/>
              </w:rPr>
              <w:t>167</w:t>
            </w:r>
          </w:p>
        </w:tc>
        <w:tc>
          <w:tcPr>
            <w:tcW w:w="1221" w:type="dxa"/>
          </w:tcPr>
          <w:p w14:paraId="35E52237" w14:textId="676CBA8E" w:rsidR="00767D76" w:rsidRPr="00767D76" w:rsidRDefault="00767D76" w:rsidP="00767D76">
            <w:pPr>
              <w:pStyle w:val="BodyText"/>
              <w:keepNext/>
              <w:keepLines/>
              <w:tabs>
                <w:tab w:val="decimal" w:pos="658"/>
              </w:tabs>
              <w:spacing w:after="0"/>
              <w:ind w:firstLine="0"/>
              <w:rPr>
                <w:sz w:val="20"/>
                <w:szCs w:val="20"/>
              </w:rPr>
            </w:pPr>
            <w:r>
              <w:rPr>
                <w:sz w:val="20"/>
                <w:szCs w:val="20"/>
              </w:rPr>
              <w:t>126</w:t>
            </w:r>
          </w:p>
        </w:tc>
        <w:tc>
          <w:tcPr>
            <w:tcW w:w="1221" w:type="dxa"/>
          </w:tcPr>
          <w:p w14:paraId="325E71D2" w14:textId="2D813D31" w:rsidR="00767D76" w:rsidRPr="00767D76" w:rsidRDefault="00767D76" w:rsidP="00767D76">
            <w:pPr>
              <w:pStyle w:val="BodyText"/>
              <w:keepNext/>
              <w:keepLines/>
              <w:tabs>
                <w:tab w:val="decimal" w:pos="658"/>
              </w:tabs>
              <w:spacing w:after="0"/>
              <w:ind w:firstLine="0"/>
              <w:rPr>
                <w:sz w:val="20"/>
                <w:szCs w:val="20"/>
              </w:rPr>
            </w:pPr>
            <w:r>
              <w:rPr>
                <w:sz w:val="20"/>
                <w:szCs w:val="20"/>
              </w:rPr>
              <w:t>99</w:t>
            </w:r>
          </w:p>
        </w:tc>
      </w:tr>
      <w:tr w:rsidR="00767D76" w:rsidRPr="00767D76" w14:paraId="2FC29D4D" w14:textId="77777777" w:rsidTr="00767D76">
        <w:trPr>
          <w:jc w:val="center"/>
        </w:trPr>
        <w:tc>
          <w:tcPr>
            <w:tcW w:w="1227" w:type="dxa"/>
          </w:tcPr>
          <w:p w14:paraId="430784C7" w14:textId="52BD1BF3" w:rsidR="00767D76" w:rsidRPr="00767D76" w:rsidRDefault="00767D76" w:rsidP="00767D76">
            <w:pPr>
              <w:pStyle w:val="BodyText"/>
              <w:keepNext/>
              <w:keepLines/>
              <w:tabs>
                <w:tab w:val="left" w:pos="360"/>
              </w:tabs>
              <w:spacing w:after="0"/>
              <w:ind w:firstLine="0"/>
              <w:rPr>
                <w:sz w:val="20"/>
                <w:szCs w:val="20"/>
              </w:rPr>
            </w:pPr>
            <w:r w:rsidRPr="00767D76">
              <w:rPr>
                <w:sz w:val="20"/>
                <w:szCs w:val="20"/>
              </w:rPr>
              <w:t>8</w:t>
            </w:r>
            <w:r w:rsidRPr="00767D76">
              <w:rPr>
                <w:sz w:val="20"/>
                <w:szCs w:val="20"/>
                <w:vertAlign w:val="superscript"/>
              </w:rPr>
              <w:t>th</w:t>
            </w:r>
            <w:r w:rsidRPr="00767D76">
              <w:rPr>
                <w:sz w:val="20"/>
                <w:szCs w:val="20"/>
              </w:rPr>
              <w:t xml:space="preserve"> Grade</w:t>
            </w:r>
          </w:p>
        </w:tc>
        <w:tc>
          <w:tcPr>
            <w:tcW w:w="1122" w:type="dxa"/>
          </w:tcPr>
          <w:p w14:paraId="4CF67831" w14:textId="7F420FDE" w:rsidR="00767D76" w:rsidRPr="00767D76" w:rsidRDefault="00767D76" w:rsidP="00767D76">
            <w:pPr>
              <w:pStyle w:val="BodyText"/>
              <w:keepNext/>
              <w:keepLines/>
              <w:tabs>
                <w:tab w:val="decimal" w:pos="658"/>
              </w:tabs>
              <w:spacing w:after="0"/>
              <w:ind w:firstLine="0"/>
              <w:rPr>
                <w:sz w:val="20"/>
                <w:szCs w:val="20"/>
              </w:rPr>
            </w:pPr>
            <w:r>
              <w:rPr>
                <w:sz w:val="20"/>
                <w:szCs w:val="20"/>
              </w:rPr>
              <w:t>249</w:t>
            </w:r>
          </w:p>
        </w:tc>
        <w:tc>
          <w:tcPr>
            <w:tcW w:w="1122" w:type="dxa"/>
          </w:tcPr>
          <w:p w14:paraId="497944A4" w14:textId="3C68EAE0" w:rsidR="00767D76" w:rsidRPr="00767D76" w:rsidRDefault="00767D76" w:rsidP="00767D76">
            <w:pPr>
              <w:pStyle w:val="BodyText"/>
              <w:keepNext/>
              <w:keepLines/>
              <w:tabs>
                <w:tab w:val="decimal" w:pos="658"/>
              </w:tabs>
              <w:spacing w:after="0"/>
              <w:ind w:firstLine="0"/>
              <w:rPr>
                <w:sz w:val="20"/>
                <w:szCs w:val="20"/>
              </w:rPr>
            </w:pPr>
            <w:r>
              <w:rPr>
                <w:sz w:val="20"/>
                <w:szCs w:val="20"/>
              </w:rPr>
              <w:t>263</w:t>
            </w:r>
          </w:p>
        </w:tc>
        <w:tc>
          <w:tcPr>
            <w:tcW w:w="1221" w:type="dxa"/>
          </w:tcPr>
          <w:p w14:paraId="127D9904" w14:textId="64339BB8" w:rsidR="00767D76" w:rsidRPr="00767D76" w:rsidRDefault="00767D76" w:rsidP="00767D76">
            <w:pPr>
              <w:pStyle w:val="BodyText"/>
              <w:keepNext/>
              <w:keepLines/>
              <w:tabs>
                <w:tab w:val="decimal" w:pos="658"/>
              </w:tabs>
              <w:spacing w:after="0"/>
              <w:ind w:firstLine="0"/>
              <w:rPr>
                <w:sz w:val="20"/>
                <w:szCs w:val="20"/>
              </w:rPr>
            </w:pPr>
            <w:r>
              <w:rPr>
                <w:sz w:val="20"/>
                <w:szCs w:val="20"/>
              </w:rPr>
              <w:t>196</w:t>
            </w:r>
          </w:p>
        </w:tc>
        <w:tc>
          <w:tcPr>
            <w:tcW w:w="1221" w:type="dxa"/>
          </w:tcPr>
          <w:p w14:paraId="7763F64E" w14:textId="6E3763E7" w:rsidR="00767D76" w:rsidRPr="00767D76" w:rsidRDefault="00767D76" w:rsidP="00767D76">
            <w:pPr>
              <w:pStyle w:val="BodyText"/>
              <w:keepNext/>
              <w:keepLines/>
              <w:tabs>
                <w:tab w:val="decimal" w:pos="658"/>
              </w:tabs>
              <w:spacing w:after="0"/>
              <w:ind w:firstLine="0"/>
              <w:rPr>
                <w:sz w:val="20"/>
                <w:szCs w:val="20"/>
              </w:rPr>
            </w:pPr>
            <w:r>
              <w:rPr>
                <w:sz w:val="20"/>
                <w:szCs w:val="20"/>
              </w:rPr>
              <w:t>205</w:t>
            </w:r>
          </w:p>
        </w:tc>
        <w:tc>
          <w:tcPr>
            <w:tcW w:w="1221" w:type="dxa"/>
          </w:tcPr>
          <w:p w14:paraId="50ED15F5" w14:textId="3FD3CABE" w:rsidR="00767D76" w:rsidRPr="00767D76" w:rsidRDefault="00767D76" w:rsidP="00767D76">
            <w:pPr>
              <w:pStyle w:val="BodyText"/>
              <w:keepNext/>
              <w:keepLines/>
              <w:tabs>
                <w:tab w:val="decimal" w:pos="658"/>
              </w:tabs>
              <w:spacing w:after="0"/>
              <w:ind w:firstLine="0"/>
              <w:rPr>
                <w:sz w:val="20"/>
                <w:szCs w:val="20"/>
              </w:rPr>
            </w:pPr>
            <w:r>
              <w:rPr>
                <w:sz w:val="20"/>
                <w:szCs w:val="20"/>
              </w:rPr>
              <w:t>202</w:t>
            </w:r>
          </w:p>
        </w:tc>
        <w:tc>
          <w:tcPr>
            <w:tcW w:w="1221" w:type="dxa"/>
          </w:tcPr>
          <w:p w14:paraId="32702927" w14:textId="69D59E0E" w:rsidR="00767D76" w:rsidRPr="00767D76" w:rsidRDefault="00767D76" w:rsidP="00767D76">
            <w:pPr>
              <w:pStyle w:val="BodyText"/>
              <w:keepNext/>
              <w:keepLines/>
              <w:tabs>
                <w:tab w:val="decimal" w:pos="658"/>
              </w:tabs>
              <w:spacing w:after="0"/>
              <w:ind w:firstLine="0"/>
              <w:rPr>
                <w:sz w:val="20"/>
                <w:szCs w:val="20"/>
              </w:rPr>
            </w:pPr>
            <w:r>
              <w:rPr>
                <w:sz w:val="20"/>
                <w:szCs w:val="20"/>
              </w:rPr>
              <w:t>169</w:t>
            </w:r>
          </w:p>
        </w:tc>
        <w:tc>
          <w:tcPr>
            <w:tcW w:w="1221" w:type="dxa"/>
          </w:tcPr>
          <w:p w14:paraId="13E78C25" w14:textId="42B50E66" w:rsidR="00767D76" w:rsidRPr="00767D76" w:rsidRDefault="00767D76" w:rsidP="00767D76">
            <w:pPr>
              <w:pStyle w:val="BodyText"/>
              <w:keepNext/>
              <w:keepLines/>
              <w:tabs>
                <w:tab w:val="decimal" w:pos="658"/>
              </w:tabs>
              <w:spacing w:after="0"/>
              <w:ind w:firstLine="0"/>
              <w:rPr>
                <w:sz w:val="20"/>
                <w:szCs w:val="20"/>
              </w:rPr>
            </w:pPr>
            <w:r>
              <w:rPr>
                <w:sz w:val="20"/>
                <w:szCs w:val="20"/>
              </w:rPr>
              <w:t>144</w:t>
            </w:r>
          </w:p>
        </w:tc>
      </w:tr>
      <w:tr w:rsidR="00767D76" w:rsidRPr="00767D76" w14:paraId="5D48C50C" w14:textId="77777777" w:rsidTr="00767D76">
        <w:trPr>
          <w:jc w:val="center"/>
        </w:trPr>
        <w:tc>
          <w:tcPr>
            <w:tcW w:w="1227" w:type="dxa"/>
          </w:tcPr>
          <w:p w14:paraId="5819513D" w14:textId="7DB21647" w:rsidR="00767D76" w:rsidRPr="00767D76" w:rsidRDefault="00767D76" w:rsidP="00767D76">
            <w:pPr>
              <w:pStyle w:val="BodyText"/>
              <w:keepNext/>
              <w:keepLines/>
              <w:tabs>
                <w:tab w:val="left" w:pos="360"/>
              </w:tabs>
              <w:spacing w:after="0"/>
              <w:ind w:firstLine="0"/>
              <w:rPr>
                <w:sz w:val="20"/>
                <w:szCs w:val="20"/>
              </w:rPr>
            </w:pPr>
            <w:r w:rsidRPr="00767D76">
              <w:rPr>
                <w:sz w:val="20"/>
                <w:szCs w:val="20"/>
              </w:rPr>
              <w:t>9</w:t>
            </w:r>
            <w:r w:rsidRPr="00767D76">
              <w:rPr>
                <w:sz w:val="20"/>
                <w:szCs w:val="20"/>
                <w:vertAlign w:val="superscript"/>
              </w:rPr>
              <w:t>th</w:t>
            </w:r>
            <w:r w:rsidRPr="00767D76">
              <w:rPr>
                <w:sz w:val="20"/>
                <w:szCs w:val="20"/>
              </w:rPr>
              <w:t xml:space="preserve"> Grade</w:t>
            </w:r>
          </w:p>
        </w:tc>
        <w:tc>
          <w:tcPr>
            <w:tcW w:w="1122" w:type="dxa"/>
          </w:tcPr>
          <w:p w14:paraId="5E0E1C8A" w14:textId="2D9C5BBF" w:rsidR="00767D76" w:rsidRPr="00767D76" w:rsidRDefault="00767D76" w:rsidP="00767D76">
            <w:pPr>
              <w:pStyle w:val="BodyText"/>
              <w:keepNext/>
              <w:keepLines/>
              <w:tabs>
                <w:tab w:val="decimal" w:pos="658"/>
              </w:tabs>
              <w:spacing w:after="0"/>
              <w:ind w:firstLine="0"/>
              <w:rPr>
                <w:sz w:val="20"/>
                <w:szCs w:val="20"/>
              </w:rPr>
            </w:pPr>
            <w:r>
              <w:rPr>
                <w:sz w:val="20"/>
                <w:szCs w:val="20"/>
              </w:rPr>
              <w:t>202</w:t>
            </w:r>
          </w:p>
        </w:tc>
        <w:tc>
          <w:tcPr>
            <w:tcW w:w="1122" w:type="dxa"/>
          </w:tcPr>
          <w:p w14:paraId="7856A2A9" w14:textId="3EE98CCC" w:rsidR="00767D76" w:rsidRPr="00767D76" w:rsidRDefault="00767D76" w:rsidP="00767D76">
            <w:pPr>
              <w:pStyle w:val="BodyText"/>
              <w:keepNext/>
              <w:keepLines/>
              <w:tabs>
                <w:tab w:val="decimal" w:pos="658"/>
              </w:tabs>
              <w:spacing w:after="0"/>
              <w:ind w:firstLine="0"/>
              <w:rPr>
                <w:sz w:val="20"/>
                <w:szCs w:val="20"/>
              </w:rPr>
            </w:pPr>
            <w:r>
              <w:rPr>
                <w:sz w:val="20"/>
                <w:szCs w:val="20"/>
              </w:rPr>
              <w:t>182</w:t>
            </w:r>
          </w:p>
        </w:tc>
        <w:tc>
          <w:tcPr>
            <w:tcW w:w="1221" w:type="dxa"/>
          </w:tcPr>
          <w:p w14:paraId="5E4E68D3" w14:textId="6E6F470A" w:rsidR="00767D76" w:rsidRPr="00767D76" w:rsidRDefault="00767D76" w:rsidP="00767D76">
            <w:pPr>
              <w:pStyle w:val="BodyText"/>
              <w:keepNext/>
              <w:keepLines/>
              <w:tabs>
                <w:tab w:val="decimal" w:pos="658"/>
              </w:tabs>
              <w:spacing w:after="0"/>
              <w:ind w:firstLine="0"/>
              <w:rPr>
                <w:sz w:val="20"/>
                <w:szCs w:val="20"/>
              </w:rPr>
            </w:pPr>
            <w:r>
              <w:rPr>
                <w:sz w:val="20"/>
                <w:szCs w:val="20"/>
              </w:rPr>
              <w:t>196</w:t>
            </w:r>
          </w:p>
        </w:tc>
        <w:tc>
          <w:tcPr>
            <w:tcW w:w="1221" w:type="dxa"/>
          </w:tcPr>
          <w:p w14:paraId="0118546D" w14:textId="062D20D9" w:rsidR="00767D76" w:rsidRPr="00767D76" w:rsidRDefault="00767D76" w:rsidP="00767D76">
            <w:pPr>
              <w:pStyle w:val="BodyText"/>
              <w:keepNext/>
              <w:keepLines/>
              <w:tabs>
                <w:tab w:val="decimal" w:pos="658"/>
              </w:tabs>
              <w:spacing w:after="0"/>
              <w:ind w:firstLine="0"/>
              <w:rPr>
                <w:sz w:val="20"/>
                <w:szCs w:val="20"/>
              </w:rPr>
            </w:pPr>
            <w:r>
              <w:rPr>
                <w:sz w:val="20"/>
                <w:szCs w:val="20"/>
              </w:rPr>
              <w:t>167</w:t>
            </w:r>
          </w:p>
        </w:tc>
        <w:tc>
          <w:tcPr>
            <w:tcW w:w="1221" w:type="dxa"/>
          </w:tcPr>
          <w:p w14:paraId="1D6B910C" w14:textId="0C585A9B" w:rsidR="00767D76" w:rsidRPr="00767D76" w:rsidRDefault="00767D76" w:rsidP="00767D76">
            <w:pPr>
              <w:pStyle w:val="BodyText"/>
              <w:keepNext/>
              <w:keepLines/>
              <w:tabs>
                <w:tab w:val="decimal" w:pos="658"/>
              </w:tabs>
              <w:spacing w:after="0"/>
              <w:ind w:firstLine="0"/>
              <w:rPr>
                <w:sz w:val="20"/>
                <w:szCs w:val="20"/>
              </w:rPr>
            </w:pPr>
            <w:r>
              <w:rPr>
                <w:sz w:val="20"/>
                <w:szCs w:val="20"/>
              </w:rPr>
              <w:t>165</w:t>
            </w:r>
          </w:p>
        </w:tc>
        <w:tc>
          <w:tcPr>
            <w:tcW w:w="1221" w:type="dxa"/>
          </w:tcPr>
          <w:p w14:paraId="42A83CB9" w14:textId="36F8B139" w:rsidR="00767D76" w:rsidRPr="00767D76" w:rsidRDefault="00767D76" w:rsidP="00767D76">
            <w:pPr>
              <w:pStyle w:val="BodyText"/>
              <w:keepNext/>
              <w:keepLines/>
              <w:tabs>
                <w:tab w:val="decimal" w:pos="658"/>
              </w:tabs>
              <w:spacing w:after="0"/>
              <w:ind w:firstLine="0"/>
              <w:rPr>
                <w:sz w:val="20"/>
                <w:szCs w:val="20"/>
              </w:rPr>
            </w:pPr>
            <w:r>
              <w:rPr>
                <w:sz w:val="20"/>
                <w:szCs w:val="20"/>
              </w:rPr>
              <w:t>147</w:t>
            </w:r>
          </w:p>
        </w:tc>
        <w:tc>
          <w:tcPr>
            <w:tcW w:w="1221" w:type="dxa"/>
          </w:tcPr>
          <w:p w14:paraId="4B2E4F80" w14:textId="6657030E" w:rsidR="00767D76" w:rsidRPr="00767D76" w:rsidRDefault="00767D76" w:rsidP="00767D76">
            <w:pPr>
              <w:pStyle w:val="BodyText"/>
              <w:keepNext/>
              <w:keepLines/>
              <w:tabs>
                <w:tab w:val="decimal" w:pos="658"/>
              </w:tabs>
              <w:spacing w:after="0"/>
              <w:ind w:firstLine="0"/>
              <w:rPr>
                <w:sz w:val="20"/>
                <w:szCs w:val="20"/>
              </w:rPr>
            </w:pPr>
            <w:r>
              <w:rPr>
                <w:sz w:val="20"/>
                <w:szCs w:val="20"/>
              </w:rPr>
              <w:t>124</w:t>
            </w:r>
          </w:p>
        </w:tc>
      </w:tr>
      <w:tr w:rsidR="00767D76" w:rsidRPr="00767D76" w14:paraId="25462FB1" w14:textId="77777777" w:rsidTr="00767D76">
        <w:trPr>
          <w:jc w:val="center"/>
        </w:trPr>
        <w:tc>
          <w:tcPr>
            <w:tcW w:w="1227" w:type="dxa"/>
          </w:tcPr>
          <w:p w14:paraId="4BBC3FD1" w14:textId="0016A27E" w:rsidR="00767D76" w:rsidRPr="00767D76" w:rsidRDefault="00767D76" w:rsidP="00767D76">
            <w:pPr>
              <w:pStyle w:val="BodyText"/>
              <w:keepNext/>
              <w:keepLines/>
              <w:tabs>
                <w:tab w:val="left" w:pos="360"/>
              </w:tabs>
              <w:spacing w:after="0"/>
              <w:ind w:firstLine="0"/>
              <w:rPr>
                <w:sz w:val="20"/>
                <w:szCs w:val="20"/>
              </w:rPr>
            </w:pPr>
            <w:r w:rsidRPr="00767D76">
              <w:rPr>
                <w:sz w:val="20"/>
                <w:szCs w:val="20"/>
              </w:rPr>
              <w:t>10</w:t>
            </w:r>
            <w:r w:rsidRPr="00767D76">
              <w:rPr>
                <w:sz w:val="20"/>
                <w:szCs w:val="20"/>
                <w:vertAlign w:val="superscript"/>
              </w:rPr>
              <w:t>th</w:t>
            </w:r>
            <w:r w:rsidRPr="00767D76">
              <w:rPr>
                <w:sz w:val="20"/>
                <w:szCs w:val="20"/>
              </w:rPr>
              <w:t xml:space="preserve"> Grade</w:t>
            </w:r>
          </w:p>
        </w:tc>
        <w:tc>
          <w:tcPr>
            <w:tcW w:w="1122" w:type="dxa"/>
          </w:tcPr>
          <w:p w14:paraId="1B9F814D" w14:textId="3FD3C0F5" w:rsidR="00767D76" w:rsidRPr="00767D76" w:rsidRDefault="00767D76" w:rsidP="00767D76">
            <w:pPr>
              <w:pStyle w:val="BodyText"/>
              <w:keepNext/>
              <w:keepLines/>
              <w:tabs>
                <w:tab w:val="decimal" w:pos="658"/>
              </w:tabs>
              <w:spacing w:after="0"/>
              <w:ind w:firstLine="0"/>
              <w:rPr>
                <w:sz w:val="20"/>
                <w:szCs w:val="20"/>
              </w:rPr>
            </w:pPr>
            <w:r>
              <w:rPr>
                <w:sz w:val="20"/>
                <w:szCs w:val="20"/>
              </w:rPr>
              <w:t>184</w:t>
            </w:r>
          </w:p>
        </w:tc>
        <w:tc>
          <w:tcPr>
            <w:tcW w:w="1122" w:type="dxa"/>
          </w:tcPr>
          <w:p w14:paraId="794E8953" w14:textId="16CA3491" w:rsidR="00767D76" w:rsidRPr="00767D76" w:rsidRDefault="00767D76" w:rsidP="00767D76">
            <w:pPr>
              <w:pStyle w:val="BodyText"/>
              <w:keepNext/>
              <w:keepLines/>
              <w:tabs>
                <w:tab w:val="decimal" w:pos="658"/>
              </w:tabs>
              <w:spacing w:after="0"/>
              <w:ind w:firstLine="0"/>
              <w:rPr>
                <w:sz w:val="20"/>
                <w:szCs w:val="20"/>
              </w:rPr>
            </w:pPr>
            <w:r>
              <w:rPr>
                <w:sz w:val="20"/>
                <w:szCs w:val="20"/>
              </w:rPr>
              <w:t>154</w:t>
            </w:r>
          </w:p>
        </w:tc>
        <w:tc>
          <w:tcPr>
            <w:tcW w:w="1221" w:type="dxa"/>
          </w:tcPr>
          <w:p w14:paraId="0FE90254" w14:textId="5B058AA3" w:rsidR="00767D76" w:rsidRPr="00767D76" w:rsidRDefault="00767D76" w:rsidP="00767D76">
            <w:pPr>
              <w:pStyle w:val="BodyText"/>
              <w:keepNext/>
              <w:keepLines/>
              <w:tabs>
                <w:tab w:val="decimal" w:pos="658"/>
              </w:tabs>
              <w:spacing w:after="0"/>
              <w:ind w:firstLine="0"/>
              <w:rPr>
                <w:sz w:val="20"/>
                <w:szCs w:val="20"/>
              </w:rPr>
            </w:pPr>
            <w:r>
              <w:rPr>
                <w:sz w:val="20"/>
                <w:szCs w:val="20"/>
              </w:rPr>
              <w:t>165</w:t>
            </w:r>
          </w:p>
        </w:tc>
        <w:tc>
          <w:tcPr>
            <w:tcW w:w="1221" w:type="dxa"/>
          </w:tcPr>
          <w:p w14:paraId="790B1C57" w14:textId="2A57FEBB" w:rsidR="00767D76" w:rsidRPr="00767D76" w:rsidRDefault="00767D76" w:rsidP="00767D76">
            <w:pPr>
              <w:pStyle w:val="BodyText"/>
              <w:keepNext/>
              <w:keepLines/>
              <w:tabs>
                <w:tab w:val="decimal" w:pos="658"/>
              </w:tabs>
              <w:spacing w:after="0"/>
              <w:ind w:firstLine="0"/>
              <w:rPr>
                <w:sz w:val="20"/>
                <w:szCs w:val="20"/>
              </w:rPr>
            </w:pPr>
            <w:r>
              <w:rPr>
                <w:sz w:val="20"/>
                <w:szCs w:val="20"/>
              </w:rPr>
              <w:t>190</w:t>
            </w:r>
          </w:p>
        </w:tc>
        <w:tc>
          <w:tcPr>
            <w:tcW w:w="1221" w:type="dxa"/>
          </w:tcPr>
          <w:p w14:paraId="3A4B2EEA" w14:textId="436EEC1B" w:rsidR="00767D76" w:rsidRPr="00767D76" w:rsidRDefault="00767D76" w:rsidP="00767D76">
            <w:pPr>
              <w:pStyle w:val="BodyText"/>
              <w:keepNext/>
              <w:keepLines/>
              <w:tabs>
                <w:tab w:val="decimal" w:pos="658"/>
              </w:tabs>
              <w:spacing w:after="0"/>
              <w:ind w:firstLine="0"/>
              <w:rPr>
                <w:sz w:val="20"/>
                <w:szCs w:val="20"/>
              </w:rPr>
            </w:pPr>
            <w:r>
              <w:rPr>
                <w:sz w:val="20"/>
                <w:szCs w:val="20"/>
              </w:rPr>
              <w:t>165</w:t>
            </w:r>
          </w:p>
        </w:tc>
        <w:tc>
          <w:tcPr>
            <w:tcW w:w="1221" w:type="dxa"/>
          </w:tcPr>
          <w:p w14:paraId="7153A3D7" w14:textId="70860100" w:rsidR="00767D76" w:rsidRPr="00767D76" w:rsidRDefault="00767D76" w:rsidP="00767D76">
            <w:pPr>
              <w:pStyle w:val="BodyText"/>
              <w:keepNext/>
              <w:keepLines/>
              <w:tabs>
                <w:tab w:val="decimal" w:pos="658"/>
              </w:tabs>
              <w:spacing w:after="0"/>
              <w:ind w:firstLine="0"/>
              <w:rPr>
                <w:sz w:val="20"/>
                <w:szCs w:val="20"/>
              </w:rPr>
            </w:pPr>
            <w:r>
              <w:rPr>
                <w:sz w:val="20"/>
                <w:szCs w:val="20"/>
              </w:rPr>
              <w:t>133</w:t>
            </w:r>
          </w:p>
        </w:tc>
        <w:tc>
          <w:tcPr>
            <w:tcW w:w="1221" w:type="dxa"/>
          </w:tcPr>
          <w:p w14:paraId="30C17155" w14:textId="7F45E05C" w:rsidR="00767D76" w:rsidRPr="00767D76" w:rsidRDefault="00767D76" w:rsidP="00767D76">
            <w:pPr>
              <w:pStyle w:val="BodyText"/>
              <w:keepNext/>
              <w:keepLines/>
              <w:tabs>
                <w:tab w:val="decimal" w:pos="658"/>
              </w:tabs>
              <w:spacing w:after="0"/>
              <w:ind w:firstLine="0"/>
              <w:rPr>
                <w:sz w:val="20"/>
                <w:szCs w:val="20"/>
              </w:rPr>
            </w:pPr>
            <w:r>
              <w:rPr>
                <w:sz w:val="20"/>
                <w:szCs w:val="20"/>
              </w:rPr>
              <w:t>141</w:t>
            </w:r>
          </w:p>
        </w:tc>
      </w:tr>
      <w:tr w:rsidR="00767D76" w:rsidRPr="00767D76" w14:paraId="6ADF7CD1" w14:textId="77777777" w:rsidTr="00767D76">
        <w:trPr>
          <w:jc w:val="center"/>
        </w:trPr>
        <w:tc>
          <w:tcPr>
            <w:tcW w:w="1227" w:type="dxa"/>
          </w:tcPr>
          <w:p w14:paraId="10A06967" w14:textId="4D5FE554" w:rsidR="00767D76" w:rsidRPr="00767D76" w:rsidRDefault="00767D76" w:rsidP="00767D76">
            <w:pPr>
              <w:pStyle w:val="BodyText"/>
              <w:keepNext/>
              <w:keepLines/>
              <w:tabs>
                <w:tab w:val="left" w:pos="360"/>
              </w:tabs>
              <w:spacing w:after="0"/>
              <w:ind w:firstLine="0"/>
              <w:rPr>
                <w:sz w:val="20"/>
                <w:szCs w:val="20"/>
              </w:rPr>
            </w:pPr>
            <w:r w:rsidRPr="00767D76">
              <w:rPr>
                <w:sz w:val="20"/>
                <w:szCs w:val="20"/>
              </w:rPr>
              <w:t>11</w:t>
            </w:r>
            <w:r w:rsidRPr="00767D76">
              <w:rPr>
                <w:sz w:val="20"/>
                <w:szCs w:val="20"/>
                <w:vertAlign w:val="superscript"/>
              </w:rPr>
              <w:t>th</w:t>
            </w:r>
            <w:r w:rsidRPr="00767D76">
              <w:rPr>
                <w:sz w:val="20"/>
                <w:szCs w:val="20"/>
              </w:rPr>
              <w:t xml:space="preserve"> Grade</w:t>
            </w:r>
          </w:p>
        </w:tc>
        <w:tc>
          <w:tcPr>
            <w:tcW w:w="1122" w:type="dxa"/>
          </w:tcPr>
          <w:p w14:paraId="3CE3C5EA" w14:textId="53D54B0C" w:rsidR="00767D76" w:rsidRPr="00767D76" w:rsidRDefault="00767D76" w:rsidP="00767D76">
            <w:pPr>
              <w:pStyle w:val="BodyText"/>
              <w:keepNext/>
              <w:keepLines/>
              <w:tabs>
                <w:tab w:val="decimal" w:pos="658"/>
              </w:tabs>
              <w:spacing w:after="0"/>
              <w:ind w:firstLine="0"/>
              <w:rPr>
                <w:sz w:val="20"/>
                <w:szCs w:val="20"/>
              </w:rPr>
            </w:pPr>
            <w:r>
              <w:rPr>
                <w:sz w:val="20"/>
                <w:szCs w:val="20"/>
              </w:rPr>
              <w:t>160</w:t>
            </w:r>
          </w:p>
        </w:tc>
        <w:tc>
          <w:tcPr>
            <w:tcW w:w="1122" w:type="dxa"/>
          </w:tcPr>
          <w:p w14:paraId="291A6927" w14:textId="1C4C7AF1" w:rsidR="00767D76" w:rsidRPr="00767D76" w:rsidRDefault="00767D76" w:rsidP="00767D76">
            <w:pPr>
              <w:pStyle w:val="BodyText"/>
              <w:keepNext/>
              <w:keepLines/>
              <w:tabs>
                <w:tab w:val="decimal" w:pos="658"/>
              </w:tabs>
              <w:spacing w:after="0"/>
              <w:ind w:firstLine="0"/>
              <w:rPr>
                <w:sz w:val="20"/>
                <w:szCs w:val="20"/>
              </w:rPr>
            </w:pPr>
            <w:r>
              <w:rPr>
                <w:sz w:val="20"/>
                <w:szCs w:val="20"/>
              </w:rPr>
              <w:t>166</w:t>
            </w:r>
          </w:p>
        </w:tc>
        <w:tc>
          <w:tcPr>
            <w:tcW w:w="1221" w:type="dxa"/>
          </w:tcPr>
          <w:p w14:paraId="74F84E8F" w14:textId="3F5146CF" w:rsidR="00767D76" w:rsidRPr="00767D76" w:rsidRDefault="00767D76" w:rsidP="00767D76">
            <w:pPr>
              <w:pStyle w:val="BodyText"/>
              <w:keepNext/>
              <w:keepLines/>
              <w:tabs>
                <w:tab w:val="decimal" w:pos="658"/>
              </w:tabs>
              <w:spacing w:after="0"/>
              <w:ind w:firstLine="0"/>
              <w:rPr>
                <w:sz w:val="20"/>
                <w:szCs w:val="20"/>
              </w:rPr>
            </w:pPr>
            <w:r>
              <w:rPr>
                <w:sz w:val="20"/>
                <w:szCs w:val="20"/>
              </w:rPr>
              <w:t>139</w:t>
            </w:r>
          </w:p>
        </w:tc>
        <w:tc>
          <w:tcPr>
            <w:tcW w:w="1221" w:type="dxa"/>
          </w:tcPr>
          <w:p w14:paraId="74EAC25A" w14:textId="6BE2E441" w:rsidR="00767D76" w:rsidRPr="00767D76" w:rsidRDefault="00767D76" w:rsidP="00767D76">
            <w:pPr>
              <w:pStyle w:val="BodyText"/>
              <w:keepNext/>
              <w:keepLines/>
              <w:tabs>
                <w:tab w:val="decimal" w:pos="658"/>
              </w:tabs>
              <w:spacing w:after="0"/>
              <w:ind w:firstLine="0"/>
              <w:rPr>
                <w:sz w:val="20"/>
                <w:szCs w:val="20"/>
              </w:rPr>
            </w:pPr>
            <w:r>
              <w:rPr>
                <w:sz w:val="20"/>
                <w:szCs w:val="20"/>
              </w:rPr>
              <w:t>137</w:t>
            </w:r>
          </w:p>
        </w:tc>
        <w:tc>
          <w:tcPr>
            <w:tcW w:w="1221" w:type="dxa"/>
          </w:tcPr>
          <w:p w14:paraId="6D2EE104" w14:textId="3E4A0FCF" w:rsidR="00767D76" w:rsidRPr="00767D76" w:rsidRDefault="00767D76" w:rsidP="00767D76">
            <w:pPr>
              <w:pStyle w:val="BodyText"/>
              <w:keepNext/>
              <w:keepLines/>
              <w:tabs>
                <w:tab w:val="decimal" w:pos="658"/>
              </w:tabs>
              <w:spacing w:after="0"/>
              <w:ind w:firstLine="0"/>
              <w:rPr>
                <w:sz w:val="20"/>
                <w:szCs w:val="20"/>
              </w:rPr>
            </w:pPr>
            <w:r>
              <w:rPr>
                <w:sz w:val="20"/>
                <w:szCs w:val="20"/>
              </w:rPr>
              <w:t>156</w:t>
            </w:r>
          </w:p>
        </w:tc>
        <w:tc>
          <w:tcPr>
            <w:tcW w:w="1221" w:type="dxa"/>
          </w:tcPr>
          <w:p w14:paraId="3A7B4D11" w14:textId="5BA90C82" w:rsidR="00767D76" w:rsidRPr="00767D76" w:rsidRDefault="00767D76" w:rsidP="00767D76">
            <w:pPr>
              <w:pStyle w:val="BodyText"/>
              <w:keepNext/>
              <w:keepLines/>
              <w:tabs>
                <w:tab w:val="decimal" w:pos="658"/>
              </w:tabs>
              <w:spacing w:after="0"/>
              <w:ind w:firstLine="0"/>
              <w:rPr>
                <w:sz w:val="20"/>
                <w:szCs w:val="20"/>
              </w:rPr>
            </w:pPr>
            <w:r>
              <w:rPr>
                <w:sz w:val="20"/>
                <w:szCs w:val="20"/>
              </w:rPr>
              <w:t>126</w:t>
            </w:r>
          </w:p>
        </w:tc>
        <w:tc>
          <w:tcPr>
            <w:tcW w:w="1221" w:type="dxa"/>
          </w:tcPr>
          <w:p w14:paraId="27484D55" w14:textId="28ABCCBA" w:rsidR="00767D76" w:rsidRPr="00767D76" w:rsidRDefault="00767D76" w:rsidP="00767D76">
            <w:pPr>
              <w:pStyle w:val="BodyText"/>
              <w:keepNext/>
              <w:keepLines/>
              <w:tabs>
                <w:tab w:val="decimal" w:pos="658"/>
              </w:tabs>
              <w:spacing w:after="0"/>
              <w:ind w:firstLine="0"/>
              <w:rPr>
                <w:sz w:val="20"/>
                <w:szCs w:val="20"/>
              </w:rPr>
            </w:pPr>
            <w:r>
              <w:rPr>
                <w:sz w:val="20"/>
                <w:szCs w:val="20"/>
              </w:rPr>
              <w:t>103</w:t>
            </w:r>
          </w:p>
        </w:tc>
      </w:tr>
      <w:tr w:rsidR="00767D76" w:rsidRPr="00767D76" w14:paraId="5BCEB0C4" w14:textId="77777777" w:rsidTr="00767D76">
        <w:trPr>
          <w:jc w:val="center"/>
        </w:trPr>
        <w:tc>
          <w:tcPr>
            <w:tcW w:w="1227" w:type="dxa"/>
          </w:tcPr>
          <w:p w14:paraId="1AC446D4" w14:textId="445576F9" w:rsidR="00767D76" w:rsidRPr="00767D76" w:rsidRDefault="00767D76" w:rsidP="00767D76">
            <w:pPr>
              <w:pStyle w:val="BodyText"/>
              <w:keepNext/>
              <w:keepLines/>
              <w:tabs>
                <w:tab w:val="left" w:pos="360"/>
              </w:tabs>
              <w:spacing w:after="0"/>
              <w:ind w:firstLine="0"/>
              <w:rPr>
                <w:sz w:val="20"/>
                <w:szCs w:val="20"/>
              </w:rPr>
            </w:pPr>
            <w:r w:rsidRPr="00767D76">
              <w:rPr>
                <w:sz w:val="20"/>
                <w:szCs w:val="20"/>
              </w:rPr>
              <w:t>12</w:t>
            </w:r>
            <w:r w:rsidRPr="00767D76">
              <w:rPr>
                <w:sz w:val="20"/>
                <w:szCs w:val="20"/>
                <w:vertAlign w:val="superscript"/>
              </w:rPr>
              <w:t>th</w:t>
            </w:r>
            <w:r w:rsidRPr="00767D76">
              <w:rPr>
                <w:sz w:val="20"/>
                <w:szCs w:val="20"/>
              </w:rPr>
              <w:t xml:space="preserve"> Grade</w:t>
            </w:r>
          </w:p>
        </w:tc>
        <w:tc>
          <w:tcPr>
            <w:tcW w:w="1122" w:type="dxa"/>
          </w:tcPr>
          <w:p w14:paraId="0CA8EDB6" w14:textId="6A1D6102" w:rsidR="00767D76" w:rsidRPr="00767D76" w:rsidRDefault="00767D76" w:rsidP="00767D76">
            <w:pPr>
              <w:pStyle w:val="BodyText"/>
              <w:keepNext/>
              <w:keepLines/>
              <w:pBdr>
                <w:bottom w:val="single" w:sz="4" w:space="1" w:color="auto"/>
              </w:pBdr>
              <w:tabs>
                <w:tab w:val="decimal" w:pos="658"/>
              </w:tabs>
              <w:spacing w:after="0"/>
              <w:ind w:firstLine="0"/>
              <w:rPr>
                <w:sz w:val="20"/>
                <w:szCs w:val="20"/>
              </w:rPr>
            </w:pPr>
            <w:r>
              <w:rPr>
                <w:sz w:val="20"/>
                <w:szCs w:val="20"/>
              </w:rPr>
              <w:t>119</w:t>
            </w:r>
          </w:p>
        </w:tc>
        <w:tc>
          <w:tcPr>
            <w:tcW w:w="1122" w:type="dxa"/>
          </w:tcPr>
          <w:p w14:paraId="4FD383F2" w14:textId="7D03ADF5" w:rsidR="00767D76" w:rsidRPr="00767D76" w:rsidRDefault="00767D76" w:rsidP="00767D76">
            <w:pPr>
              <w:pStyle w:val="BodyText"/>
              <w:keepNext/>
              <w:keepLines/>
              <w:pBdr>
                <w:bottom w:val="single" w:sz="4" w:space="1" w:color="auto"/>
              </w:pBdr>
              <w:tabs>
                <w:tab w:val="decimal" w:pos="658"/>
              </w:tabs>
              <w:spacing w:after="0"/>
              <w:ind w:firstLine="0"/>
              <w:rPr>
                <w:sz w:val="20"/>
                <w:szCs w:val="20"/>
              </w:rPr>
            </w:pPr>
            <w:r>
              <w:rPr>
                <w:sz w:val="20"/>
                <w:szCs w:val="20"/>
              </w:rPr>
              <w:t>120</w:t>
            </w:r>
          </w:p>
        </w:tc>
        <w:tc>
          <w:tcPr>
            <w:tcW w:w="1221" w:type="dxa"/>
          </w:tcPr>
          <w:p w14:paraId="76DDF1E1" w14:textId="138128D6" w:rsidR="00767D76" w:rsidRPr="00767D76" w:rsidRDefault="00767D76" w:rsidP="00767D76">
            <w:pPr>
              <w:pStyle w:val="BodyText"/>
              <w:keepNext/>
              <w:keepLines/>
              <w:pBdr>
                <w:bottom w:val="single" w:sz="4" w:space="1" w:color="auto"/>
              </w:pBdr>
              <w:tabs>
                <w:tab w:val="decimal" w:pos="658"/>
              </w:tabs>
              <w:spacing w:after="0"/>
              <w:ind w:firstLine="0"/>
              <w:rPr>
                <w:sz w:val="20"/>
                <w:szCs w:val="20"/>
              </w:rPr>
            </w:pPr>
            <w:r>
              <w:rPr>
                <w:sz w:val="20"/>
                <w:szCs w:val="20"/>
              </w:rPr>
              <w:t>148</w:t>
            </w:r>
          </w:p>
        </w:tc>
        <w:tc>
          <w:tcPr>
            <w:tcW w:w="1221" w:type="dxa"/>
          </w:tcPr>
          <w:p w14:paraId="3B952DCA" w14:textId="23687F4D" w:rsidR="00767D76" w:rsidRPr="00767D76" w:rsidRDefault="00767D76" w:rsidP="00767D76">
            <w:pPr>
              <w:pStyle w:val="BodyText"/>
              <w:keepNext/>
              <w:keepLines/>
              <w:pBdr>
                <w:bottom w:val="single" w:sz="4" w:space="1" w:color="auto"/>
              </w:pBdr>
              <w:tabs>
                <w:tab w:val="decimal" w:pos="658"/>
              </w:tabs>
              <w:spacing w:after="0"/>
              <w:ind w:firstLine="0"/>
              <w:rPr>
                <w:sz w:val="20"/>
                <w:szCs w:val="20"/>
              </w:rPr>
            </w:pPr>
            <w:r>
              <w:rPr>
                <w:sz w:val="20"/>
                <w:szCs w:val="20"/>
              </w:rPr>
              <w:t>113</w:t>
            </w:r>
          </w:p>
        </w:tc>
        <w:tc>
          <w:tcPr>
            <w:tcW w:w="1221" w:type="dxa"/>
          </w:tcPr>
          <w:p w14:paraId="650A6B55" w14:textId="75159CED" w:rsidR="00767D76" w:rsidRPr="00767D76" w:rsidRDefault="00767D76" w:rsidP="00767D76">
            <w:pPr>
              <w:pStyle w:val="BodyText"/>
              <w:keepNext/>
              <w:keepLines/>
              <w:pBdr>
                <w:bottom w:val="single" w:sz="4" w:space="1" w:color="auto"/>
              </w:pBdr>
              <w:tabs>
                <w:tab w:val="decimal" w:pos="658"/>
              </w:tabs>
              <w:spacing w:after="0"/>
              <w:ind w:firstLine="0"/>
              <w:rPr>
                <w:sz w:val="20"/>
                <w:szCs w:val="20"/>
              </w:rPr>
            </w:pPr>
            <w:r>
              <w:rPr>
                <w:sz w:val="20"/>
                <w:szCs w:val="20"/>
              </w:rPr>
              <w:t>114</w:t>
            </w:r>
          </w:p>
        </w:tc>
        <w:tc>
          <w:tcPr>
            <w:tcW w:w="1221" w:type="dxa"/>
          </w:tcPr>
          <w:p w14:paraId="5BC48A9F" w14:textId="4FAFC7E8" w:rsidR="00767D76" w:rsidRPr="00767D76" w:rsidRDefault="00767D76" w:rsidP="00767D76">
            <w:pPr>
              <w:pStyle w:val="BodyText"/>
              <w:keepNext/>
              <w:keepLines/>
              <w:pBdr>
                <w:bottom w:val="single" w:sz="4" w:space="1" w:color="auto"/>
              </w:pBdr>
              <w:tabs>
                <w:tab w:val="decimal" w:pos="658"/>
              </w:tabs>
              <w:spacing w:after="0"/>
              <w:ind w:firstLine="0"/>
              <w:rPr>
                <w:sz w:val="20"/>
                <w:szCs w:val="20"/>
              </w:rPr>
            </w:pPr>
            <w:r>
              <w:rPr>
                <w:sz w:val="20"/>
                <w:szCs w:val="20"/>
              </w:rPr>
              <w:t>157</w:t>
            </w:r>
          </w:p>
        </w:tc>
        <w:tc>
          <w:tcPr>
            <w:tcW w:w="1221" w:type="dxa"/>
          </w:tcPr>
          <w:p w14:paraId="1E06E170" w14:textId="4986F804" w:rsidR="00767D76" w:rsidRPr="00767D76" w:rsidRDefault="00767D76" w:rsidP="00767D76">
            <w:pPr>
              <w:pStyle w:val="BodyText"/>
              <w:keepNext/>
              <w:keepLines/>
              <w:pBdr>
                <w:bottom w:val="single" w:sz="4" w:space="1" w:color="auto"/>
              </w:pBdr>
              <w:tabs>
                <w:tab w:val="decimal" w:pos="658"/>
              </w:tabs>
              <w:spacing w:after="0"/>
              <w:ind w:firstLine="0"/>
              <w:rPr>
                <w:sz w:val="20"/>
                <w:szCs w:val="20"/>
              </w:rPr>
            </w:pPr>
            <w:r>
              <w:rPr>
                <w:sz w:val="20"/>
                <w:szCs w:val="20"/>
              </w:rPr>
              <w:t>111</w:t>
            </w:r>
          </w:p>
        </w:tc>
      </w:tr>
      <w:tr w:rsidR="00767D76" w:rsidRPr="00767D76" w14:paraId="0F5DCA7A" w14:textId="77777777" w:rsidTr="00767D76">
        <w:trPr>
          <w:jc w:val="center"/>
        </w:trPr>
        <w:tc>
          <w:tcPr>
            <w:tcW w:w="1227" w:type="dxa"/>
          </w:tcPr>
          <w:p w14:paraId="5C814D03" w14:textId="40353439" w:rsidR="00767D76" w:rsidRPr="00767D76" w:rsidRDefault="00767D76" w:rsidP="00767D76">
            <w:pPr>
              <w:pStyle w:val="BodyText"/>
              <w:keepNext/>
              <w:keepLines/>
              <w:tabs>
                <w:tab w:val="left" w:pos="360"/>
              </w:tabs>
              <w:spacing w:after="0"/>
              <w:ind w:firstLine="0"/>
              <w:rPr>
                <w:b/>
                <w:bCs/>
                <w:i/>
                <w:iCs/>
                <w:sz w:val="20"/>
                <w:szCs w:val="20"/>
              </w:rPr>
            </w:pPr>
            <w:r w:rsidRPr="00767D76">
              <w:rPr>
                <w:b/>
                <w:bCs/>
                <w:i/>
                <w:iCs/>
                <w:sz w:val="20"/>
                <w:szCs w:val="20"/>
              </w:rPr>
              <w:t>Total</w:t>
            </w:r>
          </w:p>
        </w:tc>
        <w:tc>
          <w:tcPr>
            <w:tcW w:w="1122" w:type="dxa"/>
          </w:tcPr>
          <w:p w14:paraId="6381D425" w14:textId="3EFFBF0C" w:rsidR="00767D76" w:rsidRDefault="00767D76" w:rsidP="00767D76">
            <w:pPr>
              <w:pStyle w:val="BodyText"/>
              <w:keepNext/>
              <w:keepLines/>
              <w:tabs>
                <w:tab w:val="decimal" w:pos="658"/>
              </w:tabs>
              <w:spacing w:after="0"/>
              <w:ind w:firstLine="0"/>
              <w:rPr>
                <w:b/>
                <w:bCs/>
                <w:i/>
                <w:iCs/>
                <w:sz w:val="20"/>
                <w:szCs w:val="20"/>
              </w:rPr>
            </w:pPr>
            <w:r>
              <w:rPr>
                <w:b/>
                <w:bCs/>
                <w:i/>
                <w:iCs/>
                <w:sz w:val="20"/>
                <w:szCs w:val="20"/>
              </w:rPr>
              <w:t>1,228</w:t>
            </w:r>
          </w:p>
        </w:tc>
        <w:tc>
          <w:tcPr>
            <w:tcW w:w="1122" w:type="dxa"/>
          </w:tcPr>
          <w:p w14:paraId="5A00CBCC" w14:textId="53677630" w:rsidR="00767D76" w:rsidRDefault="00767D76" w:rsidP="00767D76">
            <w:pPr>
              <w:pStyle w:val="BodyText"/>
              <w:keepNext/>
              <w:keepLines/>
              <w:tabs>
                <w:tab w:val="decimal" w:pos="658"/>
              </w:tabs>
              <w:spacing w:after="0"/>
              <w:ind w:firstLine="0"/>
              <w:rPr>
                <w:b/>
                <w:bCs/>
                <w:i/>
                <w:iCs/>
                <w:sz w:val="20"/>
                <w:szCs w:val="20"/>
              </w:rPr>
            </w:pPr>
            <w:r>
              <w:rPr>
                <w:b/>
                <w:bCs/>
                <w:i/>
                <w:iCs/>
                <w:sz w:val="20"/>
                <w:szCs w:val="20"/>
              </w:rPr>
              <w:t>1,085</w:t>
            </w:r>
          </w:p>
        </w:tc>
        <w:tc>
          <w:tcPr>
            <w:tcW w:w="1221" w:type="dxa"/>
          </w:tcPr>
          <w:p w14:paraId="677463E6" w14:textId="0079C17F" w:rsidR="00767D76" w:rsidRPr="00767D76" w:rsidRDefault="00767D76" w:rsidP="00767D76">
            <w:pPr>
              <w:pStyle w:val="BodyText"/>
              <w:keepNext/>
              <w:keepLines/>
              <w:tabs>
                <w:tab w:val="decimal" w:pos="658"/>
              </w:tabs>
              <w:spacing w:after="0"/>
              <w:ind w:firstLine="0"/>
              <w:rPr>
                <w:b/>
                <w:bCs/>
                <w:i/>
                <w:iCs/>
                <w:sz w:val="20"/>
                <w:szCs w:val="20"/>
              </w:rPr>
            </w:pPr>
            <w:r>
              <w:rPr>
                <w:b/>
                <w:bCs/>
                <w:i/>
                <w:iCs/>
                <w:sz w:val="20"/>
                <w:szCs w:val="20"/>
              </w:rPr>
              <w:t>1,022</w:t>
            </w:r>
          </w:p>
        </w:tc>
        <w:tc>
          <w:tcPr>
            <w:tcW w:w="1221" w:type="dxa"/>
          </w:tcPr>
          <w:p w14:paraId="77295966" w14:textId="40A92782" w:rsidR="00767D76" w:rsidRPr="00767D76" w:rsidRDefault="00767D76" w:rsidP="00767D76">
            <w:pPr>
              <w:pStyle w:val="BodyText"/>
              <w:keepNext/>
              <w:keepLines/>
              <w:tabs>
                <w:tab w:val="decimal" w:pos="658"/>
              </w:tabs>
              <w:spacing w:after="0"/>
              <w:ind w:firstLine="0"/>
              <w:rPr>
                <w:b/>
                <w:bCs/>
                <w:i/>
                <w:iCs/>
                <w:sz w:val="20"/>
                <w:szCs w:val="20"/>
              </w:rPr>
            </w:pPr>
            <w:r>
              <w:rPr>
                <w:b/>
                <w:bCs/>
                <w:i/>
                <w:iCs/>
                <w:sz w:val="20"/>
                <w:szCs w:val="20"/>
              </w:rPr>
              <w:t>1,017</w:t>
            </w:r>
          </w:p>
        </w:tc>
        <w:tc>
          <w:tcPr>
            <w:tcW w:w="1221" w:type="dxa"/>
          </w:tcPr>
          <w:p w14:paraId="08579F03" w14:textId="058737A7" w:rsidR="00767D76" w:rsidRPr="00767D76" w:rsidRDefault="00767D76" w:rsidP="00767D76">
            <w:pPr>
              <w:pStyle w:val="BodyText"/>
              <w:keepNext/>
              <w:keepLines/>
              <w:tabs>
                <w:tab w:val="decimal" w:pos="658"/>
              </w:tabs>
              <w:spacing w:after="0"/>
              <w:ind w:firstLine="0"/>
              <w:rPr>
                <w:b/>
                <w:bCs/>
                <w:i/>
                <w:iCs/>
                <w:sz w:val="20"/>
                <w:szCs w:val="20"/>
              </w:rPr>
            </w:pPr>
            <w:r>
              <w:rPr>
                <w:b/>
                <w:bCs/>
                <w:i/>
                <w:iCs/>
                <w:sz w:val="20"/>
                <w:szCs w:val="20"/>
              </w:rPr>
              <w:t>969</w:t>
            </w:r>
          </w:p>
        </w:tc>
        <w:tc>
          <w:tcPr>
            <w:tcW w:w="1221" w:type="dxa"/>
          </w:tcPr>
          <w:p w14:paraId="247BDA6F" w14:textId="71B372FC" w:rsidR="00767D76" w:rsidRPr="00767D76" w:rsidRDefault="00767D76" w:rsidP="00767D76">
            <w:pPr>
              <w:pStyle w:val="BodyText"/>
              <w:keepNext/>
              <w:keepLines/>
              <w:tabs>
                <w:tab w:val="decimal" w:pos="658"/>
              </w:tabs>
              <w:spacing w:after="0"/>
              <w:ind w:firstLine="0"/>
              <w:rPr>
                <w:b/>
                <w:bCs/>
                <w:i/>
                <w:iCs/>
                <w:sz w:val="20"/>
                <w:szCs w:val="20"/>
              </w:rPr>
            </w:pPr>
            <w:r>
              <w:rPr>
                <w:b/>
                <w:bCs/>
                <w:i/>
                <w:iCs/>
                <w:sz w:val="20"/>
                <w:szCs w:val="20"/>
              </w:rPr>
              <w:t>858</w:t>
            </w:r>
          </w:p>
        </w:tc>
        <w:tc>
          <w:tcPr>
            <w:tcW w:w="1221" w:type="dxa"/>
          </w:tcPr>
          <w:p w14:paraId="3E778B79" w14:textId="1C4F70EB" w:rsidR="00767D76" w:rsidRPr="00767D76" w:rsidRDefault="00767D76" w:rsidP="00767D76">
            <w:pPr>
              <w:pStyle w:val="BodyText"/>
              <w:keepNext/>
              <w:keepLines/>
              <w:tabs>
                <w:tab w:val="decimal" w:pos="658"/>
              </w:tabs>
              <w:spacing w:after="0"/>
              <w:ind w:firstLine="0"/>
              <w:rPr>
                <w:b/>
                <w:bCs/>
                <w:i/>
                <w:iCs/>
                <w:sz w:val="20"/>
                <w:szCs w:val="20"/>
              </w:rPr>
            </w:pPr>
            <w:r>
              <w:rPr>
                <w:b/>
                <w:bCs/>
                <w:i/>
                <w:iCs/>
                <w:sz w:val="20"/>
                <w:szCs w:val="20"/>
              </w:rPr>
              <w:t>722</w:t>
            </w:r>
          </w:p>
        </w:tc>
      </w:tr>
    </w:tbl>
    <w:p w14:paraId="3F20663C" w14:textId="6B641DEE" w:rsidR="00767D76" w:rsidRDefault="00767D76" w:rsidP="00767D76">
      <w:pPr>
        <w:pStyle w:val="BodyText"/>
        <w:keepNext/>
        <w:keepLines/>
        <w:tabs>
          <w:tab w:val="left" w:pos="360"/>
        </w:tabs>
        <w:spacing w:after="0"/>
        <w:ind w:firstLine="0"/>
        <w:rPr>
          <w:sz w:val="18"/>
          <w:szCs w:val="18"/>
        </w:rPr>
      </w:pPr>
      <w:r>
        <w:rPr>
          <w:sz w:val="18"/>
          <w:szCs w:val="18"/>
          <w:u w:val="single"/>
        </w:rPr>
        <w:tab/>
      </w:r>
      <w:r>
        <w:rPr>
          <w:sz w:val="18"/>
          <w:szCs w:val="18"/>
          <w:u w:val="single"/>
        </w:rPr>
        <w:tab/>
      </w:r>
      <w:r>
        <w:rPr>
          <w:sz w:val="18"/>
          <w:szCs w:val="18"/>
          <w:u w:val="single"/>
        </w:rPr>
        <w:tab/>
      </w:r>
    </w:p>
    <w:p w14:paraId="58FEED94" w14:textId="6F44BB6C" w:rsidR="00767D76" w:rsidRDefault="00767D76" w:rsidP="00767D76">
      <w:pPr>
        <w:pStyle w:val="BodyText"/>
        <w:keepNext/>
        <w:keepLines/>
        <w:tabs>
          <w:tab w:val="left" w:pos="360"/>
        </w:tabs>
        <w:spacing w:after="0"/>
        <w:ind w:left="360" w:hanging="360"/>
        <w:rPr>
          <w:sz w:val="18"/>
          <w:szCs w:val="18"/>
        </w:rPr>
      </w:pPr>
      <w:r w:rsidRPr="00B4561C">
        <w:rPr>
          <w:sz w:val="18"/>
          <w:szCs w:val="18"/>
          <w:vertAlign w:val="superscript"/>
        </w:rPr>
        <w:t>(1)</w:t>
      </w:r>
      <w:r>
        <w:rPr>
          <w:sz w:val="18"/>
          <w:szCs w:val="18"/>
        </w:rPr>
        <w:tab/>
        <w:t xml:space="preserve">Reflects certified enrollment as of the fall census day (the first Wednesday in October), as reported to the California Longitudinal Pupil Achievement Data System (“CALPADS”) in each school year. </w:t>
      </w:r>
    </w:p>
    <w:p w14:paraId="12450945" w14:textId="0F34DECB" w:rsidR="00767D76" w:rsidRDefault="00767D76" w:rsidP="00767D76">
      <w:pPr>
        <w:pStyle w:val="BodyText"/>
        <w:tabs>
          <w:tab w:val="left" w:pos="-90"/>
          <w:tab w:val="left" w:pos="360"/>
        </w:tabs>
        <w:ind w:firstLine="0"/>
        <w:rPr>
          <w:i/>
          <w:sz w:val="18"/>
          <w:szCs w:val="18"/>
        </w:rPr>
      </w:pPr>
      <w:r>
        <w:rPr>
          <w:i/>
          <w:sz w:val="18"/>
          <w:szCs w:val="18"/>
        </w:rPr>
        <w:t xml:space="preserve">Source:  </w:t>
      </w:r>
      <w:r w:rsidR="00CF1309">
        <w:rPr>
          <w:i/>
          <w:sz w:val="18"/>
          <w:szCs w:val="18"/>
        </w:rPr>
        <w:t>Encore</w:t>
      </w:r>
      <w:r>
        <w:rPr>
          <w:i/>
          <w:sz w:val="18"/>
          <w:szCs w:val="18"/>
        </w:rPr>
        <w:t>.</w:t>
      </w:r>
    </w:p>
    <w:p w14:paraId="44B8DBCD" w14:textId="27616974" w:rsidR="00CF1309" w:rsidRPr="005541CA" w:rsidRDefault="00CF1309" w:rsidP="00CF1309">
      <w:pPr>
        <w:keepNext/>
        <w:keepLines/>
        <w:jc w:val="center"/>
        <w:rPr>
          <w:b/>
          <w:sz w:val="20"/>
          <w:szCs w:val="20"/>
        </w:rPr>
      </w:pPr>
      <w:r>
        <w:rPr>
          <w:b/>
          <w:sz w:val="20"/>
          <w:szCs w:val="20"/>
        </w:rPr>
        <w:t>TABLE 3</w:t>
      </w:r>
    </w:p>
    <w:p w14:paraId="02D50FDC" w14:textId="6C10722B" w:rsidR="00CF1309" w:rsidRPr="00370D4E" w:rsidRDefault="00CF1309" w:rsidP="00CF1309">
      <w:pPr>
        <w:keepNext/>
        <w:keepLines/>
        <w:jc w:val="center"/>
        <w:rPr>
          <w:b/>
          <w:sz w:val="20"/>
          <w:szCs w:val="20"/>
        </w:rPr>
      </w:pPr>
      <w:r>
        <w:rPr>
          <w:b/>
          <w:sz w:val="20"/>
          <w:szCs w:val="20"/>
        </w:rPr>
        <w:t xml:space="preserve">PROJECTED </w:t>
      </w:r>
      <w:r w:rsidRPr="00370D4E">
        <w:rPr>
          <w:b/>
          <w:sz w:val="20"/>
          <w:szCs w:val="20"/>
        </w:rPr>
        <w:t>ENROLLMENT</w:t>
      </w:r>
      <w:r w:rsidRPr="00370D4E">
        <w:rPr>
          <w:b/>
          <w:sz w:val="20"/>
          <w:szCs w:val="20"/>
          <w:vertAlign w:val="superscript"/>
        </w:rPr>
        <w:t>(1)</w:t>
      </w:r>
    </w:p>
    <w:p w14:paraId="42CE09DE" w14:textId="4947245A" w:rsidR="00CF1309" w:rsidRDefault="00CF1309" w:rsidP="00CF1309">
      <w:pPr>
        <w:keepNext/>
        <w:keepLines/>
        <w:spacing w:after="120"/>
        <w:jc w:val="center"/>
        <w:rPr>
          <w:sz w:val="20"/>
          <w:szCs w:val="20"/>
        </w:rPr>
      </w:pPr>
      <w:r w:rsidRPr="00370D4E">
        <w:rPr>
          <w:b/>
          <w:sz w:val="20"/>
          <w:szCs w:val="20"/>
        </w:rPr>
        <w:t>20</w:t>
      </w:r>
      <w:r>
        <w:rPr>
          <w:b/>
          <w:sz w:val="20"/>
          <w:szCs w:val="20"/>
        </w:rPr>
        <w:t>22</w:t>
      </w:r>
      <w:r w:rsidRPr="00370D4E">
        <w:rPr>
          <w:b/>
          <w:sz w:val="20"/>
          <w:szCs w:val="20"/>
        </w:rPr>
        <w:t>-</w:t>
      </w:r>
      <w:r>
        <w:rPr>
          <w:b/>
          <w:sz w:val="20"/>
          <w:szCs w:val="20"/>
        </w:rPr>
        <w:t>23</w:t>
      </w:r>
      <w:r w:rsidRPr="00370D4E">
        <w:rPr>
          <w:b/>
          <w:sz w:val="20"/>
          <w:szCs w:val="20"/>
        </w:rPr>
        <w:t xml:space="preserve"> through 202</w:t>
      </w:r>
      <w:r>
        <w:rPr>
          <w:b/>
          <w:sz w:val="20"/>
          <w:szCs w:val="20"/>
        </w:rPr>
        <w:t>6</w:t>
      </w:r>
      <w:r w:rsidRPr="00370D4E">
        <w:rPr>
          <w:b/>
          <w:sz w:val="20"/>
          <w:szCs w:val="20"/>
        </w:rPr>
        <w:t>-</w:t>
      </w:r>
      <w:r>
        <w:rPr>
          <w:b/>
          <w:sz w:val="20"/>
          <w:szCs w:val="20"/>
        </w:rPr>
        <w:t>27</w:t>
      </w:r>
      <w:r>
        <w:rPr>
          <w:sz w:val="20"/>
          <w:szCs w:val="20"/>
        </w:rPr>
        <w:br/>
        <w:t>The School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1122"/>
        <w:gridCol w:w="1122"/>
        <w:gridCol w:w="1221"/>
        <w:gridCol w:w="1221"/>
        <w:gridCol w:w="1221"/>
      </w:tblGrid>
      <w:tr w:rsidR="00CF1309" w:rsidRPr="00767D76" w14:paraId="02382450" w14:textId="77777777" w:rsidTr="00C634FA">
        <w:trPr>
          <w:jc w:val="center"/>
        </w:trPr>
        <w:tc>
          <w:tcPr>
            <w:tcW w:w="1227" w:type="dxa"/>
          </w:tcPr>
          <w:p w14:paraId="755D6429" w14:textId="77777777" w:rsidR="00CF1309" w:rsidRPr="00767D76" w:rsidRDefault="00CF1309" w:rsidP="00C634FA">
            <w:pPr>
              <w:pStyle w:val="BodyText"/>
              <w:keepNext/>
              <w:keepLines/>
              <w:tabs>
                <w:tab w:val="left" w:pos="360"/>
              </w:tabs>
              <w:spacing w:after="0"/>
              <w:ind w:firstLine="0"/>
              <w:rPr>
                <w:sz w:val="20"/>
                <w:szCs w:val="20"/>
              </w:rPr>
            </w:pPr>
          </w:p>
        </w:tc>
        <w:tc>
          <w:tcPr>
            <w:tcW w:w="1122" w:type="dxa"/>
          </w:tcPr>
          <w:p w14:paraId="1AD879EC" w14:textId="29E34F00" w:rsidR="00CF1309" w:rsidRPr="00767D76" w:rsidRDefault="00CF1309" w:rsidP="00C634FA">
            <w:pPr>
              <w:pStyle w:val="BodyText"/>
              <w:keepNext/>
              <w:keepLines/>
              <w:pBdr>
                <w:bottom w:val="single" w:sz="4" w:space="1" w:color="auto"/>
              </w:pBdr>
              <w:tabs>
                <w:tab w:val="left" w:pos="360"/>
              </w:tabs>
              <w:spacing w:after="0"/>
              <w:ind w:firstLine="0"/>
              <w:jc w:val="center"/>
              <w:rPr>
                <w:b/>
                <w:bCs/>
                <w:i/>
                <w:iCs/>
                <w:sz w:val="20"/>
                <w:szCs w:val="20"/>
              </w:rPr>
            </w:pPr>
            <w:r>
              <w:rPr>
                <w:b/>
                <w:bCs/>
                <w:i/>
                <w:iCs/>
                <w:sz w:val="20"/>
                <w:szCs w:val="20"/>
              </w:rPr>
              <w:t>2022-23</w:t>
            </w:r>
          </w:p>
        </w:tc>
        <w:tc>
          <w:tcPr>
            <w:tcW w:w="1122" w:type="dxa"/>
          </w:tcPr>
          <w:p w14:paraId="7DCA247A" w14:textId="76918A55" w:rsidR="00CF1309" w:rsidRPr="00767D76" w:rsidRDefault="00CF1309" w:rsidP="00C634FA">
            <w:pPr>
              <w:pStyle w:val="BodyText"/>
              <w:keepNext/>
              <w:keepLines/>
              <w:pBdr>
                <w:bottom w:val="single" w:sz="4" w:space="1" w:color="auto"/>
              </w:pBdr>
              <w:tabs>
                <w:tab w:val="left" w:pos="360"/>
              </w:tabs>
              <w:spacing w:after="0"/>
              <w:ind w:firstLine="0"/>
              <w:jc w:val="center"/>
              <w:rPr>
                <w:b/>
                <w:bCs/>
                <w:i/>
                <w:iCs/>
                <w:sz w:val="20"/>
                <w:szCs w:val="20"/>
              </w:rPr>
            </w:pPr>
            <w:r>
              <w:rPr>
                <w:b/>
                <w:bCs/>
                <w:i/>
                <w:iCs/>
                <w:sz w:val="20"/>
                <w:szCs w:val="20"/>
              </w:rPr>
              <w:t>2023-24</w:t>
            </w:r>
          </w:p>
        </w:tc>
        <w:tc>
          <w:tcPr>
            <w:tcW w:w="1221" w:type="dxa"/>
          </w:tcPr>
          <w:p w14:paraId="4EE6630A" w14:textId="381DFE0B" w:rsidR="00CF1309" w:rsidRPr="00767D76" w:rsidRDefault="00CF1309" w:rsidP="00C634FA">
            <w:pPr>
              <w:pStyle w:val="BodyText"/>
              <w:keepNext/>
              <w:keepLines/>
              <w:pBdr>
                <w:bottom w:val="single" w:sz="4" w:space="1" w:color="auto"/>
              </w:pBdr>
              <w:tabs>
                <w:tab w:val="left" w:pos="360"/>
              </w:tabs>
              <w:spacing w:after="0"/>
              <w:ind w:firstLine="0"/>
              <w:jc w:val="center"/>
              <w:rPr>
                <w:b/>
                <w:bCs/>
                <w:i/>
                <w:iCs/>
                <w:sz w:val="20"/>
                <w:szCs w:val="20"/>
              </w:rPr>
            </w:pPr>
            <w:r>
              <w:rPr>
                <w:b/>
                <w:bCs/>
                <w:i/>
                <w:iCs/>
                <w:sz w:val="20"/>
                <w:szCs w:val="20"/>
              </w:rPr>
              <w:t>2024-25</w:t>
            </w:r>
          </w:p>
        </w:tc>
        <w:tc>
          <w:tcPr>
            <w:tcW w:w="1221" w:type="dxa"/>
          </w:tcPr>
          <w:p w14:paraId="7772673F" w14:textId="5FA800A5" w:rsidR="00CF1309" w:rsidRPr="00767D76" w:rsidRDefault="00CF1309" w:rsidP="00C634FA">
            <w:pPr>
              <w:pStyle w:val="BodyText"/>
              <w:keepNext/>
              <w:keepLines/>
              <w:pBdr>
                <w:bottom w:val="single" w:sz="4" w:space="1" w:color="auto"/>
              </w:pBdr>
              <w:tabs>
                <w:tab w:val="left" w:pos="360"/>
              </w:tabs>
              <w:spacing w:after="0"/>
              <w:ind w:firstLine="0"/>
              <w:jc w:val="center"/>
              <w:rPr>
                <w:b/>
                <w:bCs/>
                <w:i/>
                <w:iCs/>
                <w:sz w:val="20"/>
                <w:szCs w:val="20"/>
              </w:rPr>
            </w:pPr>
            <w:r>
              <w:rPr>
                <w:b/>
                <w:bCs/>
                <w:i/>
                <w:iCs/>
                <w:sz w:val="20"/>
                <w:szCs w:val="20"/>
              </w:rPr>
              <w:t>2025-26</w:t>
            </w:r>
          </w:p>
        </w:tc>
        <w:tc>
          <w:tcPr>
            <w:tcW w:w="1221" w:type="dxa"/>
          </w:tcPr>
          <w:p w14:paraId="7AEFDC50" w14:textId="249E923D" w:rsidR="00CF1309" w:rsidRPr="00767D76" w:rsidRDefault="00CF1309" w:rsidP="00C634FA">
            <w:pPr>
              <w:pStyle w:val="BodyText"/>
              <w:keepNext/>
              <w:keepLines/>
              <w:pBdr>
                <w:bottom w:val="single" w:sz="4" w:space="1" w:color="auto"/>
              </w:pBdr>
              <w:tabs>
                <w:tab w:val="left" w:pos="360"/>
              </w:tabs>
              <w:spacing w:after="0"/>
              <w:ind w:firstLine="0"/>
              <w:jc w:val="center"/>
              <w:rPr>
                <w:b/>
                <w:bCs/>
                <w:i/>
                <w:iCs/>
                <w:sz w:val="20"/>
                <w:szCs w:val="20"/>
              </w:rPr>
            </w:pPr>
            <w:r>
              <w:rPr>
                <w:b/>
                <w:bCs/>
                <w:i/>
                <w:iCs/>
                <w:sz w:val="20"/>
                <w:szCs w:val="20"/>
              </w:rPr>
              <w:t>2026-27</w:t>
            </w:r>
          </w:p>
        </w:tc>
      </w:tr>
      <w:tr w:rsidR="00CF1309" w:rsidRPr="00767D76" w14:paraId="16401EBC" w14:textId="77777777" w:rsidTr="00C634FA">
        <w:trPr>
          <w:jc w:val="center"/>
        </w:trPr>
        <w:tc>
          <w:tcPr>
            <w:tcW w:w="1227" w:type="dxa"/>
          </w:tcPr>
          <w:p w14:paraId="3ED5CEE1" w14:textId="77777777" w:rsidR="00CF1309" w:rsidRPr="00767D76" w:rsidRDefault="00CF1309" w:rsidP="00C634FA">
            <w:pPr>
              <w:pStyle w:val="BodyText"/>
              <w:keepNext/>
              <w:keepLines/>
              <w:tabs>
                <w:tab w:val="left" w:pos="360"/>
              </w:tabs>
              <w:spacing w:after="0"/>
              <w:ind w:firstLine="0"/>
              <w:rPr>
                <w:sz w:val="20"/>
                <w:szCs w:val="20"/>
              </w:rPr>
            </w:pPr>
            <w:r w:rsidRPr="00767D76">
              <w:rPr>
                <w:sz w:val="20"/>
                <w:szCs w:val="20"/>
              </w:rPr>
              <w:t>7</w:t>
            </w:r>
            <w:r w:rsidRPr="00767D76">
              <w:rPr>
                <w:sz w:val="20"/>
                <w:szCs w:val="20"/>
                <w:vertAlign w:val="superscript"/>
              </w:rPr>
              <w:t>th</w:t>
            </w:r>
            <w:r w:rsidRPr="00767D76">
              <w:rPr>
                <w:sz w:val="20"/>
                <w:szCs w:val="20"/>
              </w:rPr>
              <w:t xml:space="preserve"> Grade</w:t>
            </w:r>
          </w:p>
        </w:tc>
        <w:tc>
          <w:tcPr>
            <w:tcW w:w="1122" w:type="dxa"/>
          </w:tcPr>
          <w:p w14:paraId="2B6E61F6" w14:textId="13AFE2ED" w:rsidR="00CF1309" w:rsidRPr="00767D76" w:rsidRDefault="00CF1309" w:rsidP="00C634FA">
            <w:pPr>
              <w:pStyle w:val="BodyText"/>
              <w:keepNext/>
              <w:keepLines/>
              <w:tabs>
                <w:tab w:val="decimal" w:pos="658"/>
              </w:tabs>
              <w:spacing w:after="0"/>
              <w:ind w:firstLine="0"/>
              <w:rPr>
                <w:sz w:val="20"/>
                <w:szCs w:val="20"/>
              </w:rPr>
            </w:pPr>
          </w:p>
        </w:tc>
        <w:tc>
          <w:tcPr>
            <w:tcW w:w="1122" w:type="dxa"/>
          </w:tcPr>
          <w:p w14:paraId="44B0EB24" w14:textId="248EC1DC"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52399693" w14:textId="0EFD400C"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06525EB9" w14:textId="5B48B2B9"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2108801A" w14:textId="7F8CE561" w:rsidR="00CF1309" w:rsidRPr="00767D76" w:rsidRDefault="00CF1309" w:rsidP="00C634FA">
            <w:pPr>
              <w:pStyle w:val="BodyText"/>
              <w:keepNext/>
              <w:keepLines/>
              <w:tabs>
                <w:tab w:val="decimal" w:pos="658"/>
              </w:tabs>
              <w:spacing w:after="0"/>
              <w:ind w:firstLine="0"/>
              <w:rPr>
                <w:sz w:val="20"/>
                <w:szCs w:val="20"/>
              </w:rPr>
            </w:pPr>
          </w:p>
        </w:tc>
      </w:tr>
      <w:tr w:rsidR="00CF1309" w:rsidRPr="00767D76" w14:paraId="688D3493" w14:textId="77777777" w:rsidTr="00C634FA">
        <w:trPr>
          <w:jc w:val="center"/>
        </w:trPr>
        <w:tc>
          <w:tcPr>
            <w:tcW w:w="1227" w:type="dxa"/>
          </w:tcPr>
          <w:p w14:paraId="34E7D50F" w14:textId="77777777" w:rsidR="00CF1309" w:rsidRPr="00767D76" w:rsidRDefault="00CF1309" w:rsidP="00C634FA">
            <w:pPr>
              <w:pStyle w:val="BodyText"/>
              <w:keepNext/>
              <w:keepLines/>
              <w:tabs>
                <w:tab w:val="left" w:pos="360"/>
              </w:tabs>
              <w:spacing w:after="0"/>
              <w:ind w:firstLine="0"/>
              <w:rPr>
                <w:sz w:val="20"/>
                <w:szCs w:val="20"/>
              </w:rPr>
            </w:pPr>
            <w:r w:rsidRPr="00767D76">
              <w:rPr>
                <w:sz w:val="20"/>
                <w:szCs w:val="20"/>
              </w:rPr>
              <w:t>8</w:t>
            </w:r>
            <w:r w:rsidRPr="00767D76">
              <w:rPr>
                <w:sz w:val="20"/>
                <w:szCs w:val="20"/>
                <w:vertAlign w:val="superscript"/>
              </w:rPr>
              <w:t>th</w:t>
            </w:r>
            <w:r w:rsidRPr="00767D76">
              <w:rPr>
                <w:sz w:val="20"/>
                <w:szCs w:val="20"/>
              </w:rPr>
              <w:t xml:space="preserve"> Grade</w:t>
            </w:r>
          </w:p>
        </w:tc>
        <w:tc>
          <w:tcPr>
            <w:tcW w:w="1122" w:type="dxa"/>
          </w:tcPr>
          <w:p w14:paraId="3CE57438" w14:textId="66FFE850" w:rsidR="00CF1309" w:rsidRPr="00767D76" w:rsidRDefault="00CF1309" w:rsidP="00C634FA">
            <w:pPr>
              <w:pStyle w:val="BodyText"/>
              <w:keepNext/>
              <w:keepLines/>
              <w:tabs>
                <w:tab w:val="decimal" w:pos="658"/>
              </w:tabs>
              <w:spacing w:after="0"/>
              <w:ind w:firstLine="0"/>
              <w:rPr>
                <w:sz w:val="20"/>
                <w:szCs w:val="20"/>
              </w:rPr>
            </w:pPr>
          </w:p>
        </w:tc>
        <w:tc>
          <w:tcPr>
            <w:tcW w:w="1122" w:type="dxa"/>
          </w:tcPr>
          <w:p w14:paraId="49A86508" w14:textId="66A1C498"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5C38B1D5" w14:textId="10C4BD60"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060B0EA0" w14:textId="1144A042"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713CC638" w14:textId="5DA154F2" w:rsidR="00CF1309" w:rsidRPr="00767D76" w:rsidRDefault="00CF1309" w:rsidP="00C634FA">
            <w:pPr>
              <w:pStyle w:val="BodyText"/>
              <w:keepNext/>
              <w:keepLines/>
              <w:tabs>
                <w:tab w:val="decimal" w:pos="658"/>
              </w:tabs>
              <w:spacing w:after="0"/>
              <w:ind w:firstLine="0"/>
              <w:rPr>
                <w:sz w:val="20"/>
                <w:szCs w:val="20"/>
              </w:rPr>
            </w:pPr>
          </w:p>
        </w:tc>
      </w:tr>
      <w:tr w:rsidR="00CF1309" w:rsidRPr="00767D76" w14:paraId="1776C012" w14:textId="77777777" w:rsidTr="00C634FA">
        <w:trPr>
          <w:jc w:val="center"/>
        </w:trPr>
        <w:tc>
          <w:tcPr>
            <w:tcW w:w="1227" w:type="dxa"/>
          </w:tcPr>
          <w:p w14:paraId="0C26D13C" w14:textId="77777777" w:rsidR="00CF1309" w:rsidRPr="00767D76" w:rsidRDefault="00CF1309" w:rsidP="00C634FA">
            <w:pPr>
              <w:pStyle w:val="BodyText"/>
              <w:keepNext/>
              <w:keepLines/>
              <w:tabs>
                <w:tab w:val="left" w:pos="360"/>
              </w:tabs>
              <w:spacing w:after="0"/>
              <w:ind w:firstLine="0"/>
              <w:rPr>
                <w:sz w:val="20"/>
                <w:szCs w:val="20"/>
              </w:rPr>
            </w:pPr>
            <w:r w:rsidRPr="00767D76">
              <w:rPr>
                <w:sz w:val="20"/>
                <w:szCs w:val="20"/>
              </w:rPr>
              <w:t>9</w:t>
            </w:r>
            <w:r w:rsidRPr="00767D76">
              <w:rPr>
                <w:sz w:val="20"/>
                <w:szCs w:val="20"/>
                <w:vertAlign w:val="superscript"/>
              </w:rPr>
              <w:t>th</w:t>
            </w:r>
            <w:r w:rsidRPr="00767D76">
              <w:rPr>
                <w:sz w:val="20"/>
                <w:szCs w:val="20"/>
              </w:rPr>
              <w:t xml:space="preserve"> Grade</w:t>
            </w:r>
          </w:p>
        </w:tc>
        <w:tc>
          <w:tcPr>
            <w:tcW w:w="1122" w:type="dxa"/>
          </w:tcPr>
          <w:p w14:paraId="48359881" w14:textId="69F87F21" w:rsidR="00CF1309" w:rsidRPr="00767D76" w:rsidRDefault="00CF1309" w:rsidP="00C634FA">
            <w:pPr>
              <w:pStyle w:val="BodyText"/>
              <w:keepNext/>
              <w:keepLines/>
              <w:tabs>
                <w:tab w:val="decimal" w:pos="658"/>
              </w:tabs>
              <w:spacing w:after="0"/>
              <w:ind w:firstLine="0"/>
              <w:rPr>
                <w:sz w:val="20"/>
                <w:szCs w:val="20"/>
              </w:rPr>
            </w:pPr>
          </w:p>
        </w:tc>
        <w:tc>
          <w:tcPr>
            <w:tcW w:w="1122" w:type="dxa"/>
          </w:tcPr>
          <w:p w14:paraId="4B285F0F" w14:textId="5EC295C5"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66D3A640" w14:textId="5699A101"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609DE35A" w14:textId="0AE0368E"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2427E870" w14:textId="028030E3" w:rsidR="00CF1309" w:rsidRPr="00767D76" w:rsidRDefault="00CF1309" w:rsidP="00C634FA">
            <w:pPr>
              <w:pStyle w:val="BodyText"/>
              <w:keepNext/>
              <w:keepLines/>
              <w:tabs>
                <w:tab w:val="decimal" w:pos="658"/>
              </w:tabs>
              <w:spacing w:after="0"/>
              <w:ind w:firstLine="0"/>
              <w:rPr>
                <w:sz w:val="20"/>
                <w:szCs w:val="20"/>
              </w:rPr>
            </w:pPr>
          </w:p>
        </w:tc>
      </w:tr>
      <w:tr w:rsidR="00CF1309" w:rsidRPr="00767D76" w14:paraId="0F5EF2AE" w14:textId="77777777" w:rsidTr="00C634FA">
        <w:trPr>
          <w:jc w:val="center"/>
        </w:trPr>
        <w:tc>
          <w:tcPr>
            <w:tcW w:w="1227" w:type="dxa"/>
          </w:tcPr>
          <w:p w14:paraId="41B34004" w14:textId="77777777" w:rsidR="00CF1309" w:rsidRPr="00767D76" w:rsidRDefault="00CF1309" w:rsidP="00C634FA">
            <w:pPr>
              <w:pStyle w:val="BodyText"/>
              <w:keepNext/>
              <w:keepLines/>
              <w:tabs>
                <w:tab w:val="left" w:pos="360"/>
              </w:tabs>
              <w:spacing w:after="0"/>
              <w:ind w:firstLine="0"/>
              <w:rPr>
                <w:sz w:val="20"/>
                <w:szCs w:val="20"/>
              </w:rPr>
            </w:pPr>
            <w:r w:rsidRPr="00767D76">
              <w:rPr>
                <w:sz w:val="20"/>
                <w:szCs w:val="20"/>
              </w:rPr>
              <w:t>10</w:t>
            </w:r>
            <w:r w:rsidRPr="00767D76">
              <w:rPr>
                <w:sz w:val="20"/>
                <w:szCs w:val="20"/>
                <w:vertAlign w:val="superscript"/>
              </w:rPr>
              <w:t>th</w:t>
            </w:r>
            <w:r w:rsidRPr="00767D76">
              <w:rPr>
                <w:sz w:val="20"/>
                <w:szCs w:val="20"/>
              </w:rPr>
              <w:t xml:space="preserve"> Grade</w:t>
            </w:r>
          </w:p>
        </w:tc>
        <w:tc>
          <w:tcPr>
            <w:tcW w:w="1122" w:type="dxa"/>
          </w:tcPr>
          <w:p w14:paraId="14ABAC40" w14:textId="569CC3E0" w:rsidR="00CF1309" w:rsidRPr="00767D76" w:rsidRDefault="00CF1309" w:rsidP="00C634FA">
            <w:pPr>
              <w:pStyle w:val="BodyText"/>
              <w:keepNext/>
              <w:keepLines/>
              <w:tabs>
                <w:tab w:val="decimal" w:pos="658"/>
              </w:tabs>
              <w:spacing w:after="0"/>
              <w:ind w:firstLine="0"/>
              <w:rPr>
                <w:sz w:val="20"/>
                <w:szCs w:val="20"/>
              </w:rPr>
            </w:pPr>
          </w:p>
        </w:tc>
        <w:tc>
          <w:tcPr>
            <w:tcW w:w="1122" w:type="dxa"/>
          </w:tcPr>
          <w:p w14:paraId="18FBE214" w14:textId="3030AE55"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121CD00B" w14:textId="09FFAA30"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7665E100" w14:textId="03A91E65"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3D75C73E" w14:textId="7D3209A6" w:rsidR="00CF1309" w:rsidRPr="00767D76" w:rsidRDefault="00CF1309" w:rsidP="00C634FA">
            <w:pPr>
              <w:pStyle w:val="BodyText"/>
              <w:keepNext/>
              <w:keepLines/>
              <w:tabs>
                <w:tab w:val="decimal" w:pos="658"/>
              </w:tabs>
              <w:spacing w:after="0"/>
              <w:ind w:firstLine="0"/>
              <w:rPr>
                <w:sz w:val="20"/>
                <w:szCs w:val="20"/>
              </w:rPr>
            </w:pPr>
          </w:p>
        </w:tc>
      </w:tr>
      <w:tr w:rsidR="00CF1309" w:rsidRPr="00767D76" w14:paraId="11681A24" w14:textId="77777777" w:rsidTr="00C634FA">
        <w:trPr>
          <w:jc w:val="center"/>
        </w:trPr>
        <w:tc>
          <w:tcPr>
            <w:tcW w:w="1227" w:type="dxa"/>
          </w:tcPr>
          <w:p w14:paraId="4890BDCD" w14:textId="77777777" w:rsidR="00CF1309" w:rsidRPr="00767D76" w:rsidRDefault="00CF1309" w:rsidP="00C634FA">
            <w:pPr>
              <w:pStyle w:val="BodyText"/>
              <w:keepNext/>
              <w:keepLines/>
              <w:tabs>
                <w:tab w:val="left" w:pos="360"/>
              </w:tabs>
              <w:spacing w:after="0"/>
              <w:ind w:firstLine="0"/>
              <w:rPr>
                <w:sz w:val="20"/>
                <w:szCs w:val="20"/>
              </w:rPr>
            </w:pPr>
            <w:r w:rsidRPr="00767D76">
              <w:rPr>
                <w:sz w:val="20"/>
                <w:szCs w:val="20"/>
              </w:rPr>
              <w:t>11</w:t>
            </w:r>
            <w:r w:rsidRPr="00767D76">
              <w:rPr>
                <w:sz w:val="20"/>
                <w:szCs w:val="20"/>
                <w:vertAlign w:val="superscript"/>
              </w:rPr>
              <w:t>th</w:t>
            </w:r>
            <w:r w:rsidRPr="00767D76">
              <w:rPr>
                <w:sz w:val="20"/>
                <w:szCs w:val="20"/>
              </w:rPr>
              <w:t xml:space="preserve"> Grade</w:t>
            </w:r>
          </w:p>
        </w:tc>
        <w:tc>
          <w:tcPr>
            <w:tcW w:w="1122" w:type="dxa"/>
          </w:tcPr>
          <w:p w14:paraId="73CE2AF9" w14:textId="30C9C464" w:rsidR="00CF1309" w:rsidRPr="00767D76" w:rsidRDefault="00CF1309" w:rsidP="00C634FA">
            <w:pPr>
              <w:pStyle w:val="BodyText"/>
              <w:keepNext/>
              <w:keepLines/>
              <w:tabs>
                <w:tab w:val="decimal" w:pos="658"/>
              </w:tabs>
              <w:spacing w:after="0"/>
              <w:ind w:firstLine="0"/>
              <w:rPr>
                <w:sz w:val="20"/>
                <w:szCs w:val="20"/>
              </w:rPr>
            </w:pPr>
          </w:p>
        </w:tc>
        <w:tc>
          <w:tcPr>
            <w:tcW w:w="1122" w:type="dxa"/>
          </w:tcPr>
          <w:p w14:paraId="475399ED" w14:textId="11923361"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6D450285" w14:textId="5DA80344"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0B7E97F7" w14:textId="1AE8523F" w:rsidR="00CF1309" w:rsidRPr="00767D76" w:rsidRDefault="00CF1309" w:rsidP="00C634FA">
            <w:pPr>
              <w:pStyle w:val="BodyText"/>
              <w:keepNext/>
              <w:keepLines/>
              <w:tabs>
                <w:tab w:val="decimal" w:pos="658"/>
              </w:tabs>
              <w:spacing w:after="0"/>
              <w:ind w:firstLine="0"/>
              <w:rPr>
                <w:sz w:val="20"/>
                <w:szCs w:val="20"/>
              </w:rPr>
            </w:pPr>
          </w:p>
        </w:tc>
        <w:tc>
          <w:tcPr>
            <w:tcW w:w="1221" w:type="dxa"/>
          </w:tcPr>
          <w:p w14:paraId="129884B9" w14:textId="57134FC6" w:rsidR="00CF1309" w:rsidRPr="00767D76" w:rsidRDefault="00CF1309" w:rsidP="00C634FA">
            <w:pPr>
              <w:pStyle w:val="BodyText"/>
              <w:keepNext/>
              <w:keepLines/>
              <w:tabs>
                <w:tab w:val="decimal" w:pos="658"/>
              </w:tabs>
              <w:spacing w:after="0"/>
              <w:ind w:firstLine="0"/>
              <w:rPr>
                <w:sz w:val="20"/>
                <w:szCs w:val="20"/>
              </w:rPr>
            </w:pPr>
          </w:p>
        </w:tc>
      </w:tr>
      <w:tr w:rsidR="00CF1309" w:rsidRPr="00767D76" w14:paraId="2107B486" w14:textId="77777777" w:rsidTr="00C634FA">
        <w:trPr>
          <w:jc w:val="center"/>
        </w:trPr>
        <w:tc>
          <w:tcPr>
            <w:tcW w:w="1227" w:type="dxa"/>
          </w:tcPr>
          <w:p w14:paraId="61BF9EEF" w14:textId="77777777" w:rsidR="00CF1309" w:rsidRPr="00767D76" w:rsidRDefault="00CF1309" w:rsidP="00C634FA">
            <w:pPr>
              <w:pStyle w:val="BodyText"/>
              <w:keepNext/>
              <w:keepLines/>
              <w:tabs>
                <w:tab w:val="left" w:pos="360"/>
              </w:tabs>
              <w:spacing w:after="0"/>
              <w:ind w:firstLine="0"/>
              <w:rPr>
                <w:sz w:val="20"/>
                <w:szCs w:val="20"/>
              </w:rPr>
            </w:pPr>
            <w:r w:rsidRPr="00767D76">
              <w:rPr>
                <w:sz w:val="20"/>
                <w:szCs w:val="20"/>
              </w:rPr>
              <w:t>12</w:t>
            </w:r>
            <w:r w:rsidRPr="00767D76">
              <w:rPr>
                <w:sz w:val="20"/>
                <w:szCs w:val="20"/>
                <w:vertAlign w:val="superscript"/>
              </w:rPr>
              <w:t>th</w:t>
            </w:r>
            <w:r w:rsidRPr="00767D76">
              <w:rPr>
                <w:sz w:val="20"/>
                <w:szCs w:val="20"/>
              </w:rPr>
              <w:t xml:space="preserve"> Grade</w:t>
            </w:r>
          </w:p>
        </w:tc>
        <w:tc>
          <w:tcPr>
            <w:tcW w:w="1122" w:type="dxa"/>
          </w:tcPr>
          <w:p w14:paraId="0F411816" w14:textId="3CDAE395" w:rsidR="00CF1309" w:rsidRPr="00767D76" w:rsidRDefault="00CF1309" w:rsidP="00C634FA">
            <w:pPr>
              <w:pStyle w:val="BodyText"/>
              <w:keepNext/>
              <w:keepLines/>
              <w:pBdr>
                <w:bottom w:val="single" w:sz="4" w:space="1" w:color="auto"/>
              </w:pBdr>
              <w:tabs>
                <w:tab w:val="decimal" w:pos="658"/>
              </w:tabs>
              <w:spacing w:after="0"/>
              <w:ind w:firstLine="0"/>
              <w:rPr>
                <w:sz w:val="20"/>
                <w:szCs w:val="20"/>
              </w:rPr>
            </w:pPr>
          </w:p>
        </w:tc>
        <w:tc>
          <w:tcPr>
            <w:tcW w:w="1122" w:type="dxa"/>
          </w:tcPr>
          <w:p w14:paraId="4F45AEA0" w14:textId="58D34A6C" w:rsidR="00CF1309" w:rsidRPr="00767D76" w:rsidRDefault="00CF1309" w:rsidP="00C634FA">
            <w:pPr>
              <w:pStyle w:val="BodyText"/>
              <w:keepNext/>
              <w:keepLines/>
              <w:pBdr>
                <w:bottom w:val="single" w:sz="4" w:space="1" w:color="auto"/>
              </w:pBdr>
              <w:tabs>
                <w:tab w:val="decimal" w:pos="658"/>
              </w:tabs>
              <w:spacing w:after="0"/>
              <w:ind w:firstLine="0"/>
              <w:rPr>
                <w:sz w:val="20"/>
                <w:szCs w:val="20"/>
              </w:rPr>
            </w:pPr>
          </w:p>
        </w:tc>
        <w:tc>
          <w:tcPr>
            <w:tcW w:w="1221" w:type="dxa"/>
          </w:tcPr>
          <w:p w14:paraId="3F491787" w14:textId="6C88D7FF" w:rsidR="00CF1309" w:rsidRPr="00767D76" w:rsidRDefault="00CF1309" w:rsidP="00C634FA">
            <w:pPr>
              <w:pStyle w:val="BodyText"/>
              <w:keepNext/>
              <w:keepLines/>
              <w:pBdr>
                <w:bottom w:val="single" w:sz="4" w:space="1" w:color="auto"/>
              </w:pBdr>
              <w:tabs>
                <w:tab w:val="decimal" w:pos="658"/>
              </w:tabs>
              <w:spacing w:after="0"/>
              <w:ind w:firstLine="0"/>
              <w:rPr>
                <w:sz w:val="20"/>
                <w:szCs w:val="20"/>
              </w:rPr>
            </w:pPr>
          </w:p>
        </w:tc>
        <w:tc>
          <w:tcPr>
            <w:tcW w:w="1221" w:type="dxa"/>
          </w:tcPr>
          <w:p w14:paraId="721862FE" w14:textId="12C00B94" w:rsidR="00CF1309" w:rsidRPr="00767D76" w:rsidRDefault="00CF1309" w:rsidP="00C634FA">
            <w:pPr>
              <w:pStyle w:val="BodyText"/>
              <w:keepNext/>
              <w:keepLines/>
              <w:pBdr>
                <w:bottom w:val="single" w:sz="4" w:space="1" w:color="auto"/>
              </w:pBdr>
              <w:tabs>
                <w:tab w:val="decimal" w:pos="658"/>
              </w:tabs>
              <w:spacing w:after="0"/>
              <w:ind w:firstLine="0"/>
              <w:rPr>
                <w:sz w:val="20"/>
                <w:szCs w:val="20"/>
              </w:rPr>
            </w:pPr>
          </w:p>
        </w:tc>
        <w:tc>
          <w:tcPr>
            <w:tcW w:w="1221" w:type="dxa"/>
          </w:tcPr>
          <w:p w14:paraId="2C9A9905" w14:textId="477FF3FD" w:rsidR="00CF1309" w:rsidRPr="00767D76" w:rsidRDefault="00CF1309" w:rsidP="00C634FA">
            <w:pPr>
              <w:pStyle w:val="BodyText"/>
              <w:keepNext/>
              <w:keepLines/>
              <w:pBdr>
                <w:bottom w:val="single" w:sz="4" w:space="1" w:color="auto"/>
              </w:pBdr>
              <w:tabs>
                <w:tab w:val="decimal" w:pos="658"/>
              </w:tabs>
              <w:spacing w:after="0"/>
              <w:ind w:firstLine="0"/>
              <w:rPr>
                <w:sz w:val="20"/>
                <w:szCs w:val="20"/>
              </w:rPr>
            </w:pPr>
          </w:p>
        </w:tc>
      </w:tr>
      <w:tr w:rsidR="00CF1309" w:rsidRPr="00767D76" w14:paraId="71FA8D39" w14:textId="77777777" w:rsidTr="00C634FA">
        <w:trPr>
          <w:jc w:val="center"/>
        </w:trPr>
        <w:tc>
          <w:tcPr>
            <w:tcW w:w="1227" w:type="dxa"/>
          </w:tcPr>
          <w:p w14:paraId="3FA52DBB" w14:textId="77777777" w:rsidR="00CF1309" w:rsidRPr="00767D76" w:rsidRDefault="00CF1309" w:rsidP="00C634FA">
            <w:pPr>
              <w:pStyle w:val="BodyText"/>
              <w:keepNext/>
              <w:keepLines/>
              <w:tabs>
                <w:tab w:val="left" w:pos="360"/>
              </w:tabs>
              <w:spacing w:after="0"/>
              <w:ind w:firstLine="0"/>
              <w:rPr>
                <w:b/>
                <w:bCs/>
                <w:i/>
                <w:iCs/>
                <w:sz w:val="20"/>
                <w:szCs w:val="20"/>
              </w:rPr>
            </w:pPr>
            <w:r w:rsidRPr="00767D76">
              <w:rPr>
                <w:b/>
                <w:bCs/>
                <w:i/>
                <w:iCs/>
                <w:sz w:val="20"/>
                <w:szCs w:val="20"/>
              </w:rPr>
              <w:t>Total</w:t>
            </w:r>
          </w:p>
        </w:tc>
        <w:tc>
          <w:tcPr>
            <w:tcW w:w="1122" w:type="dxa"/>
          </w:tcPr>
          <w:p w14:paraId="3ED8297D" w14:textId="4AA166F3" w:rsidR="00CF1309" w:rsidRDefault="00CF1309" w:rsidP="00C634FA">
            <w:pPr>
              <w:pStyle w:val="BodyText"/>
              <w:keepNext/>
              <w:keepLines/>
              <w:tabs>
                <w:tab w:val="decimal" w:pos="658"/>
              </w:tabs>
              <w:spacing w:after="0"/>
              <w:ind w:firstLine="0"/>
              <w:rPr>
                <w:b/>
                <w:bCs/>
                <w:i/>
                <w:iCs/>
                <w:sz w:val="20"/>
                <w:szCs w:val="20"/>
              </w:rPr>
            </w:pPr>
          </w:p>
        </w:tc>
        <w:tc>
          <w:tcPr>
            <w:tcW w:w="1122" w:type="dxa"/>
          </w:tcPr>
          <w:p w14:paraId="05BC6FFD" w14:textId="00AEBD50" w:rsidR="00CF1309" w:rsidRDefault="00CF1309" w:rsidP="00C634FA">
            <w:pPr>
              <w:pStyle w:val="BodyText"/>
              <w:keepNext/>
              <w:keepLines/>
              <w:tabs>
                <w:tab w:val="decimal" w:pos="658"/>
              </w:tabs>
              <w:spacing w:after="0"/>
              <w:ind w:firstLine="0"/>
              <w:rPr>
                <w:b/>
                <w:bCs/>
                <w:i/>
                <w:iCs/>
                <w:sz w:val="20"/>
                <w:szCs w:val="20"/>
              </w:rPr>
            </w:pPr>
          </w:p>
        </w:tc>
        <w:tc>
          <w:tcPr>
            <w:tcW w:w="1221" w:type="dxa"/>
          </w:tcPr>
          <w:p w14:paraId="2920ECA4" w14:textId="68F456B1" w:rsidR="00CF1309" w:rsidRPr="00767D76" w:rsidRDefault="00CF1309" w:rsidP="00C634FA">
            <w:pPr>
              <w:pStyle w:val="BodyText"/>
              <w:keepNext/>
              <w:keepLines/>
              <w:tabs>
                <w:tab w:val="decimal" w:pos="658"/>
              </w:tabs>
              <w:spacing w:after="0"/>
              <w:ind w:firstLine="0"/>
              <w:rPr>
                <w:b/>
                <w:bCs/>
                <w:i/>
                <w:iCs/>
                <w:sz w:val="20"/>
                <w:szCs w:val="20"/>
              </w:rPr>
            </w:pPr>
          </w:p>
        </w:tc>
        <w:tc>
          <w:tcPr>
            <w:tcW w:w="1221" w:type="dxa"/>
          </w:tcPr>
          <w:p w14:paraId="6F231E1A" w14:textId="6BEFC8B9" w:rsidR="00CF1309" w:rsidRPr="00767D76" w:rsidRDefault="00CF1309" w:rsidP="00C634FA">
            <w:pPr>
              <w:pStyle w:val="BodyText"/>
              <w:keepNext/>
              <w:keepLines/>
              <w:tabs>
                <w:tab w:val="decimal" w:pos="658"/>
              </w:tabs>
              <w:spacing w:after="0"/>
              <w:ind w:firstLine="0"/>
              <w:rPr>
                <w:b/>
                <w:bCs/>
                <w:i/>
                <w:iCs/>
                <w:sz w:val="20"/>
                <w:szCs w:val="20"/>
              </w:rPr>
            </w:pPr>
          </w:p>
        </w:tc>
        <w:tc>
          <w:tcPr>
            <w:tcW w:w="1221" w:type="dxa"/>
          </w:tcPr>
          <w:p w14:paraId="3146B313" w14:textId="34599682" w:rsidR="00CF1309" w:rsidRPr="00767D76" w:rsidRDefault="00CF1309" w:rsidP="00C634FA">
            <w:pPr>
              <w:pStyle w:val="BodyText"/>
              <w:keepNext/>
              <w:keepLines/>
              <w:tabs>
                <w:tab w:val="decimal" w:pos="658"/>
              </w:tabs>
              <w:spacing w:after="0"/>
              <w:ind w:firstLine="0"/>
              <w:rPr>
                <w:b/>
                <w:bCs/>
                <w:i/>
                <w:iCs/>
                <w:sz w:val="20"/>
                <w:szCs w:val="20"/>
              </w:rPr>
            </w:pPr>
          </w:p>
        </w:tc>
      </w:tr>
    </w:tbl>
    <w:p w14:paraId="3408C8C8" w14:textId="77777777" w:rsidR="00CF1309" w:rsidRDefault="00CF1309" w:rsidP="00CF1309">
      <w:pPr>
        <w:pStyle w:val="BodyText"/>
        <w:keepNext/>
        <w:keepLines/>
        <w:tabs>
          <w:tab w:val="left" w:pos="360"/>
        </w:tabs>
        <w:spacing w:after="0"/>
        <w:ind w:firstLine="0"/>
        <w:rPr>
          <w:sz w:val="18"/>
          <w:szCs w:val="18"/>
        </w:rPr>
      </w:pPr>
      <w:r>
        <w:rPr>
          <w:sz w:val="18"/>
          <w:szCs w:val="18"/>
          <w:u w:val="single"/>
        </w:rPr>
        <w:tab/>
      </w:r>
      <w:r>
        <w:rPr>
          <w:sz w:val="18"/>
          <w:szCs w:val="18"/>
          <w:u w:val="single"/>
        </w:rPr>
        <w:tab/>
      </w:r>
      <w:r>
        <w:rPr>
          <w:sz w:val="18"/>
          <w:szCs w:val="18"/>
          <w:u w:val="single"/>
        </w:rPr>
        <w:tab/>
      </w:r>
    </w:p>
    <w:p w14:paraId="611146B5" w14:textId="77777777" w:rsidR="00CF1309" w:rsidRDefault="00CF1309" w:rsidP="00CF1309">
      <w:pPr>
        <w:pStyle w:val="BodyText"/>
        <w:tabs>
          <w:tab w:val="left" w:pos="-90"/>
          <w:tab w:val="left" w:pos="360"/>
        </w:tabs>
        <w:ind w:firstLine="0"/>
        <w:rPr>
          <w:i/>
          <w:sz w:val="18"/>
          <w:szCs w:val="18"/>
        </w:rPr>
      </w:pPr>
      <w:r>
        <w:rPr>
          <w:i/>
          <w:sz w:val="18"/>
          <w:szCs w:val="18"/>
        </w:rPr>
        <w:t>Source:  Encore.</w:t>
      </w:r>
    </w:p>
    <w:p w14:paraId="7D814546" w14:textId="57A6E9DF" w:rsidR="00767D76" w:rsidRDefault="00767D76" w:rsidP="00767D76">
      <w:pPr>
        <w:spacing w:after="240"/>
        <w:ind w:firstLine="720"/>
        <w:jc w:val="both"/>
      </w:pPr>
      <w:r>
        <w:rPr>
          <w:b/>
          <w:i/>
        </w:rPr>
        <w:t>Average Daily Attendance and EL/LI Enrollment</w:t>
      </w:r>
      <w:r>
        <w:rPr>
          <w:b/>
        </w:rPr>
        <w:t xml:space="preserve">.  </w:t>
      </w:r>
      <w:r>
        <w:t xml:space="preserve">The table below shows </w:t>
      </w:r>
      <w:r w:rsidR="00CF1309">
        <w:t>the</w:t>
      </w:r>
      <w:r>
        <w:t xml:space="preserve"> School’s average daily attendance (“ADA”)</w:t>
      </w:r>
      <w:r w:rsidR="00CF1309">
        <w:t xml:space="preserve"> </w:t>
      </w:r>
      <w:r>
        <w:t>and percentage of English learners and low income (“EL/LI”) student enrollment, from the 2016-17 school year through the 202</w:t>
      </w:r>
      <w:r w:rsidR="00CF1309">
        <w:t>1</w:t>
      </w:r>
      <w:r>
        <w:t>-2</w:t>
      </w:r>
      <w:r w:rsidR="00CF1309">
        <w:t>2</w:t>
      </w:r>
      <w:r>
        <w:t xml:space="preserve"> school year.  See “</w:t>
      </w:r>
      <w:r w:rsidR="00CF1309">
        <w:t xml:space="preserve">APPENDIX D – CALIFORNIA CHARTER SCHOOLS, RELATED STATUTES, AND FUNDING – </w:t>
      </w:r>
      <w:r>
        <w:t xml:space="preserve">STATE FUNDING OF EDUCATION – </w:t>
      </w:r>
      <w:r w:rsidRPr="0022588E">
        <w:t>Allocation of State Funding to Charter Schools</w:t>
      </w:r>
      <w:r>
        <w:t xml:space="preserve"> – Local Control Funding Formula” </w:t>
      </w:r>
      <w:r w:rsidR="00CF1309">
        <w:t xml:space="preserve">attached to </w:t>
      </w:r>
      <w:r>
        <w:t>this Private Placement Memorandum.</w:t>
      </w:r>
    </w:p>
    <w:p w14:paraId="634B8AE2" w14:textId="11458AE4" w:rsidR="00767D76" w:rsidRPr="005541CA" w:rsidRDefault="00767D76" w:rsidP="00767D76">
      <w:pPr>
        <w:keepNext/>
        <w:keepLines/>
        <w:jc w:val="center"/>
        <w:rPr>
          <w:b/>
          <w:sz w:val="20"/>
          <w:szCs w:val="20"/>
        </w:rPr>
      </w:pPr>
      <w:r>
        <w:rPr>
          <w:b/>
          <w:sz w:val="20"/>
          <w:szCs w:val="20"/>
        </w:rPr>
        <w:lastRenderedPageBreak/>
        <w:t xml:space="preserve">TABLE </w:t>
      </w:r>
      <w:r w:rsidR="00CF1309">
        <w:rPr>
          <w:b/>
          <w:sz w:val="20"/>
          <w:szCs w:val="20"/>
        </w:rPr>
        <w:t>4</w:t>
      </w:r>
    </w:p>
    <w:p w14:paraId="641BF510" w14:textId="77777777" w:rsidR="00767D76" w:rsidRPr="006905DE" w:rsidRDefault="00767D76" w:rsidP="00767D76">
      <w:pPr>
        <w:pStyle w:val="BodyText"/>
        <w:keepNext/>
        <w:keepLines/>
        <w:tabs>
          <w:tab w:val="left" w:pos="-90"/>
          <w:tab w:val="left" w:pos="360"/>
        </w:tabs>
        <w:spacing w:after="0"/>
        <w:ind w:firstLine="0"/>
        <w:jc w:val="center"/>
        <w:rPr>
          <w:b/>
          <w:sz w:val="20"/>
          <w:szCs w:val="20"/>
        </w:rPr>
      </w:pPr>
      <w:r w:rsidRPr="006905DE">
        <w:rPr>
          <w:b/>
          <w:sz w:val="20"/>
          <w:szCs w:val="20"/>
        </w:rPr>
        <w:t>AVERAGE DAILY ATTENDANCE AND EL/LI ENROLLMENT</w:t>
      </w:r>
    </w:p>
    <w:p w14:paraId="1F955569" w14:textId="2C3AD7B5" w:rsidR="00767D76" w:rsidRPr="006905DE" w:rsidRDefault="00767D76" w:rsidP="00767D76">
      <w:pPr>
        <w:pStyle w:val="BodyText"/>
        <w:keepNext/>
        <w:keepLines/>
        <w:tabs>
          <w:tab w:val="left" w:pos="-90"/>
          <w:tab w:val="left" w:pos="360"/>
        </w:tabs>
        <w:spacing w:after="0"/>
        <w:ind w:firstLine="0"/>
        <w:jc w:val="center"/>
        <w:rPr>
          <w:b/>
          <w:sz w:val="20"/>
          <w:szCs w:val="20"/>
        </w:rPr>
      </w:pPr>
      <w:r w:rsidRPr="006905DE">
        <w:rPr>
          <w:b/>
          <w:sz w:val="20"/>
          <w:szCs w:val="20"/>
        </w:rPr>
        <w:t>201</w:t>
      </w:r>
      <w:r>
        <w:rPr>
          <w:b/>
          <w:sz w:val="20"/>
          <w:szCs w:val="20"/>
        </w:rPr>
        <w:t>6</w:t>
      </w:r>
      <w:r w:rsidRPr="006905DE">
        <w:rPr>
          <w:b/>
          <w:sz w:val="20"/>
          <w:szCs w:val="20"/>
        </w:rPr>
        <w:t>-1</w:t>
      </w:r>
      <w:r>
        <w:rPr>
          <w:b/>
          <w:sz w:val="20"/>
          <w:szCs w:val="20"/>
        </w:rPr>
        <w:t>7</w:t>
      </w:r>
      <w:r w:rsidRPr="006905DE">
        <w:rPr>
          <w:b/>
          <w:sz w:val="20"/>
          <w:szCs w:val="20"/>
        </w:rPr>
        <w:t xml:space="preserve"> through </w:t>
      </w:r>
      <w:r>
        <w:rPr>
          <w:b/>
          <w:sz w:val="20"/>
          <w:szCs w:val="20"/>
        </w:rPr>
        <w:t>202</w:t>
      </w:r>
      <w:r w:rsidR="00CF1309">
        <w:rPr>
          <w:b/>
          <w:sz w:val="20"/>
          <w:szCs w:val="20"/>
        </w:rPr>
        <w:t>1</w:t>
      </w:r>
      <w:r w:rsidRPr="006905DE">
        <w:rPr>
          <w:b/>
          <w:sz w:val="20"/>
          <w:szCs w:val="20"/>
        </w:rPr>
        <w:t>-</w:t>
      </w:r>
      <w:r>
        <w:rPr>
          <w:b/>
          <w:sz w:val="20"/>
          <w:szCs w:val="20"/>
        </w:rPr>
        <w:t>2</w:t>
      </w:r>
      <w:r w:rsidR="00CF1309">
        <w:rPr>
          <w:b/>
          <w:sz w:val="20"/>
          <w:szCs w:val="20"/>
        </w:rPr>
        <w:t>2</w:t>
      </w:r>
    </w:p>
    <w:p w14:paraId="3EFA5484" w14:textId="3CD635DF" w:rsidR="00767D76" w:rsidRPr="006905DE" w:rsidRDefault="00CF1309" w:rsidP="00767D76">
      <w:pPr>
        <w:pStyle w:val="BodyText"/>
        <w:keepNext/>
        <w:keepLines/>
        <w:tabs>
          <w:tab w:val="left" w:pos="-90"/>
          <w:tab w:val="left" w:pos="360"/>
        </w:tabs>
        <w:spacing w:after="0"/>
        <w:ind w:firstLine="0"/>
        <w:jc w:val="center"/>
        <w:rPr>
          <w:sz w:val="20"/>
          <w:szCs w:val="20"/>
        </w:rPr>
      </w:pPr>
      <w:r>
        <w:rPr>
          <w:sz w:val="20"/>
          <w:szCs w:val="20"/>
        </w:rPr>
        <w:t>The School</w:t>
      </w:r>
    </w:p>
    <w:p w14:paraId="24892EB6" w14:textId="77777777" w:rsidR="00767D76" w:rsidRDefault="00767D76" w:rsidP="00767D76">
      <w:pPr>
        <w:pStyle w:val="BodyText"/>
        <w:keepNext/>
        <w:keepLines/>
        <w:tabs>
          <w:tab w:val="left" w:pos="-90"/>
          <w:tab w:val="left" w:pos="360"/>
        </w:tabs>
        <w:spacing w:after="0"/>
        <w:ind w:firstLine="0"/>
        <w:jc w:val="center"/>
        <w:rPr>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152"/>
        <w:gridCol w:w="1313"/>
        <w:gridCol w:w="1313"/>
        <w:gridCol w:w="1313"/>
      </w:tblGrid>
      <w:tr w:rsidR="00CF1309" w14:paraId="251E2A0A" w14:textId="77777777" w:rsidTr="007F3DE3">
        <w:trPr>
          <w:jc w:val="center"/>
        </w:trPr>
        <w:tc>
          <w:tcPr>
            <w:tcW w:w="1296" w:type="dxa"/>
          </w:tcPr>
          <w:p w14:paraId="59E85D5A" w14:textId="77777777" w:rsidR="00CF1309" w:rsidRDefault="00CF1309" w:rsidP="00C634FA">
            <w:pPr>
              <w:pStyle w:val="BodyText"/>
              <w:keepNext/>
              <w:keepLines/>
              <w:tabs>
                <w:tab w:val="left" w:pos="-90"/>
                <w:tab w:val="left" w:pos="360"/>
              </w:tabs>
              <w:spacing w:after="0"/>
              <w:ind w:firstLine="0"/>
              <w:jc w:val="center"/>
              <w:rPr>
                <w:b/>
                <w:sz w:val="20"/>
                <w:szCs w:val="20"/>
              </w:rPr>
            </w:pPr>
          </w:p>
        </w:tc>
        <w:tc>
          <w:tcPr>
            <w:tcW w:w="3778" w:type="dxa"/>
            <w:gridSpan w:val="3"/>
            <w:vAlign w:val="bottom"/>
          </w:tcPr>
          <w:p w14:paraId="4100AB09" w14:textId="47430026" w:rsidR="00CF1309" w:rsidRDefault="00CF1309" w:rsidP="00CF1309">
            <w:pPr>
              <w:pStyle w:val="BodyText"/>
              <w:keepNext/>
              <w:keepLines/>
              <w:spacing w:after="120"/>
              <w:ind w:firstLine="0"/>
              <w:jc w:val="center"/>
              <w:rPr>
                <w:b/>
                <w:i/>
                <w:sz w:val="20"/>
                <w:szCs w:val="20"/>
              </w:rPr>
            </w:pPr>
            <w:r>
              <w:rPr>
                <w:b/>
                <w:i/>
                <w:sz w:val="20"/>
                <w:szCs w:val="20"/>
              </w:rPr>
              <w:t>Average Daily Attendance</w:t>
            </w:r>
            <w:r w:rsidRPr="00CF1309">
              <w:rPr>
                <w:b/>
                <w:i/>
                <w:sz w:val="20"/>
                <w:szCs w:val="20"/>
                <w:vertAlign w:val="superscript"/>
              </w:rPr>
              <w:t>(1)</w:t>
            </w:r>
          </w:p>
        </w:tc>
        <w:tc>
          <w:tcPr>
            <w:tcW w:w="1313" w:type="dxa"/>
          </w:tcPr>
          <w:p w14:paraId="51AE41C6" w14:textId="77777777" w:rsidR="00CF1309" w:rsidRPr="00007539" w:rsidRDefault="00CF1309" w:rsidP="00CF1309">
            <w:pPr>
              <w:pStyle w:val="BodyText"/>
              <w:keepNext/>
              <w:keepLines/>
              <w:spacing w:after="0"/>
              <w:ind w:firstLine="0"/>
              <w:jc w:val="center"/>
              <w:rPr>
                <w:b/>
                <w:i/>
                <w:sz w:val="20"/>
                <w:szCs w:val="20"/>
              </w:rPr>
            </w:pPr>
          </w:p>
        </w:tc>
      </w:tr>
      <w:tr w:rsidR="00CF1309" w14:paraId="4C6B8C15" w14:textId="77777777" w:rsidTr="00CF1309">
        <w:trPr>
          <w:jc w:val="center"/>
        </w:trPr>
        <w:tc>
          <w:tcPr>
            <w:tcW w:w="1296" w:type="dxa"/>
          </w:tcPr>
          <w:p w14:paraId="4A981FCE" w14:textId="77777777" w:rsidR="00CF1309" w:rsidRDefault="00CF1309" w:rsidP="00C634FA">
            <w:pPr>
              <w:pStyle w:val="BodyText"/>
              <w:keepNext/>
              <w:keepLines/>
              <w:tabs>
                <w:tab w:val="left" w:pos="-90"/>
                <w:tab w:val="left" w:pos="360"/>
              </w:tabs>
              <w:spacing w:after="0"/>
              <w:ind w:firstLine="0"/>
              <w:jc w:val="center"/>
              <w:rPr>
                <w:b/>
                <w:sz w:val="20"/>
                <w:szCs w:val="20"/>
              </w:rPr>
            </w:pPr>
          </w:p>
        </w:tc>
        <w:tc>
          <w:tcPr>
            <w:tcW w:w="1152" w:type="dxa"/>
            <w:vAlign w:val="bottom"/>
          </w:tcPr>
          <w:p w14:paraId="4908FB73" w14:textId="0704B1CC" w:rsidR="00CF1309" w:rsidRPr="00007539" w:rsidRDefault="00CF1309" w:rsidP="00CF1309">
            <w:pPr>
              <w:pStyle w:val="BodyText"/>
              <w:keepNext/>
              <w:keepLines/>
              <w:pBdr>
                <w:bottom w:val="single" w:sz="4" w:space="1" w:color="auto"/>
              </w:pBdr>
              <w:tabs>
                <w:tab w:val="left" w:pos="-90"/>
                <w:tab w:val="left" w:pos="360"/>
              </w:tabs>
              <w:spacing w:after="0"/>
              <w:ind w:firstLine="0"/>
              <w:jc w:val="center"/>
              <w:rPr>
                <w:b/>
                <w:i/>
                <w:sz w:val="20"/>
                <w:szCs w:val="20"/>
              </w:rPr>
            </w:pPr>
            <w:r>
              <w:rPr>
                <w:b/>
                <w:i/>
                <w:sz w:val="20"/>
                <w:szCs w:val="20"/>
              </w:rPr>
              <w:t>Funded 7-8 ADA</w:t>
            </w:r>
          </w:p>
        </w:tc>
        <w:tc>
          <w:tcPr>
            <w:tcW w:w="1313" w:type="dxa"/>
            <w:vAlign w:val="bottom"/>
          </w:tcPr>
          <w:p w14:paraId="41E01828" w14:textId="69FEE724" w:rsidR="00CF1309" w:rsidRPr="00007539" w:rsidRDefault="00CF1309" w:rsidP="00CF1309">
            <w:pPr>
              <w:pStyle w:val="BodyText"/>
              <w:keepNext/>
              <w:keepLines/>
              <w:pBdr>
                <w:bottom w:val="single" w:sz="4" w:space="1" w:color="auto"/>
              </w:pBdr>
              <w:spacing w:after="0"/>
              <w:ind w:firstLine="0"/>
              <w:jc w:val="center"/>
              <w:rPr>
                <w:b/>
                <w:i/>
                <w:sz w:val="20"/>
                <w:szCs w:val="20"/>
              </w:rPr>
            </w:pPr>
            <w:r>
              <w:rPr>
                <w:b/>
                <w:i/>
                <w:sz w:val="20"/>
                <w:szCs w:val="20"/>
              </w:rPr>
              <w:t>Funded 9-12 ADA</w:t>
            </w:r>
          </w:p>
        </w:tc>
        <w:tc>
          <w:tcPr>
            <w:tcW w:w="1313" w:type="dxa"/>
            <w:vAlign w:val="bottom"/>
          </w:tcPr>
          <w:p w14:paraId="48025FCF" w14:textId="3345F82D" w:rsidR="00CF1309" w:rsidRPr="00007539" w:rsidRDefault="00CF1309" w:rsidP="00CF1309">
            <w:pPr>
              <w:pStyle w:val="BodyText"/>
              <w:keepNext/>
              <w:keepLines/>
              <w:pBdr>
                <w:bottom w:val="single" w:sz="4" w:space="1" w:color="auto"/>
              </w:pBdr>
              <w:spacing w:after="0"/>
              <w:ind w:firstLine="0"/>
              <w:jc w:val="center"/>
              <w:rPr>
                <w:b/>
                <w:i/>
                <w:sz w:val="20"/>
                <w:szCs w:val="20"/>
              </w:rPr>
            </w:pPr>
            <w:r>
              <w:rPr>
                <w:b/>
                <w:i/>
                <w:sz w:val="20"/>
                <w:szCs w:val="20"/>
              </w:rPr>
              <w:t>Total ADA</w:t>
            </w:r>
          </w:p>
        </w:tc>
        <w:tc>
          <w:tcPr>
            <w:tcW w:w="1313" w:type="dxa"/>
          </w:tcPr>
          <w:p w14:paraId="2BF0A309" w14:textId="38372FC1" w:rsidR="00CF1309" w:rsidRPr="00007539" w:rsidRDefault="00CF1309" w:rsidP="00C634FA">
            <w:pPr>
              <w:pStyle w:val="BodyText"/>
              <w:keepNext/>
              <w:keepLines/>
              <w:pBdr>
                <w:bottom w:val="single" w:sz="4" w:space="1" w:color="auto"/>
              </w:pBdr>
              <w:spacing w:after="0"/>
              <w:ind w:firstLine="0"/>
              <w:jc w:val="center"/>
              <w:rPr>
                <w:b/>
                <w:i/>
                <w:sz w:val="20"/>
                <w:szCs w:val="20"/>
              </w:rPr>
            </w:pPr>
            <w:r w:rsidRPr="00007539">
              <w:rPr>
                <w:b/>
                <w:i/>
                <w:sz w:val="20"/>
                <w:szCs w:val="20"/>
              </w:rPr>
              <w:t>% of EL/LI Enrollment</w:t>
            </w:r>
            <w:r w:rsidRPr="00007539">
              <w:rPr>
                <w:b/>
                <w:i/>
                <w:sz w:val="20"/>
                <w:szCs w:val="20"/>
                <w:vertAlign w:val="superscript"/>
              </w:rPr>
              <w:t>(</w:t>
            </w:r>
            <w:r w:rsidR="00961960">
              <w:rPr>
                <w:b/>
                <w:i/>
                <w:sz w:val="20"/>
                <w:szCs w:val="20"/>
                <w:vertAlign w:val="superscript"/>
              </w:rPr>
              <w:t>2</w:t>
            </w:r>
            <w:r w:rsidRPr="00007539">
              <w:rPr>
                <w:b/>
                <w:i/>
                <w:sz w:val="20"/>
                <w:szCs w:val="20"/>
                <w:vertAlign w:val="superscript"/>
              </w:rPr>
              <w:t>)</w:t>
            </w:r>
          </w:p>
        </w:tc>
      </w:tr>
      <w:tr w:rsidR="00CF1309" w14:paraId="25902019" w14:textId="77777777" w:rsidTr="008678D3">
        <w:trPr>
          <w:jc w:val="center"/>
        </w:trPr>
        <w:tc>
          <w:tcPr>
            <w:tcW w:w="1296" w:type="dxa"/>
          </w:tcPr>
          <w:p w14:paraId="54E9DD91" w14:textId="77777777" w:rsidR="00CF1309" w:rsidRPr="00F10298" w:rsidRDefault="00CF1309" w:rsidP="00C634FA">
            <w:pPr>
              <w:pStyle w:val="BodyText"/>
              <w:keepNext/>
              <w:keepLines/>
              <w:tabs>
                <w:tab w:val="decimal" w:pos="612"/>
              </w:tabs>
              <w:spacing w:after="0"/>
              <w:ind w:firstLine="0"/>
              <w:jc w:val="left"/>
              <w:rPr>
                <w:sz w:val="20"/>
                <w:szCs w:val="20"/>
              </w:rPr>
            </w:pPr>
            <w:r w:rsidRPr="00F10298">
              <w:rPr>
                <w:sz w:val="20"/>
                <w:szCs w:val="20"/>
              </w:rPr>
              <w:t>2016-17</w:t>
            </w:r>
          </w:p>
        </w:tc>
        <w:tc>
          <w:tcPr>
            <w:tcW w:w="1152" w:type="dxa"/>
          </w:tcPr>
          <w:p w14:paraId="2AE5D8A5" w14:textId="56B85C0C" w:rsidR="00CF1309" w:rsidRPr="000A7592" w:rsidRDefault="00961960" w:rsidP="00C634FA">
            <w:pPr>
              <w:pStyle w:val="BodyText"/>
              <w:keepNext/>
              <w:keepLines/>
              <w:tabs>
                <w:tab w:val="left" w:pos="-90"/>
                <w:tab w:val="left" w:pos="360"/>
              </w:tabs>
              <w:spacing w:after="0"/>
              <w:ind w:firstLine="0"/>
              <w:jc w:val="center"/>
              <w:rPr>
                <w:sz w:val="20"/>
                <w:szCs w:val="20"/>
              </w:rPr>
            </w:pPr>
            <w:r>
              <w:rPr>
                <w:sz w:val="20"/>
                <w:szCs w:val="20"/>
              </w:rPr>
              <w:t>428.95</w:t>
            </w:r>
          </w:p>
        </w:tc>
        <w:tc>
          <w:tcPr>
            <w:tcW w:w="1313" w:type="dxa"/>
          </w:tcPr>
          <w:p w14:paraId="4E528DD5" w14:textId="17194858" w:rsidR="00CF1309" w:rsidRPr="000A7592" w:rsidRDefault="00961960" w:rsidP="00C634FA">
            <w:pPr>
              <w:pStyle w:val="BodyText"/>
              <w:keepNext/>
              <w:keepLines/>
              <w:tabs>
                <w:tab w:val="decimal" w:pos="593"/>
              </w:tabs>
              <w:spacing w:after="0"/>
              <w:ind w:firstLine="0"/>
              <w:jc w:val="left"/>
              <w:rPr>
                <w:sz w:val="20"/>
                <w:szCs w:val="20"/>
              </w:rPr>
            </w:pPr>
            <w:r>
              <w:rPr>
                <w:sz w:val="20"/>
                <w:szCs w:val="20"/>
              </w:rPr>
              <w:t>569.50</w:t>
            </w:r>
          </w:p>
        </w:tc>
        <w:tc>
          <w:tcPr>
            <w:tcW w:w="1313" w:type="dxa"/>
          </w:tcPr>
          <w:p w14:paraId="28208AEB" w14:textId="41378839" w:rsidR="00CF1309" w:rsidRPr="000A7592" w:rsidRDefault="00961960" w:rsidP="00C634FA">
            <w:pPr>
              <w:pStyle w:val="BodyText"/>
              <w:keepNext/>
              <w:keepLines/>
              <w:tabs>
                <w:tab w:val="decimal" w:pos="593"/>
              </w:tabs>
              <w:spacing w:after="0"/>
              <w:ind w:firstLine="0"/>
              <w:jc w:val="left"/>
              <w:rPr>
                <w:sz w:val="20"/>
                <w:szCs w:val="20"/>
              </w:rPr>
            </w:pPr>
            <w:r>
              <w:rPr>
                <w:sz w:val="20"/>
                <w:szCs w:val="20"/>
              </w:rPr>
              <w:t>998.45</w:t>
            </w:r>
          </w:p>
        </w:tc>
        <w:tc>
          <w:tcPr>
            <w:tcW w:w="1313" w:type="dxa"/>
          </w:tcPr>
          <w:p w14:paraId="12750AA0" w14:textId="5CB67C77" w:rsidR="00CF1309" w:rsidRPr="000A7592" w:rsidRDefault="00961960" w:rsidP="00C634FA">
            <w:pPr>
              <w:pStyle w:val="BodyText"/>
              <w:keepNext/>
              <w:keepLines/>
              <w:tabs>
                <w:tab w:val="decimal" w:pos="593"/>
              </w:tabs>
              <w:spacing w:after="0"/>
              <w:ind w:firstLine="0"/>
              <w:jc w:val="left"/>
              <w:rPr>
                <w:sz w:val="20"/>
                <w:szCs w:val="20"/>
              </w:rPr>
            </w:pPr>
            <w:r>
              <w:rPr>
                <w:sz w:val="20"/>
                <w:szCs w:val="20"/>
              </w:rPr>
              <w:t>53.0%</w:t>
            </w:r>
          </w:p>
        </w:tc>
      </w:tr>
      <w:tr w:rsidR="00CF1309" w14:paraId="109A0C81" w14:textId="77777777" w:rsidTr="008678D3">
        <w:trPr>
          <w:jc w:val="center"/>
        </w:trPr>
        <w:tc>
          <w:tcPr>
            <w:tcW w:w="1296" w:type="dxa"/>
          </w:tcPr>
          <w:p w14:paraId="252C2D3C" w14:textId="77777777" w:rsidR="00CF1309" w:rsidRPr="00F10298" w:rsidRDefault="00CF1309" w:rsidP="00C634FA">
            <w:pPr>
              <w:pStyle w:val="BodyText"/>
              <w:keepNext/>
              <w:keepLines/>
              <w:tabs>
                <w:tab w:val="decimal" w:pos="612"/>
              </w:tabs>
              <w:spacing w:after="0"/>
              <w:ind w:firstLine="0"/>
              <w:jc w:val="left"/>
              <w:rPr>
                <w:sz w:val="20"/>
                <w:szCs w:val="20"/>
              </w:rPr>
            </w:pPr>
            <w:r w:rsidRPr="00F10298">
              <w:rPr>
                <w:sz w:val="20"/>
                <w:szCs w:val="20"/>
              </w:rPr>
              <w:t>2017-18</w:t>
            </w:r>
          </w:p>
        </w:tc>
        <w:tc>
          <w:tcPr>
            <w:tcW w:w="1152" w:type="dxa"/>
          </w:tcPr>
          <w:p w14:paraId="2AD01B95" w14:textId="105D0DBA" w:rsidR="00CF1309" w:rsidRPr="000A7592" w:rsidRDefault="00961960" w:rsidP="00C634FA">
            <w:pPr>
              <w:pStyle w:val="BodyText"/>
              <w:keepNext/>
              <w:keepLines/>
              <w:tabs>
                <w:tab w:val="left" w:pos="-90"/>
                <w:tab w:val="left" w:pos="360"/>
              </w:tabs>
              <w:spacing w:after="0"/>
              <w:ind w:firstLine="0"/>
              <w:jc w:val="center"/>
              <w:rPr>
                <w:sz w:val="20"/>
                <w:szCs w:val="20"/>
              </w:rPr>
            </w:pPr>
            <w:r>
              <w:rPr>
                <w:sz w:val="20"/>
                <w:szCs w:val="20"/>
              </w:rPr>
              <w:t>353.41</w:t>
            </w:r>
          </w:p>
        </w:tc>
        <w:tc>
          <w:tcPr>
            <w:tcW w:w="1313" w:type="dxa"/>
          </w:tcPr>
          <w:p w14:paraId="436C5CEC" w14:textId="23DAA8D1" w:rsidR="00CF1309" w:rsidRPr="000A7592" w:rsidRDefault="00961960" w:rsidP="00C634FA">
            <w:pPr>
              <w:pStyle w:val="BodyText"/>
              <w:keepNext/>
              <w:keepLines/>
              <w:tabs>
                <w:tab w:val="decimal" w:pos="593"/>
              </w:tabs>
              <w:spacing w:after="0"/>
              <w:ind w:firstLine="0"/>
              <w:jc w:val="left"/>
              <w:rPr>
                <w:sz w:val="20"/>
                <w:szCs w:val="20"/>
              </w:rPr>
            </w:pPr>
            <w:r>
              <w:rPr>
                <w:sz w:val="20"/>
                <w:szCs w:val="20"/>
              </w:rPr>
              <w:t>599.58</w:t>
            </w:r>
          </w:p>
        </w:tc>
        <w:tc>
          <w:tcPr>
            <w:tcW w:w="1313" w:type="dxa"/>
          </w:tcPr>
          <w:p w14:paraId="1993E668" w14:textId="71BA7CFE" w:rsidR="00CF1309" w:rsidRPr="000A7592" w:rsidRDefault="00961960" w:rsidP="00C634FA">
            <w:pPr>
              <w:pStyle w:val="BodyText"/>
              <w:keepNext/>
              <w:keepLines/>
              <w:tabs>
                <w:tab w:val="decimal" w:pos="593"/>
              </w:tabs>
              <w:spacing w:after="0"/>
              <w:ind w:firstLine="0"/>
              <w:jc w:val="left"/>
              <w:rPr>
                <w:sz w:val="20"/>
                <w:szCs w:val="20"/>
              </w:rPr>
            </w:pPr>
            <w:r>
              <w:rPr>
                <w:sz w:val="20"/>
                <w:szCs w:val="20"/>
              </w:rPr>
              <w:t>952.99</w:t>
            </w:r>
          </w:p>
        </w:tc>
        <w:tc>
          <w:tcPr>
            <w:tcW w:w="1313" w:type="dxa"/>
          </w:tcPr>
          <w:p w14:paraId="1485D895" w14:textId="412423C7" w:rsidR="00CF1309" w:rsidRPr="000A7592" w:rsidRDefault="00961960" w:rsidP="00C634FA">
            <w:pPr>
              <w:pStyle w:val="BodyText"/>
              <w:keepNext/>
              <w:keepLines/>
              <w:tabs>
                <w:tab w:val="decimal" w:pos="593"/>
              </w:tabs>
              <w:spacing w:after="0"/>
              <w:ind w:firstLine="0"/>
              <w:jc w:val="left"/>
              <w:rPr>
                <w:sz w:val="20"/>
                <w:szCs w:val="20"/>
              </w:rPr>
            </w:pPr>
            <w:r>
              <w:rPr>
                <w:sz w:val="20"/>
                <w:szCs w:val="20"/>
              </w:rPr>
              <w:t>55.3</w:t>
            </w:r>
          </w:p>
        </w:tc>
      </w:tr>
      <w:tr w:rsidR="00CF1309" w14:paraId="6883553A" w14:textId="77777777" w:rsidTr="008678D3">
        <w:trPr>
          <w:jc w:val="center"/>
        </w:trPr>
        <w:tc>
          <w:tcPr>
            <w:tcW w:w="1296" w:type="dxa"/>
          </w:tcPr>
          <w:p w14:paraId="00DE7C2C" w14:textId="77777777" w:rsidR="00CF1309" w:rsidRPr="00F10298" w:rsidRDefault="00CF1309" w:rsidP="00C634FA">
            <w:pPr>
              <w:pStyle w:val="BodyText"/>
              <w:keepNext/>
              <w:keepLines/>
              <w:tabs>
                <w:tab w:val="decimal" w:pos="612"/>
              </w:tabs>
              <w:spacing w:after="0"/>
              <w:ind w:firstLine="0"/>
              <w:jc w:val="left"/>
              <w:rPr>
                <w:sz w:val="20"/>
                <w:szCs w:val="20"/>
              </w:rPr>
            </w:pPr>
            <w:r w:rsidRPr="00F10298">
              <w:rPr>
                <w:sz w:val="20"/>
                <w:szCs w:val="20"/>
              </w:rPr>
              <w:t>201</w:t>
            </w:r>
            <w:r>
              <w:rPr>
                <w:sz w:val="20"/>
                <w:szCs w:val="20"/>
              </w:rPr>
              <w:t>8</w:t>
            </w:r>
            <w:r w:rsidRPr="00F10298">
              <w:rPr>
                <w:sz w:val="20"/>
                <w:szCs w:val="20"/>
              </w:rPr>
              <w:t>-1</w:t>
            </w:r>
            <w:r>
              <w:rPr>
                <w:sz w:val="20"/>
                <w:szCs w:val="20"/>
              </w:rPr>
              <w:t>9</w:t>
            </w:r>
          </w:p>
        </w:tc>
        <w:tc>
          <w:tcPr>
            <w:tcW w:w="1152" w:type="dxa"/>
          </w:tcPr>
          <w:p w14:paraId="724E4626" w14:textId="31924D83" w:rsidR="00CF1309" w:rsidRPr="000A7592" w:rsidRDefault="00961960" w:rsidP="00C634FA">
            <w:pPr>
              <w:pStyle w:val="BodyText"/>
              <w:keepNext/>
              <w:keepLines/>
              <w:tabs>
                <w:tab w:val="left" w:pos="-90"/>
                <w:tab w:val="left" w:pos="360"/>
              </w:tabs>
              <w:spacing w:after="0"/>
              <w:ind w:firstLine="0"/>
              <w:jc w:val="center"/>
              <w:rPr>
                <w:sz w:val="20"/>
                <w:szCs w:val="20"/>
              </w:rPr>
            </w:pPr>
            <w:r>
              <w:rPr>
                <w:sz w:val="20"/>
                <w:szCs w:val="20"/>
              </w:rPr>
              <w:t>381.20</w:t>
            </w:r>
          </w:p>
        </w:tc>
        <w:tc>
          <w:tcPr>
            <w:tcW w:w="1313" w:type="dxa"/>
          </w:tcPr>
          <w:p w14:paraId="3652C147" w14:textId="573460CC" w:rsidR="00CF1309" w:rsidRPr="000A7592" w:rsidRDefault="00961960" w:rsidP="00C634FA">
            <w:pPr>
              <w:pStyle w:val="BodyText"/>
              <w:keepNext/>
              <w:keepLines/>
              <w:tabs>
                <w:tab w:val="decimal" w:pos="593"/>
              </w:tabs>
              <w:spacing w:after="0"/>
              <w:ind w:firstLine="0"/>
              <w:jc w:val="left"/>
              <w:rPr>
                <w:sz w:val="20"/>
                <w:szCs w:val="20"/>
              </w:rPr>
            </w:pPr>
            <w:r>
              <w:rPr>
                <w:sz w:val="20"/>
                <w:szCs w:val="20"/>
              </w:rPr>
              <w:t>559.28</w:t>
            </w:r>
          </w:p>
        </w:tc>
        <w:tc>
          <w:tcPr>
            <w:tcW w:w="1313" w:type="dxa"/>
          </w:tcPr>
          <w:p w14:paraId="092ED8FC" w14:textId="57D92E46" w:rsidR="00CF1309" w:rsidRPr="000A7592" w:rsidRDefault="00961960" w:rsidP="00C634FA">
            <w:pPr>
              <w:pStyle w:val="BodyText"/>
              <w:keepNext/>
              <w:keepLines/>
              <w:tabs>
                <w:tab w:val="decimal" w:pos="593"/>
              </w:tabs>
              <w:spacing w:after="0"/>
              <w:ind w:firstLine="0"/>
              <w:jc w:val="left"/>
              <w:rPr>
                <w:sz w:val="20"/>
                <w:szCs w:val="20"/>
              </w:rPr>
            </w:pPr>
            <w:r>
              <w:rPr>
                <w:sz w:val="20"/>
                <w:szCs w:val="20"/>
              </w:rPr>
              <w:t>940.48</w:t>
            </w:r>
          </w:p>
        </w:tc>
        <w:tc>
          <w:tcPr>
            <w:tcW w:w="1313" w:type="dxa"/>
          </w:tcPr>
          <w:p w14:paraId="7969D564" w14:textId="4B1AEB8F" w:rsidR="00CF1309" w:rsidRPr="000A7592" w:rsidRDefault="00961960" w:rsidP="00C634FA">
            <w:pPr>
              <w:pStyle w:val="BodyText"/>
              <w:keepNext/>
              <w:keepLines/>
              <w:tabs>
                <w:tab w:val="decimal" w:pos="593"/>
              </w:tabs>
              <w:spacing w:after="0"/>
              <w:ind w:firstLine="0"/>
              <w:jc w:val="left"/>
              <w:rPr>
                <w:sz w:val="20"/>
                <w:szCs w:val="20"/>
              </w:rPr>
            </w:pPr>
            <w:r>
              <w:rPr>
                <w:sz w:val="20"/>
                <w:szCs w:val="20"/>
              </w:rPr>
              <w:t>58.9</w:t>
            </w:r>
          </w:p>
        </w:tc>
      </w:tr>
      <w:tr w:rsidR="00CF1309" w14:paraId="04A0017B" w14:textId="77777777" w:rsidTr="008678D3">
        <w:trPr>
          <w:jc w:val="center"/>
        </w:trPr>
        <w:tc>
          <w:tcPr>
            <w:tcW w:w="1296" w:type="dxa"/>
          </w:tcPr>
          <w:p w14:paraId="1169871D" w14:textId="77777777" w:rsidR="00CF1309" w:rsidRPr="00F10298" w:rsidRDefault="00CF1309" w:rsidP="00C634FA">
            <w:pPr>
              <w:pStyle w:val="BodyText"/>
              <w:keepNext/>
              <w:keepLines/>
              <w:tabs>
                <w:tab w:val="decimal" w:pos="612"/>
              </w:tabs>
              <w:spacing w:after="0"/>
              <w:ind w:firstLine="0"/>
              <w:jc w:val="left"/>
              <w:rPr>
                <w:sz w:val="20"/>
                <w:szCs w:val="20"/>
              </w:rPr>
            </w:pPr>
            <w:r>
              <w:rPr>
                <w:sz w:val="20"/>
                <w:szCs w:val="20"/>
              </w:rPr>
              <w:t>2019-20</w:t>
            </w:r>
          </w:p>
        </w:tc>
        <w:tc>
          <w:tcPr>
            <w:tcW w:w="1152" w:type="dxa"/>
          </w:tcPr>
          <w:p w14:paraId="18710C60" w14:textId="41331DDF" w:rsidR="00CF1309" w:rsidRPr="000A7592" w:rsidRDefault="00CF1309" w:rsidP="00C634FA">
            <w:pPr>
              <w:pStyle w:val="BodyText"/>
              <w:keepNext/>
              <w:keepLines/>
              <w:tabs>
                <w:tab w:val="left" w:pos="-90"/>
                <w:tab w:val="left" w:pos="360"/>
              </w:tabs>
              <w:spacing w:after="0"/>
              <w:ind w:firstLine="0"/>
              <w:jc w:val="center"/>
              <w:rPr>
                <w:sz w:val="20"/>
                <w:szCs w:val="20"/>
              </w:rPr>
            </w:pPr>
            <w:r>
              <w:rPr>
                <w:sz w:val="20"/>
                <w:szCs w:val="20"/>
              </w:rPr>
              <w:t>342.10</w:t>
            </w:r>
          </w:p>
        </w:tc>
        <w:tc>
          <w:tcPr>
            <w:tcW w:w="1313" w:type="dxa"/>
          </w:tcPr>
          <w:p w14:paraId="29879A81" w14:textId="0A9C4120" w:rsidR="00CF1309" w:rsidRPr="000A7592" w:rsidRDefault="00CF1309" w:rsidP="00C634FA">
            <w:pPr>
              <w:pStyle w:val="BodyText"/>
              <w:keepNext/>
              <w:keepLines/>
              <w:tabs>
                <w:tab w:val="decimal" w:pos="593"/>
              </w:tabs>
              <w:spacing w:after="0"/>
              <w:ind w:firstLine="0"/>
              <w:jc w:val="left"/>
              <w:rPr>
                <w:sz w:val="20"/>
                <w:szCs w:val="20"/>
              </w:rPr>
            </w:pPr>
            <w:r>
              <w:rPr>
                <w:sz w:val="20"/>
                <w:szCs w:val="20"/>
              </w:rPr>
              <w:t>557.17</w:t>
            </w:r>
          </w:p>
        </w:tc>
        <w:tc>
          <w:tcPr>
            <w:tcW w:w="1313" w:type="dxa"/>
          </w:tcPr>
          <w:p w14:paraId="6F3254FE" w14:textId="124AE81A" w:rsidR="00CF1309" w:rsidRPr="000A7592" w:rsidRDefault="00CF1309" w:rsidP="00C634FA">
            <w:pPr>
              <w:pStyle w:val="BodyText"/>
              <w:keepNext/>
              <w:keepLines/>
              <w:tabs>
                <w:tab w:val="decimal" w:pos="593"/>
              </w:tabs>
              <w:spacing w:after="0"/>
              <w:ind w:firstLine="0"/>
              <w:jc w:val="left"/>
              <w:rPr>
                <w:sz w:val="20"/>
                <w:szCs w:val="20"/>
              </w:rPr>
            </w:pPr>
            <w:r>
              <w:rPr>
                <w:sz w:val="20"/>
                <w:szCs w:val="20"/>
              </w:rPr>
              <w:t>899.27</w:t>
            </w:r>
          </w:p>
        </w:tc>
        <w:tc>
          <w:tcPr>
            <w:tcW w:w="1313" w:type="dxa"/>
          </w:tcPr>
          <w:p w14:paraId="13CB18C2" w14:textId="6D9B409E" w:rsidR="00CF1309" w:rsidRPr="000A7592" w:rsidRDefault="00CF1309" w:rsidP="00C634FA">
            <w:pPr>
              <w:pStyle w:val="BodyText"/>
              <w:keepNext/>
              <w:keepLines/>
              <w:tabs>
                <w:tab w:val="decimal" w:pos="593"/>
              </w:tabs>
              <w:spacing w:after="0"/>
              <w:ind w:firstLine="0"/>
              <w:jc w:val="left"/>
              <w:rPr>
                <w:sz w:val="20"/>
                <w:szCs w:val="20"/>
              </w:rPr>
            </w:pPr>
            <w:r>
              <w:rPr>
                <w:sz w:val="20"/>
                <w:szCs w:val="20"/>
              </w:rPr>
              <w:t>60.4</w:t>
            </w:r>
          </w:p>
        </w:tc>
      </w:tr>
      <w:tr w:rsidR="00CF1309" w14:paraId="08CCF18B" w14:textId="77777777" w:rsidTr="008678D3">
        <w:trPr>
          <w:jc w:val="center"/>
        </w:trPr>
        <w:tc>
          <w:tcPr>
            <w:tcW w:w="1296" w:type="dxa"/>
          </w:tcPr>
          <w:p w14:paraId="09657C77" w14:textId="77777777" w:rsidR="00CF1309" w:rsidRPr="00F10298" w:rsidRDefault="00CF1309" w:rsidP="00C634FA">
            <w:pPr>
              <w:pStyle w:val="BodyText"/>
              <w:keepNext/>
              <w:keepLines/>
              <w:tabs>
                <w:tab w:val="decimal" w:pos="612"/>
              </w:tabs>
              <w:spacing w:after="0"/>
              <w:ind w:firstLine="0"/>
              <w:jc w:val="left"/>
              <w:rPr>
                <w:sz w:val="20"/>
                <w:szCs w:val="20"/>
              </w:rPr>
            </w:pPr>
            <w:r>
              <w:rPr>
                <w:sz w:val="20"/>
                <w:szCs w:val="20"/>
              </w:rPr>
              <w:t>2020-21</w:t>
            </w:r>
          </w:p>
        </w:tc>
        <w:tc>
          <w:tcPr>
            <w:tcW w:w="1152" w:type="dxa"/>
          </w:tcPr>
          <w:p w14:paraId="15649E3A" w14:textId="0B51DFF5" w:rsidR="00CF1309" w:rsidRPr="000A7592" w:rsidRDefault="00CF1309" w:rsidP="00C634FA">
            <w:pPr>
              <w:pStyle w:val="BodyText"/>
              <w:keepNext/>
              <w:keepLines/>
              <w:tabs>
                <w:tab w:val="left" w:pos="-90"/>
                <w:tab w:val="left" w:pos="360"/>
              </w:tabs>
              <w:spacing w:after="0"/>
              <w:ind w:firstLine="0"/>
              <w:jc w:val="center"/>
              <w:rPr>
                <w:sz w:val="20"/>
                <w:szCs w:val="20"/>
              </w:rPr>
            </w:pPr>
            <w:r>
              <w:rPr>
                <w:sz w:val="20"/>
                <w:szCs w:val="20"/>
              </w:rPr>
              <w:t>342.10</w:t>
            </w:r>
          </w:p>
        </w:tc>
        <w:tc>
          <w:tcPr>
            <w:tcW w:w="1313" w:type="dxa"/>
          </w:tcPr>
          <w:p w14:paraId="59ED9589" w14:textId="3DF96938" w:rsidR="00CF1309" w:rsidRPr="000A7592" w:rsidRDefault="00CF1309" w:rsidP="00C634FA">
            <w:pPr>
              <w:pStyle w:val="BodyText"/>
              <w:keepNext/>
              <w:keepLines/>
              <w:tabs>
                <w:tab w:val="decimal" w:pos="593"/>
              </w:tabs>
              <w:spacing w:after="0"/>
              <w:ind w:firstLine="0"/>
              <w:jc w:val="left"/>
              <w:rPr>
                <w:sz w:val="20"/>
                <w:szCs w:val="20"/>
              </w:rPr>
            </w:pPr>
            <w:r>
              <w:rPr>
                <w:sz w:val="20"/>
                <w:szCs w:val="20"/>
              </w:rPr>
              <w:t>557.17</w:t>
            </w:r>
          </w:p>
        </w:tc>
        <w:tc>
          <w:tcPr>
            <w:tcW w:w="1313" w:type="dxa"/>
          </w:tcPr>
          <w:p w14:paraId="329F8923" w14:textId="1DBD3FC6" w:rsidR="00CF1309" w:rsidRPr="000A7592" w:rsidRDefault="00CF1309" w:rsidP="00C634FA">
            <w:pPr>
              <w:pStyle w:val="BodyText"/>
              <w:keepNext/>
              <w:keepLines/>
              <w:tabs>
                <w:tab w:val="decimal" w:pos="593"/>
              </w:tabs>
              <w:spacing w:after="0"/>
              <w:ind w:firstLine="0"/>
              <w:jc w:val="left"/>
              <w:rPr>
                <w:sz w:val="20"/>
                <w:szCs w:val="20"/>
              </w:rPr>
            </w:pPr>
            <w:r>
              <w:rPr>
                <w:sz w:val="20"/>
                <w:szCs w:val="20"/>
              </w:rPr>
              <w:t>899.27</w:t>
            </w:r>
          </w:p>
        </w:tc>
        <w:tc>
          <w:tcPr>
            <w:tcW w:w="1313" w:type="dxa"/>
          </w:tcPr>
          <w:p w14:paraId="1490781B" w14:textId="653A506B" w:rsidR="00CF1309" w:rsidRPr="000A7592" w:rsidRDefault="00CF1309" w:rsidP="00C634FA">
            <w:pPr>
              <w:pStyle w:val="BodyText"/>
              <w:keepNext/>
              <w:keepLines/>
              <w:tabs>
                <w:tab w:val="decimal" w:pos="593"/>
              </w:tabs>
              <w:spacing w:after="0"/>
              <w:ind w:firstLine="0"/>
              <w:jc w:val="left"/>
              <w:rPr>
                <w:sz w:val="20"/>
                <w:szCs w:val="20"/>
              </w:rPr>
            </w:pPr>
            <w:r>
              <w:rPr>
                <w:sz w:val="20"/>
                <w:szCs w:val="20"/>
              </w:rPr>
              <w:t>57.8</w:t>
            </w:r>
          </w:p>
        </w:tc>
      </w:tr>
      <w:tr w:rsidR="00CF1309" w14:paraId="577EA5BB" w14:textId="77777777" w:rsidTr="008678D3">
        <w:trPr>
          <w:jc w:val="center"/>
        </w:trPr>
        <w:tc>
          <w:tcPr>
            <w:tcW w:w="1296" w:type="dxa"/>
          </w:tcPr>
          <w:p w14:paraId="295262E6" w14:textId="0C7121D5" w:rsidR="00CF1309" w:rsidRDefault="00CF1309" w:rsidP="00C634FA">
            <w:pPr>
              <w:pStyle w:val="BodyText"/>
              <w:keepNext/>
              <w:keepLines/>
              <w:tabs>
                <w:tab w:val="decimal" w:pos="612"/>
              </w:tabs>
              <w:spacing w:after="0"/>
              <w:ind w:firstLine="0"/>
              <w:jc w:val="left"/>
              <w:rPr>
                <w:sz w:val="20"/>
                <w:szCs w:val="20"/>
              </w:rPr>
            </w:pPr>
            <w:r>
              <w:rPr>
                <w:sz w:val="20"/>
                <w:szCs w:val="20"/>
              </w:rPr>
              <w:t>2021-22</w:t>
            </w:r>
          </w:p>
        </w:tc>
        <w:tc>
          <w:tcPr>
            <w:tcW w:w="1152" w:type="dxa"/>
          </w:tcPr>
          <w:p w14:paraId="58A8E21A" w14:textId="515FB08B" w:rsidR="00CF1309" w:rsidRPr="000A7592" w:rsidRDefault="00CF1309" w:rsidP="00C634FA">
            <w:pPr>
              <w:pStyle w:val="BodyText"/>
              <w:keepNext/>
              <w:keepLines/>
              <w:tabs>
                <w:tab w:val="left" w:pos="-90"/>
                <w:tab w:val="left" w:pos="360"/>
              </w:tabs>
              <w:spacing w:after="0"/>
              <w:ind w:firstLine="0"/>
              <w:jc w:val="center"/>
              <w:rPr>
                <w:sz w:val="20"/>
                <w:szCs w:val="20"/>
              </w:rPr>
            </w:pPr>
            <w:r>
              <w:rPr>
                <w:sz w:val="20"/>
                <w:szCs w:val="20"/>
              </w:rPr>
              <w:t>231.61</w:t>
            </w:r>
          </w:p>
        </w:tc>
        <w:tc>
          <w:tcPr>
            <w:tcW w:w="1313" w:type="dxa"/>
          </w:tcPr>
          <w:p w14:paraId="1C2C1EB2" w14:textId="04B16E91" w:rsidR="00CF1309" w:rsidRPr="000A7592" w:rsidRDefault="00CF1309" w:rsidP="00C634FA">
            <w:pPr>
              <w:pStyle w:val="BodyText"/>
              <w:keepNext/>
              <w:keepLines/>
              <w:tabs>
                <w:tab w:val="decimal" w:pos="593"/>
              </w:tabs>
              <w:spacing w:after="0"/>
              <w:ind w:firstLine="0"/>
              <w:jc w:val="left"/>
              <w:rPr>
                <w:sz w:val="20"/>
                <w:szCs w:val="20"/>
              </w:rPr>
            </w:pPr>
            <w:r>
              <w:rPr>
                <w:sz w:val="20"/>
                <w:szCs w:val="20"/>
              </w:rPr>
              <w:t>428.29</w:t>
            </w:r>
          </w:p>
        </w:tc>
        <w:tc>
          <w:tcPr>
            <w:tcW w:w="1313" w:type="dxa"/>
          </w:tcPr>
          <w:p w14:paraId="5BB58466" w14:textId="5BE80614" w:rsidR="00CF1309" w:rsidRPr="000A7592" w:rsidRDefault="00CF1309" w:rsidP="00C634FA">
            <w:pPr>
              <w:pStyle w:val="BodyText"/>
              <w:keepNext/>
              <w:keepLines/>
              <w:tabs>
                <w:tab w:val="decimal" w:pos="593"/>
              </w:tabs>
              <w:spacing w:after="0"/>
              <w:ind w:firstLine="0"/>
              <w:jc w:val="left"/>
              <w:rPr>
                <w:sz w:val="20"/>
                <w:szCs w:val="20"/>
              </w:rPr>
            </w:pPr>
            <w:r>
              <w:rPr>
                <w:sz w:val="20"/>
                <w:szCs w:val="20"/>
              </w:rPr>
              <w:t>659.90</w:t>
            </w:r>
          </w:p>
        </w:tc>
        <w:tc>
          <w:tcPr>
            <w:tcW w:w="1313" w:type="dxa"/>
          </w:tcPr>
          <w:p w14:paraId="61F6E366" w14:textId="13268BC2" w:rsidR="00CF1309" w:rsidRPr="000A7592" w:rsidRDefault="00CF1309" w:rsidP="00C634FA">
            <w:pPr>
              <w:pStyle w:val="BodyText"/>
              <w:keepNext/>
              <w:keepLines/>
              <w:tabs>
                <w:tab w:val="decimal" w:pos="593"/>
              </w:tabs>
              <w:spacing w:after="0"/>
              <w:ind w:firstLine="0"/>
              <w:jc w:val="left"/>
              <w:rPr>
                <w:sz w:val="20"/>
                <w:szCs w:val="20"/>
              </w:rPr>
            </w:pPr>
            <w:r>
              <w:rPr>
                <w:sz w:val="20"/>
                <w:szCs w:val="20"/>
              </w:rPr>
              <w:t>55.0</w:t>
            </w:r>
          </w:p>
        </w:tc>
      </w:tr>
    </w:tbl>
    <w:p w14:paraId="395B047D" w14:textId="77777777" w:rsidR="00767D76" w:rsidRDefault="00767D76" w:rsidP="00767D76">
      <w:pPr>
        <w:pStyle w:val="BodyText"/>
        <w:keepNext/>
        <w:keepLines/>
        <w:tabs>
          <w:tab w:val="left" w:pos="360"/>
        </w:tabs>
        <w:spacing w:after="0"/>
        <w:ind w:firstLine="0"/>
        <w:rPr>
          <w:sz w:val="18"/>
          <w:szCs w:val="18"/>
        </w:rPr>
      </w:pPr>
      <w:r>
        <w:rPr>
          <w:sz w:val="18"/>
          <w:szCs w:val="18"/>
          <w:u w:val="single"/>
        </w:rPr>
        <w:tab/>
      </w:r>
      <w:r>
        <w:rPr>
          <w:sz w:val="18"/>
          <w:szCs w:val="18"/>
          <w:u w:val="single"/>
        </w:rPr>
        <w:tab/>
      </w:r>
      <w:r>
        <w:rPr>
          <w:sz w:val="18"/>
          <w:szCs w:val="18"/>
          <w:u w:val="single"/>
        </w:rPr>
        <w:tab/>
      </w:r>
    </w:p>
    <w:p w14:paraId="73C80294" w14:textId="66525B7F" w:rsidR="00767D76" w:rsidRDefault="00767D76" w:rsidP="00767D76">
      <w:pPr>
        <w:pStyle w:val="BodyText"/>
        <w:keepNext/>
        <w:keepLines/>
        <w:tabs>
          <w:tab w:val="left" w:pos="360"/>
        </w:tabs>
        <w:spacing w:after="0"/>
        <w:ind w:left="360" w:hanging="360"/>
        <w:rPr>
          <w:sz w:val="18"/>
          <w:szCs w:val="18"/>
        </w:rPr>
      </w:pPr>
      <w:r w:rsidRPr="00041B51">
        <w:rPr>
          <w:sz w:val="18"/>
          <w:szCs w:val="18"/>
          <w:vertAlign w:val="superscript"/>
        </w:rPr>
        <w:t xml:space="preserve">(1) </w:t>
      </w:r>
      <w:r w:rsidRPr="00041B51">
        <w:rPr>
          <w:sz w:val="18"/>
          <w:szCs w:val="18"/>
          <w:vertAlign w:val="superscript"/>
        </w:rPr>
        <w:tab/>
      </w:r>
      <w:r w:rsidRPr="00C64D79">
        <w:rPr>
          <w:sz w:val="18"/>
          <w:szCs w:val="18"/>
        </w:rPr>
        <w:t>For school years</w:t>
      </w:r>
      <w:r>
        <w:rPr>
          <w:sz w:val="18"/>
          <w:szCs w:val="18"/>
        </w:rPr>
        <w:t xml:space="preserve"> 2016-17 through 2019-20, r</w:t>
      </w:r>
      <w:r w:rsidRPr="00041B51">
        <w:rPr>
          <w:sz w:val="18"/>
          <w:szCs w:val="18"/>
        </w:rPr>
        <w:t>eflects ADA as of the second principal reporting period (</w:t>
      </w:r>
      <w:r>
        <w:rPr>
          <w:sz w:val="18"/>
          <w:szCs w:val="18"/>
        </w:rPr>
        <w:t>“</w:t>
      </w:r>
      <w:r w:rsidRPr="00041B51">
        <w:rPr>
          <w:sz w:val="18"/>
          <w:szCs w:val="18"/>
        </w:rPr>
        <w:t>P-2 ADA</w:t>
      </w:r>
      <w:r>
        <w:rPr>
          <w:sz w:val="18"/>
          <w:szCs w:val="18"/>
        </w:rPr>
        <w:t>”</w:t>
      </w:r>
      <w:r w:rsidRPr="00041B51">
        <w:rPr>
          <w:sz w:val="18"/>
          <w:szCs w:val="18"/>
        </w:rPr>
        <w:t>), ending on or before the last attendance month prior to April 15 of each school year.  An attendance month is equal to each four week period of instruction beginning on the first day of school.</w:t>
      </w:r>
      <w:r>
        <w:rPr>
          <w:sz w:val="18"/>
          <w:szCs w:val="18"/>
        </w:rPr>
        <w:t xml:space="preserve">  For school year 2020-21, </w:t>
      </w:r>
      <w:r w:rsidR="00CF1309">
        <w:rPr>
          <w:sz w:val="18"/>
          <w:szCs w:val="18"/>
        </w:rPr>
        <w:t>reflects ADA as of the first principal reporting period (“P-1 ADA”)</w:t>
      </w:r>
      <w:r>
        <w:rPr>
          <w:sz w:val="18"/>
          <w:szCs w:val="18"/>
        </w:rPr>
        <w:t>.</w:t>
      </w:r>
    </w:p>
    <w:p w14:paraId="3CFD3FEE" w14:textId="53CCA576" w:rsidR="00767D76" w:rsidRDefault="00767D76" w:rsidP="00767D76">
      <w:pPr>
        <w:pStyle w:val="BodyText"/>
        <w:keepNext/>
        <w:keepLines/>
        <w:tabs>
          <w:tab w:val="left" w:pos="360"/>
        </w:tabs>
        <w:spacing w:after="0"/>
        <w:ind w:left="360" w:hanging="360"/>
        <w:rPr>
          <w:sz w:val="18"/>
          <w:szCs w:val="18"/>
        </w:rPr>
      </w:pPr>
      <w:r w:rsidRPr="0022588E">
        <w:rPr>
          <w:sz w:val="18"/>
          <w:szCs w:val="18"/>
          <w:vertAlign w:val="superscript"/>
        </w:rPr>
        <w:t>(</w:t>
      </w:r>
      <w:r w:rsidR="00CF1309">
        <w:rPr>
          <w:sz w:val="18"/>
          <w:szCs w:val="18"/>
          <w:vertAlign w:val="superscript"/>
        </w:rPr>
        <w:t>2</w:t>
      </w:r>
      <w:r w:rsidRPr="0022588E">
        <w:rPr>
          <w:sz w:val="18"/>
          <w:szCs w:val="18"/>
          <w:vertAlign w:val="superscript"/>
        </w:rPr>
        <w:t>)</w:t>
      </w:r>
      <w:r w:rsidRPr="0022588E">
        <w:rPr>
          <w:sz w:val="18"/>
          <w:szCs w:val="18"/>
        </w:rPr>
        <w:tab/>
        <w:t xml:space="preserve">Reflects certified enrollment as of the fall census day (the first Wednesday in October), which is reported to CALPADS in each school year and is used to calculate </w:t>
      </w:r>
      <w:r>
        <w:rPr>
          <w:sz w:val="18"/>
          <w:szCs w:val="18"/>
        </w:rPr>
        <w:t xml:space="preserve">the School’s </w:t>
      </w:r>
      <w:r w:rsidRPr="0022588E">
        <w:rPr>
          <w:sz w:val="18"/>
          <w:szCs w:val="18"/>
        </w:rPr>
        <w:t xml:space="preserve">unduplicated EL/LI student enrollment.  Adjustments may be made to the certified EL/LI counts by the State Department of Education.  </w:t>
      </w:r>
      <w:r w:rsidR="00CF1309">
        <w:rPr>
          <w:sz w:val="18"/>
          <w:szCs w:val="18"/>
        </w:rPr>
        <w:t>A s</w:t>
      </w:r>
      <w:r>
        <w:rPr>
          <w:sz w:val="18"/>
          <w:szCs w:val="18"/>
        </w:rPr>
        <w:t xml:space="preserve">chool’s </w:t>
      </w:r>
      <w:r w:rsidRPr="0022588E">
        <w:rPr>
          <w:sz w:val="18"/>
          <w:szCs w:val="18"/>
        </w:rPr>
        <w:t xml:space="preserve">percentage of unduplicated EL/LI students is based on a rolling average of </w:t>
      </w:r>
      <w:r>
        <w:rPr>
          <w:sz w:val="18"/>
          <w:szCs w:val="18"/>
        </w:rPr>
        <w:t xml:space="preserve">its </w:t>
      </w:r>
      <w:r w:rsidRPr="0022588E">
        <w:rPr>
          <w:sz w:val="18"/>
          <w:szCs w:val="18"/>
        </w:rPr>
        <w:t>EL/LI enrollment for the current fiscal year and the two immediately preceding fiscal years.</w:t>
      </w:r>
      <w:r>
        <w:rPr>
          <w:sz w:val="18"/>
          <w:szCs w:val="18"/>
        </w:rPr>
        <w:t xml:space="preserve">  </w:t>
      </w:r>
    </w:p>
    <w:p w14:paraId="5A8A67AC" w14:textId="4F4E517B" w:rsidR="00767D76" w:rsidRDefault="00767D76" w:rsidP="00767D76">
      <w:pPr>
        <w:pStyle w:val="BodyText"/>
        <w:tabs>
          <w:tab w:val="left" w:pos="-90"/>
          <w:tab w:val="left" w:pos="360"/>
        </w:tabs>
        <w:ind w:firstLine="0"/>
        <w:jc w:val="left"/>
        <w:rPr>
          <w:i/>
          <w:sz w:val="18"/>
          <w:szCs w:val="18"/>
        </w:rPr>
      </w:pPr>
      <w:r>
        <w:rPr>
          <w:i/>
          <w:sz w:val="18"/>
          <w:szCs w:val="18"/>
        </w:rPr>
        <w:t xml:space="preserve">Source:  </w:t>
      </w:r>
      <w:r w:rsidR="00CF1309">
        <w:rPr>
          <w:i/>
          <w:sz w:val="18"/>
          <w:szCs w:val="18"/>
        </w:rPr>
        <w:t>Encore</w:t>
      </w:r>
      <w:r>
        <w:rPr>
          <w:i/>
          <w:sz w:val="18"/>
          <w:szCs w:val="18"/>
        </w:rPr>
        <w:t>.</w:t>
      </w:r>
    </w:p>
    <w:p w14:paraId="0C6FE7B3" w14:textId="19E342BC" w:rsidR="001C0F68" w:rsidRPr="006578DF" w:rsidRDefault="001C0F68" w:rsidP="001C0F68">
      <w:pPr>
        <w:pStyle w:val="BodyText"/>
        <w:keepNext/>
        <w:keepLines/>
        <w:rPr>
          <w:color w:val="000000"/>
        </w:rPr>
      </w:pPr>
      <w:r>
        <w:rPr>
          <w:b/>
          <w:i/>
          <w:color w:val="000000"/>
        </w:rPr>
        <w:t xml:space="preserve">Student Retention.  </w:t>
      </w:r>
      <w:r>
        <w:rPr>
          <w:color w:val="000000"/>
        </w:rPr>
        <w:t>The following table</w:t>
      </w:r>
      <w:r w:rsidRPr="006578DF">
        <w:rPr>
          <w:color w:val="000000"/>
        </w:rPr>
        <w:t xml:space="preserve"> sets forth</w:t>
      </w:r>
      <w:r>
        <w:rPr>
          <w:color w:val="000000"/>
        </w:rPr>
        <w:t>, for the periods shown,</w:t>
      </w:r>
      <w:r w:rsidRPr="006578DF">
        <w:rPr>
          <w:color w:val="000000"/>
        </w:rPr>
        <w:t xml:space="preserve"> </w:t>
      </w:r>
      <w:r w:rsidRPr="00E84C39">
        <w:rPr>
          <w:color w:val="000000"/>
        </w:rPr>
        <w:t xml:space="preserve">the percentage of students enrolled </w:t>
      </w:r>
      <w:r>
        <w:rPr>
          <w:color w:val="000000"/>
        </w:rPr>
        <w:t xml:space="preserve">at the School </w:t>
      </w:r>
      <w:r w:rsidRPr="00E84C39">
        <w:rPr>
          <w:color w:val="000000"/>
        </w:rPr>
        <w:t xml:space="preserve">from the prior school year that returned as students in the </w:t>
      </w:r>
      <w:r>
        <w:rPr>
          <w:color w:val="000000"/>
        </w:rPr>
        <w:t xml:space="preserve">latter </w:t>
      </w:r>
      <w:r w:rsidRPr="00E84C39">
        <w:rPr>
          <w:color w:val="000000"/>
        </w:rPr>
        <w:t>school year</w:t>
      </w:r>
      <w:r w:rsidRPr="006578DF">
        <w:rPr>
          <w:color w:val="000000"/>
        </w:rPr>
        <w:t>.</w:t>
      </w:r>
    </w:p>
    <w:p w14:paraId="3C1868F6" w14:textId="7BF4D9B1" w:rsidR="001C0F68" w:rsidRDefault="001C0F68" w:rsidP="001C0F68">
      <w:pPr>
        <w:keepNext/>
        <w:keepLines/>
        <w:jc w:val="center"/>
        <w:rPr>
          <w:b/>
          <w:sz w:val="20"/>
          <w:szCs w:val="20"/>
        </w:rPr>
      </w:pPr>
      <w:r>
        <w:rPr>
          <w:b/>
          <w:sz w:val="20"/>
          <w:szCs w:val="20"/>
        </w:rPr>
        <w:t>TABLE 5</w:t>
      </w:r>
    </w:p>
    <w:p w14:paraId="0F7F8248" w14:textId="2E4FD53C" w:rsidR="001C0F68" w:rsidRDefault="001C0F68" w:rsidP="001C0F68">
      <w:pPr>
        <w:keepNext/>
        <w:keepLines/>
        <w:jc w:val="center"/>
        <w:rPr>
          <w:sz w:val="20"/>
          <w:szCs w:val="20"/>
        </w:rPr>
      </w:pPr>
      <w:r w:rsidRPr="00370D4E">
        <w:rPr>
          <w:b/>
          <w:sz w:val="20"/>
          <w:szCs w:val="20"/>
        </w:rPr>
        <w:t>HISTORICAL STUDENT RETENTION</w:t>
      </w:r>
      <w:r w:rsidRPr="00370D4E">
        <w:rPr>
          <w:b/>
          <w:sz w:val="20"/>
          <w:szCs w:val="20"/>
          <w:vertAlign w:val="superscript"/>
        </w:rPr>
        <w:t>(1)</w:t>
      </w:r>
      <w:r w:rsidRPr="00370D4E">
        <w:rPr>
          <w:b/>
          <w:sz w:val="20"/>
          <w:szCs w:val="20"/>
          <w:vertAlign w:val="superscript"/>
        </w:rPr>
        <w:br/>
      </w:r>
      <w:r w:rsidRPr="00370D4E">
        <w:rPr>
          <w:b/>
          <w:sz w:val="20"/>
          <w:szCs w:val="20"/>
        </w:rPr>
        <w:t>201</w:t>
      </w:r>
      <w:r>
        <w:rPr>
          <w:b/>
          <w:sz w:val="20"/>
          <w:szCs w:val="20"/>
        </w:rPr>
        <w:t>6</w:t>
      </w:r>
      <w:r w:rsidRPr="00370D4E">
        <w:rPr>
          <w:b/>
          <w:sz w:val="20"/>
          <w:szCs w:val="20"/>
        </w:rPr>
        <w:t>-1</w:t>
      </w:r>
      <w:r>
        <w:rPr>
          <w:b/>
          <w:sz w:val="20"/>
          <w:szCs w:val="20"/>
        </w:rPr>
        <w:t>7 through 2021-22</w:t>
      </w:r>
      <w:r w:rsidRPr="00370D4E">
        <w:rPr>
          <w:b/>
          <w:sz w:val="20"/>
          <w:szCs w:val="20"/>
        </w:rPr>
        <w:br/>
      </w:r>
      <w:r>
        <w:rPr>
          <w:sz w:val="20"/>
          <w:szCs w:val="20"/>
        </w:rPr>
        <w:t>The School</w:t>
      </w:r>
    </w:p>
    <w:p w14:paraId="29B5C0A0" w14:textId="77777777" w:rsidR="001C0F68" w:rsidRPr="00370D4E" w:rsidRDefault="001C0F68" w:rsidP="001C0F68">
      <w:pPr>
        <w:keepNext/>
        <w:keepLines/>
        <w:jc w:val="center"/>
        <w:rPr>
          <w:sz w:val="20"/>
          <w:szCs w:val="20"/>
        </w:rPr>
      </w:pPr>
    </w:p>
    <w:tbl>
      <w:tblPr>
        <w:tblW w:w="3376" w:type="dxa"/>
        <w:jc w:val="center"/>
        <w:tblCellMar>
          <w:left w:w="0" w:type="dxa"/>
          <w:right w:w="0" w:type="dxa"/>
        </w:tblCellMar>
        <w:tblLook w:val="04A0" w:firstRow="1" w:lastRow="0" w:firstColumn="1" w:lastColumn="0" w:noHBand="0" w:noVBand="1"/>
      </w:tblPr>
      <w:tblGrid>
        <w:gridCol w:w="2001"/>
        <w:gridCol w:w="1375"/>
      </w:tblGrid>
      <w:tr w:rsidR="001C0F68" w:rsidRPr="007F3159" w14:paraId="2BBC1B05" w14:textId="77777777" w:rsidTr="001C0F68">
        <w:trPr>
          <w:jc w:val="center"/>
        </w:trPr>
        <w:tc>
          <w:tcPr>
            <w:tcW w:w="2001" w:type="dxa"/>
            <w:tcMar>
              <w:top w:w="0" w:type="dxa"/>
              <w:left w:w="108" w:type="dxa"/>
              <w:bottom w:w="0" w:type="dxa"/>
              <w:right w:w="108" w:type="dxa"/>
            </w:tcMar>
          </w:tcPr>
          <w:p w14:paraId="3CAB8401" w14:textId="77777777" w:rsidR="001C0F68" w:rsidRPr="007F3159" w:rsidRDefault="001C0F68" w:rsidP="00C634FA">
            <w:pPr>
              <w:keepNext/>
              <w:rPr>
                <w:rFonts w:ascii="Calibri" w:eastAsiaTheme="minorHAnsi" w:hAnsi="Calibri"/>
                <w:sz w:val="20"/>
                <w:szCs w:val="22"/>
              </w:rPr>
            </w:pPr>
          </w:p>
        </w:tc>
        <w:tc>
          <w:tcPr>
            <w:tcW w:w="1375" w:type="dxa"/>
            <w:vAlign w:val="bottom"/>
          </w:tcPr>
          <w:p w14:paraId="1AF3F7F4" w14:textId="0ED1948F" w:rsidR="001C0F68" w:rsidRDefault="001C0F68" w:rsidP="00C634FA">
            <w:pPr>
              <w:pBdr>
                <w:bottom w:val="single" w:sz="4" w:space="1" w:color="auto"/>
              </w:pBdr>
              <w:ind w:left="-7"/>
              <w:jc w:val="center"/>
              <w:rPr>
                <w:b/>
                <w:i/>
                <w:sz w:val="20"/>
              </w:rPr>
            </w:pPr>
            <w:r>
              <w:rPr>
                <w:b/>
                <w:i/>
                <w:sz w:val="20"/>
              </w:rPr>
              <w:t>Student Retention</w:t>
            </w:r>
          </w:p>
        </w:tc>
      </w:tr>
      <w:tr w:rsidR="001C0F68" w:rsidRPr="007F3159" w14:paraId="6EBF32C0" w14:textId="77777777" w:rsidTr="001C0F68">
        <w:trPr>
          <w:jc w:val="center"/>
        </w:trPr>
        <w:tc>
          <w:tcPr>
            <w:tcW w:w="2001" w:type="dxa"/>
            <w:tcMar>
              <w:top w:w="0" w:type="dxa"/>
              <w:left w:w="108" w:type="dxa"/>
              <w:bottom w:w="0" w:type="dxa"/>
              <w:right w:w="108" w:type="dxa"/>
            </w:tcMar>
            <w:vAlign w:val="bottom"/>
            <w:hideMark/>
          </w:tcPr>
          <w:p w14:paraId="6A6561E9" w14:textId="77777777" w:rsidR="001C0F68" w:rsidRPr="00EC2A97" w:rsidRDefault="001C0F68" w:rsidP="00C634FA">
            <w:pPr>
              <w:keepNext/>
              <w:rPr>
                <w:rFonts w:ascii="Calibri" w:eastAsiaTheme="minorHAnsi" w:hAnsi="Calibri"/>
                <w:sz w:val="20"/>
                <w:szCs w:val="22"/>
              </w:rPr>
            </w:pPr>
            <w:r w:rsidRPr="00EC2A97">
              <w:rPr>
                <w:sz w:val="20"/>
              </w:rPr>
              <w:t>201</w:t>
            </w:r>
            <w:r>
              <w:rPr>
                <w:sz w:val="20"/>
              </w:rPr>
              <w:t>6</w:t>
            </w:r>
            <w:r w:rsidRPr="00EC2A97">
              <w:rPr>
                <w:sz w:val="20"/>
              </w:rPr>
              <w:t>-1</w:t>
            </w:r>
            <w:r>
              <w:rPr>
                <w:sz w:val="20"/>
              </w:rPr>
              <w:t>7</w:t>
            </w:r>
            <w:r w:rsidRPr="00EC2A97">
              <w:rPr>
                <w:sz w:val="20"/>
              </w:rPr>
              <w:t xml:space="preserve"> to 201</w:t>
            </w:r>
            <w:r>
              <w:rPr>
                <w:sz w:val="20"/>
              </w:rPr>
              <w:t>7</w:t>
            </w:r>
            <w:r w:rsidRPr="00EC2A97">
              <w:rPr>
                <w:sz w:val="20"/>
              </w:rPr>
              <w:t>-1</w:t>
            </w:r>
            <w:r>
              <w:rPr>
                <w:sz w:val="20"/>
              </w:rPr>
              <w:t>8</w:t>
            </w:r>
          </w:p>
        </w:tc>
        <w:tc>
          <w:tcPr>
            <w:tcW w:w="1375" w:type="dxa"/>
          </w:tcPr>
          <w:p w14:paraId="4E6A1258" w14:textId="46D1DB83" w:rsidR="001C0F68" w:rsidRDefault="001C0F68" w:rsidP="00C634FA">
            <w:pPr>
              <w:tabs>
                <w:tab w:val="decimal" w:pos="713"/>
              </w:tabs>
              <w:rPr>
                <w:rFonts w:eastAsiaTheme="minorHAnsi"/>
                <w:sz w:val="20"/>
                <w:szCs w:val="22"/>
              </w:rPr>
            </w:pPr>
          </w:p>
        </w:tc>
      </w:tr>
      <w:tr w:rsidR="001C0F68" w:rsidRPr="007F3159" w14:paraId="5CF83B3E" w14:textId="77777777" w:rsidTr="001C0F68">
        <w:trPr>
          <w:jc w:val="center"/>
        </w:trPr>
        <w:tc>
          <w:tcPr>
            <w:tcW w:w="2001" w:type="dxa"/>
            <w:tcMar>
              <w:top w:w="0" w:type="dxa"/>
              <w:left w:w="108" w:type="dxa"/>
              <w:bottom w:w="0" w:type="dxa"/>
              <w:right w:w="108" w:type="dxa"/>
            </w:tcMar>
            <w:vAlign w:val="bottom"/>
            <w:hideMark/>
          </w:tcPr>
          <w:p w14:paraId="380AD01C" w14:textId="77777777" w:rsidR="001C0F68" w:rsidRPr="00EC2A97" w:rsidRDefault="001C0F68" w:rsidP="00C634FA">
            <w:pPr>
              <w:keepNext/>
              <w:rPr>
                <w:rFonts w:ascii="Calibri" w:eastAsiaTheme="minorHAnsi" w:hAnsi="Calibri"/>
                <w:sz w:val="20"/>
                <w:szCs w:val="22"/>
              </w:rPr>
            </w:pPr>
            <w:r w:rsidRPr="00EC2A97">
              <w:rPr>
                <w:sz w:val="20"/>
              </w:rPr>
              <w:t>201</w:t>
            </w:r>
            <w:r>
              <w:rPr>
                <w:sz w:val="20"/>
              </w:rPr>
              <w:t>7</w:t>
            </w:r>
            <w:r w:rsidRPr="00EC2A97">
              <w:rPr>
                <w:sz w:val="20"/>
              </w:rPr>
              <w:t>-1</w:t>
            </w:r>
            <w:r>
              <w:rPr>
                <w:sz w:val="20"/>
              </w:rPr>
              <w:t>8</w:t>
            </w:r>
            <w:r w:rsidRPr="00EC2A97">
              <w:rPr>
                <w:sz w:val="20"/>
              </w:rPr>
              <w:t xml:space="preserve"> to 201</w:t>
            </w:r>
            <w:r>
              <w:rPr>
                <w:sz w:val="20"/>
              </w:rPr>
              <w:t>8</w:t>
            </w:r>
            <w:r w:rsidRPr="00EC2A97">
              <w:rPr>
                <w:sz w:val="20"/>
              </w:rPr>
              <w:t>-</w:t>
            </w:r>
            <w:r>
              <w:rPr>
                <w:sz w:val="20"/>
              </w:rPr>
              <w:t>19</w:t>
            </w:r>
          </w:p>
        </w:tc>
        <w:tc>
          <w:tcPr>
            <w:tcW w:w="1375" w:type="dxa"/>
          </w:tcPr>
          <w:p w14:paraId="11DE8C6E" w14:textId="7BDF0900" w:rsidR="001C0F68" w:rsidRDefault="001C0F68" w:rsidP="00C634FA">
            <w:pPr>
              <w:tabs>
                <w:tab w:val="decimal" w:pos="713"/>
              </w:tabs>
              <w:rPr>
                <w:rFonts w:eastAsiaTheme="minorHAnsi"/>
                <w:sz w:val="20"/>
                <w:szCs w:val="22"/>
              </w:rPr>
            </w:pPr>
          </w:p>
        </w:tc>
      </w:tr>
      <w:tr w:rsidR="001C0F68" w:rsidRPr="007F3159" w14:paraId="02FE7B01" w14:textId="77777777" w:rsidTr="001C0F68">
        <w:trPr>
          <w:jc w:val="center"/>
        </w:trPr>
        <w:tc>
          <w:tcPr>
            <w:tcW w:w="2001" w:type="dxa"/>
            <w:tcMar>
              <w:top w:w="0" w:type="dxa"/>
              <w:left w:w="108" w:type="dxa"/>
              <w:bottom w:w="0" w:type="dxa"/>
              <w:right w:w="108" w:type="dxa"/>
            </w:tcMar>
            <w:vAlign w:val="bottom"/>
          </w:tcPr>
          <w:p w14:paraId="3A05946A" w14:textId="77777777" w:rsidR="001C0F68" w:rsidRPr="00EC2A97" w:rsidRDefault="001C0F68" w:rsidP="00C634FA">
            <w:pPr>
              <w:keepNext/>
              <w:rPr>
                <w:sz w:val="20"/>
              </w:rPr>
            </w:pPr>
            <w:r>
              <w:rPr>
                <w:sz w:val="20"/>
              </w:rPr>
              <w:t>2018-19 to 2019-20</w:t>
            </w:r>
          </w:p>
        </w:tc>
        <w:tc>
          <w:tcPr>
            <w:tcW w:w="1375" w:type="dxa"/>
          </w:tcPr>
          <w:p w14:paraId="031B66A7" w14:textId="36695217" w:rsidR="001C0F68" w:rsidRDefault="001C0F68" w:rsidP="00C634FA">
            <w:pPr>
              <w:tabs>
                <w:tab w:val="decimal" w:pos="713"/>
              </w:tabs>
              <w:rPr>
                <w:rFonts w:eastAsiaTheme="minorHAnsi"/>
                <w:sz w:val="20"/>
                <w:szCs w:val="22"/>
              </w:rPr>
            </w:pPr>
          </w:p>
        </w:tc>
      </w:tr>
      <w:tr w:rsidR="001C0F68" w:rsidRPr="007F3159" w14:paraId="463B149E" w14:textId="77777777" w:rsidTr="001C0F68">
        <w:trPr>
          <w:jc w:val="center"/>
        </w:trPr>
        <w:tc>
          <w:tcPr>
            <w:tcW w:w="2001" w:type="dxa"/>
            <w:tcMar>
              <w:top w:w="0" w:type="dxa"/>
              <w:left w:w="108" w:type="dxa"/>
              <w:bottom w:w="0" w:type="dxa"/>
              <w:right w:w="108" w:type="dxa"/>
            </w:tcMar>
            <w:vAlign w:val="bottom"/>
          </w:tcPr>
          <w:p w14:paraId="77C17A26" w14:textId="77777777" w:rsidR="001C0F68" w:rsidRDefault="001C0F68" w:rsidP="00C634FA">
            <w:pPr>
              <w:keepNext/>
              <w:rPr>
                <w:sz w:val="20"/>
              </w:rPr>
            </w:pPr>
            <w:r>
              <w:rPr>
                <w:sz w:val="20"/>
              </w:rPr>
              <w:t>2019-20 to 2020-21</w:t>
            </w:r>
          </w:p>
        </w:tc>
        <w:tc>
          <w:tcPr>
            <w:tcW w:w="1375" w:type="dxa"/>
          </w:tcPr>
          <w:p w14:paraId="54780B20" w14:textId="017F1766" w:rsidR="001C0F68" w:rsidRDefault="001C0F68" w:rsidP="00C634FA">
            <w:pPr>
              <w:tabs>
                <w:tab w:val="decimal" w:pos="713"/>
              </w:tabs>
              <w:rPr>
                <w:rFonts w:eastAsiaTheme="minorHAnsi"/>
                <w:sz w:val="20"/>
                <w:szCs w:val="22"/>
              </w:rPr>
            </w:pPr>
          </w:p>
        </w:tc>
      </w:tr>
      <w:tr w:rsidR="001C0F68" w:rsidRPr="007F3159" w14:paraId="7B5DF058" w14:textId="77777777" w:rsidTr="001C0F68">
        <w:trPr>
          <w:jc w:val="center"/>
        </w:trPr>
        <w:tc>
          <w:tcPr>
            <w:tcW w:w="2001" w:type="dxa"/>
            <w:tcMar>
              <w:top w:w="0" w:type="dxa"/>
              <w:left w:w="108" w:type="dxa"/>
              <w:bottom w:w="0" w:type="dxa"/>
              <w:right w:w="108" w:type="dxa"/>
            </w:tcMar>
            <w:vAlign w:val="bottom"/>
          </w:tcPr>
          <w:p w14:paraId="6392DA5F" w14:textId="77777777" w:rsidR="001C0F68" w:rsidRDefault="001C0F68" w:rsidP="00C634FA">
            <w:pPr>
              <w:keepNext/>
              <w:rPr>
                <w:sz w:val="20"/>
              </w:rPr>
            </w:pPr>
            <w:r>
              <w:rPr>
                <w:sz w:val="20"/>
              </w:rPr>
              <w:t>2020-21 to 2021-22</w:t>
            </w:r>
          </w:p>
        </w:tc>
        <w:tc>
          <w:tcPr>
            <w:tcW w:w="1375" w:type="dxa"/>
          </w:tcPr>
          <w:p w14:paraId="13D05AB6" w14:textId="03B14BC5" w:rsidR="001C0F68" w:rsidRDefault="001C0F68" w:rsidP="00C634FA">
            <w:pPr>
              <w:tabs>
                <w:tab w:val="decimal" w:pos="713"/>
              </w:tabs>
              <w:rPr>
                <w:rFonts w:eastAsiaTheme="minorHAnsi"/>
                <w:sz w:val="20"/>
                <w:szCs w:val="22"/>
              </w:rPr>
            </w:pPr>
          </w:p>
        </w:tc>
      </w:tr>
    </w:tbl>
    <w:p w14:paraId="5DDA68A3" w14:textId="77777777" w:rsidR="001C0F68" w:rsidRPr="00257D75" w:rsidRDefault="001C0F68" w:rsidP="001C0F68">
      <w:pPr>
        <w:keepNext/>
        <w:ind w:left="720"/>
        <w:jc w:val="both"/>
        <w:rPr>
          <w:sz w:val="18"/>
          <w:szCs w:val="18"/>
        </w:rPr>
      </w:pPr>
      <w:r w:rsidRPr="00257D75">
        <w:rPr>
          <w:sz w:val="18"/>
          <w:szCs w:val="18"/>
        </w:rPr>
        <w:t>________________</w:t>
      </w:r>
    </w:p>
    <w:p w14:paraId="1EED1B0B" w14:textId="77777777" w:rsidR="001C0F68" w:rsidRDefault="001C0F68" w:rsidP="001C0F68">
      <w:pPr>
        <w:tabs>
          <w:tab w:val="left" w:pos="1080"/>
        </w:tabs>
        <w:ind w:left="1080" w:hanging="360"/>
        <w:rPr>
          <w:sz w:val="18"/>
          <w:szCs w:val="18"/>
          <w:vertAlign w:val="superscript"/>
        </w:rPr>
      </w:pPr>
      <w:r w:rsidRPr="009D446D">
        <w:rPr>
          <w:sz w:val="18"/>
          <w:szCs w:val="18"/>
          <w:vertAlign w:val="superscript"/>
        </w:rPr>
        <w:t>(1)</w:t>
      </w:r>
      <w:r w:rsidRPr="009D446D">
        <w:rPr>
          <w:sz w:val="18"/>
          <w:szCs w:val="18"/>
          <w:vertAlign w:val="superscript"/>
        </w:rPr>
        <w:tab/>
      </w:r>
      <w:r>
        <w:rPr>
          <w:sz w:val="18"/>
          <w:szCs w:val="18"/>
        </w:rPr>
        <w:t>D</w:t>
      </w:r>
      <w:r w:rsidRPr="009D446D">
        <w:rPr>
          <w:sz w:val="18"/>
          <w:szCs w:val="18"/>
        </w:rPr>
        <w:t>ata reflect certified enrollment as of the fall census day (the first Wednesday in October), which is reported to CALPADS in each school year.  Enrollment may vary throughout the school year as students enroll or leav</w:t>
      </w:r>
      <w:r>
        <w:rPr>
          <w:sz w:val="18"/>
          <w:szCs w:val="18"/>
        </w:rPr>
        <w:t>e the Obligated Group Schools.</w:t>
      </w:r>
    </w:p>
    <w:p w14:paraId="09334912" w14:textId="763304E8" w:rsidR="001C0F68" w:rsidRDefault="001C0F68" w:rsidP="001C0F68">
      <w:pPr>
        <w:tabs>
          <w:tab w:val="left" w:pos="1080"/>
        </w:tabs>
        <w:spacing w:after="240"/>
        <w:ind w:left="720"/>
        <w:rPr>
          <w:i/>
          <w:sz w:val="18"/>
          <w:szCs w:val="18"/>
        </w:rPr>
      </w:pPr>
      <w:r w:rsidRPr="00257D75">
        <w:rPr>
          <w:i/>
          <w:sz w:val="18"/>
          <w:szCs w:val="18"/>
        </w:rPr>
        <w:t xml:space="preserve">Source:  </w:t>
      </w:r>
      <w:r>
        <w:rPr>
          <w:i/>
          <w:sz w:val="18"/>
          <w:szCs w:val="18"/>
        </w:rPr>
        <w:t>Encore.</w:t>
      </w:r>
    </w:p>
    <w:p w14:paraId="04E34E17" w14:textId="47E18CCE" w:rsidR="00961960" w:rsidRDefault="00961960" w:rsidP="00961960">
      <w:pPr>
        <w:pStyle w:val="Heading2"/>
      </w:pPr>
      <w:bookmarkStart w:id="11" w:name="_Toc101330549"/>
      <w:r>
        <w:t>Academic Results</w:t>
      </w:r>
      <w:bookmarkEnd w:id="11"/>
    </w:p>
    <w:p w14:paraId="321EDF38" w14:textId="77777777" w:rsidR="007B49E3" w:rsidRDefault="007B49E3" w:rsidP="007B49E3">
      <w:pPr>
        <w:spacing w:after="240"/>
        <w:ind w:firstLine="720"/>
        <w:jc w:val="both"/>
      </w:pPr>
      <w:r>
        <w:rPr>
          <w:b/>
          <w:i/>
        </w:rPr>
        <w:t>CAASPP.</w:t>
      </w:r>
      <w:r>
        <w:t xml:space="preserve">  Academic Performance Index (“API”) scores have, in the past, been calculated using results of the State’s STAR program and, for high school students, the California High School Exit Examination (“CAHSEE”).  Changes to the Education Code enacted in 2013 deleted certain provisions of State law establishing the STAR program and replaced them with the California Assessment of Student Performance and Progress program (“CAASPP”), effective July 1, 2014.  As a means to assess certain elementary and secondary pupils, CAASPP comprises: </w:t>
      </w:r>
    </w:p>
    <w:p w14:paraId="65662682" w14:textId="77777777" w:rsidR="007B49E3" w:rsidRDefault="007B49E3" w:rsidP="007B49E3">
      <w:pPr>
        <w:spacing w:after="240"/>
        <w:ind w:left="720" w:firstLine="720"/>
        <w:jc w:val="both"/>
      </w:pPr>
      <w:r>
        <w:lastRenderedPageBreak/>
        <w:t>(a)</w:t>
      </w:r>
      <w:r>
        <w:tab/>
        <w:t>the State’s Smarter Balanced Assessments, composed of (i) summative assessments in English language arts (“ELA”) and mathematics for grades 3 to 8 inclusive, and grade 11, (ii) interim assessments to monitor student progress toward mastery of the Common Core State Standards in ELA and mathematics, and (iii) a “Digital Library” consisting of tools and practices designed to help teachers utilize formative assessment processes for improved teaching and learning;</w:t>
      </w:r>
    </w:p>
    <w:p w14:paraId="1AE027CA" w14:textId="77777777" w:rsidR="007B49E3" w:rsidRDefault="007B49E3" w:rsidP="007B49E3">
      <w:pPr>
        <w:spacing w:after="240"/>
        <w:ind w:left="720" w:firstLine="720"/>
        <w:jc w:val="both"/>
      </w:pPr>
      <w:r>
        <w:t>(b)</w:t>
      </w:r>
      <w:r>
        <w:tab/>
        <w:t>alternate assessments for ELA and mathematics in grades 3 through 8 and 11, that are based on alternate achievement standards and aligned with the Common Core State Standards for students with significant cognitive disabilities;</w:t>
      </w:r>
    </w:p>
    <w:p w14:paraId="24632CB4" w14:textId="77777777" w:rsidR="007B49E3" w:rsidRDefault="007B49E3" w:rsidP="007B49E3">
      <w:pPr>
        <w:spacing w:after="240"/>
        <w:ind w:left="720" w:firstLine="720"/>
        <w:jc w:val="both"/>
      </w:pPr>
      <w:r>
        <w:t>(c)</w:t>
      </w:r>
      <w:r>
        <w:tab/>
        <w:t xml:space="preserve">science assessments in grades 5, 8, and 10, measuring specified content standards, currently composed of (i) the California Standards Test (“CST”) for students in public schools, (ii) the California Modified Assessment (“CMA”) for students with an individualized education program, and the (iii) California Alternate Performance Assessment (“CAPA”) for students with significant cognitive disabilities; and </w:t>
      </w:r>
    </w:p>
    <w:p w14:paraId="0BB6B156" w14:textId="77777777" w:rsidR="007B49E3" w:rsidRDefault="007B49E3" w:rsidP="007B49E3">
      <w:pPr>
        <w:spacing w:after="240"/>
        <w:ind w:left="720" w:firstLine="720"/>
        <w:jc w:val="both"/>
      </w:pPr>
      <w:r>
        <w:t>(d)</w:t>
      </w:r>
      <w:r>
        <w:tab/>
        <w:t xml:space="preserve">the Standards-based Tests in Spanish (“STS”), which are multiple-choice tests that allow Spanish-speaking English learners in grades 2 through 11 to demonstrate their knowledge of California content standards by taking a reading/language arts (“RLA”) assessment in their primary language.  </w:t>
      </w:r>
    </w:p>
    <w:p w14:paraId="7ABDEFB4" w14:textId="6A17F7E4" w:rsidR="007B49E3" w:rsidRDefault="007B49E3" w:rsidP="007B49E3">
      <w:pPr>
        <w:spacing w:after="240"/>
        <w:ind w:firstLine="720"/>
        <w:jc w:val="both"/>
        <w:rPr>
          <w:i/>
          <w:sz w:val="18"/>
          <w:szCs w:val="18"/>
        </w:rPr>
      </w:pPr>
      <w:r>
        <w:t xml:space="preserve">The following figure summarizes the performance of the School on CAASPP Smarter Balanced Assessments for ELA and mathematics in 2018-19 and 2020-21, compared against results for students in grades 7, 8 and 11 in Hesperia USD.  Due to the outbreak of COVID-19, the State suspended the administration of the Smarter Balanced Assessments for the 2019-20 school year.  </w:t>
      </w:r>
    </w:p>
    <w:p w14:paraId="762A4E60" w14:textId="136EEB8D" w:rsidR="007B49E3" w:rsidRDefault="007B49E3" w:rsidP="007B49E3">
      <w:pPr>
        <w:keepNext/>
        <w:jc w:val="center"/>
        <w:rPr>
          <w:b/>
          <w:noProof/>
          <w:sz w:val="20"/>
        </w:rPr>
      </w:pPr>
      <w:r>
        <w:rPr>
          <w:b/>
          <w:noProof/>
          <w:sz w:val="20"/>
        </w:rPr>
        <w:lastRenderedPageBreak/>
        <w:t>FIGURE 1</w:t>
      </w:r>
    </w:p>
    <w:p w14:paraId="500DAEBD" w14:textId="77777777" w:rsidR="007B49E3" w:rsidRPr="006905DE" w:rsidRDefault="007B49E3" w:rsidP="007B49E3">
      <w:pPr>
        <w:keepNext/>
        <w:jc w:val="center"/>
        <w:rPr>
          <w:b/>
          <w:noProof/>
          <w:sz w:val="20"/>
        </w:rPr>
      </w:pPr>
      <w:r w:rsidRPr="006905DE">
        <w:rPr>
          <w:b/>
          <w:noProof/>
          <w:sz w:val="20"/>
        </w:rPr>
        <w:t>SMARTER BALANCED ASSESSMENTS CONSORTIUM (SBAC) RESULTS</w:t>
      </w:r>
    </w:p>
    <w:p w14:paraId="37F557DC" w14:textId="77777777" w:rsidR="007B49E3" w:rsidRPr="006905DE" w:rsidRDefault="007B49E3" w:rsidP="007B49E3">
      <w:pPr>
        <w:keepNext/>
        <w:jc w:val="center"/>
        <w:rPr>
          <w:b/>
          <w:noProof/>
          <w:sz w:val="20"/>
        </w:rPr>
      </w:pPr>
      <w:r w:rsidRPr="006905DE">
        <w:rPr>
          <w:b/>
          <w:noProof/>
          <w:sz w:val="20"/>
        </w:rPr>
        <w:t>Percent of Students Met or Exceeded Standard</w:t>
      </w:r>
      <w:r w:rsidRPr="006905DE">
        <w:rPr>
          <w:b/>
          <w:noProof/>
          <w:sz w:val="20"/>
          <w:vertAlign w:val="superscript"/>
        </w:rPr>
        <w:t>(1)</w:t>
      </w:r>
    </w:p>
    <w:p w14:paraId="5A386C89" w14:textId="6DCF6AFD" w:rsidR="007B49E3" w:rsidRPr="006905DE" w:rsidRDefault="007B49E3" w:rsidP="007B49E3">
      <w:pPr>
        <w:keepNext/>
        <w:spacing w:after="120"/>
        <w:jc w:val="center"/>
        <w:rPr>
          <w:noProof/>
          <w:sz w:val="20"/>
        </w:rPr>
      </w:pPr>
      <w:r>
        <w:rPr>
          <w:noProof/>
          <w:sz w:val="20"/>
        </w:rPr>
        <w:t xml:space="preserve">The School and Hesperia USD </w:t>
      </w:r>
      <w:r>
        <w:rPr>
          <w:noProof/>
          <w:sz w:val="20"/>
        </w:rPr>
        <w:br/>
        <w:t>2018-19 and 2020-21</w:t>
      </w:r>
    </w:p>
    <w:p w14:paraId="41A8A6E6" w14:textId="77777777" w:rsidR="007B49E3" w:rsidRDefault="007B49E3" w:rsidP="007B49E3">
      <w:pPr>
        <w:keepNext/>
        <w:spacing w:after="120"/>
        <w:jc w:val="center"/>
        <w:rPr>
          <w:b/>
          <w:noProof/>
          <w:sz w:val="20"/>
        </w:rPr>
      </w:pPr>
      <w:r>
        <w:rPr>
          <w:b/>
          <w:noProof/>
          <w:sz w:val="20"/>
        </w:rPr>
        <w:t>English Language</w:t>
      </w:r>
      <w:r w:rsidRPr="00C75DC6">
        <w:rPr>
          <w:b/>
          <w:noProof/>
          <w:sz w:val="20"/>
        </w:rPr>
        <w:t>Arts</w:t>
      </w:r>
    </w:p>
    <w:p w14:paraId="7E17AB4E" w14:textId="10B97203" w:rsidR="007B49E3" w:rsidRDefault="00B142B0" w:rsidP="007B49E3">
      <w:pPr>
        <w:keepNext/>
        <w:spacing w:after="240"/>
        <w:jc w:val="center"/>
      </w:pPr>
      <w:r>
        <w:rPr>
          <w:noProof/>
        </w:rPr>
        <w:drawing>
          <wp:inline distT="0" distB="0" distL="0" distR="0" wp14:anchorId="35579763" wp14:editId="5EA8228C">
            <wp:extent cx="4536141" cy="2743200"/>
            <wp:effectExtent l="0" t="0" r="0" b="0"/>
            <wp:docPr id="16" name="Chart 16">
              <a:extLst xmlns:a="http://schemas.openxmlformats.org/drawingml/2006/main">
                <a:ext uri="{FF2B5EF4-FFF2-40B4-BE49-F238E27FC236}">
                  <a16:creationId xmlns:a16="http://schemas.microsoft.com/office/drawing/2014/main" id="{E8BF42FB-200D-4129-A035-3E4DD42C41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13C2CC" w14:textId="77777777" w:rsidR="007B49E3" w:rsidRPr="00C75DC6" w:rsidRDefault="007B49E3" w:rsidP="007B49E3">
      <w:pPr>
        <w:keepNext/>
        <w:jc w:val="center"/>
        <w:rPr>
          <w:b/>
          <w:noProof/>
          <w:sz w:val="20"/>
        </w:rPr>
      </w:pPr>
      <w:r w:rsidRPr="00C75DC6">
        <w:rPr>
          <w:b/>
          <w:noProof/>
          <w:sz w:val="20"/>
        </w:rPr>
        <w:t>Mathematics</w:t>
      </w:r>
    </w:p>
    <w:p w14:paraId="2A2508DE" w14:textId="0F09AE40" w:rsidR="007B49E3" w:rsidRDefault="00B142B0" w:rsidP="007B49E3">
      <w:pPr>
        <w:keepNext/>
        <w:jc w:val="center"/>
      </w:pPr>
      <w:r>
        <w:rPr>
          <w:noProof/>
        </w:rPr>
        <w:drawing>
          <wp:inline distT="0" distB="0" distL="0" distR="0" wp14:anchorId="016E81C7" wp14:editId="07756F6F">
            <wp:extent cx="4540624" cy="2743200"/>
            <wp:effectExtent l="0" t="0" r="0" b="0"/>
            <wp:docPr id="17" name="Chart 17">
              <a:extLst xmlns:a="http://schemas.openxmlformats.org/drawingml/2006/main">
                <a:ext uri="{FF2B5EF4-FFF2-40B4-BE49-F238E27FC236}">
                  <a16:creationId xmlns:a16="http://schemas.microsoft.com/office/drawing/2014/main" id="{75787361-2674-4780-BB91-DFCC39DE0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D1F0C2" w14:textId="77777777" w:rsidR="007B49E3" w:rsidRDefault="007B49E3" w:rsidP="007B49E3">
      <w:pPr>
        <w:keepNext/>
        <w:rPr>
          <w:sz w:val="18"/>
          <w:szCs w:val="18"/>
        </w:rPr>
      </w:pPr>
      <w:r>
        <w:rPr>
          <w:sz w:val="18"/>
          <w:szCs w:val="18"/>
          <w:u w:val="single"/>
        </w:rPr>
        <w:tab/>
      </w:r>
      <w:r>
        <w:rPr>
          <w:sz w:val="18"/>
          <w:szCs w:val="18"/>
          <w:u w:val="single"/>
        </w:rPr>
        <w:tab/>
      </w:r>
      <w:r>
        <w:rPr>
          <w:sz w:val="18"/>
          <w:szCs w:val="18"/>
          <w:u w:val="single"/>
        </w:rPr>
        <w:tab/>
      </w:r>
    </w:p>
    <w:p w14:paraId="360E2096" w14:textId="104CC367" w:rsidR="007B49E3" w:rsidRDefault="007B49E3" w:rsidP="007B49E3">
      <w:pPr>
        <w:keepNext/>
        <w:tabs>
          <w:tab w:val="left" w:pos="360"/>
        </w:tabs>
        <w:ind w:left="360" w:hanging="360"/>
        <w:jc w:val="both"/>
        <w:rPr>
          <w:sz w:val="18"/>
          <w:szCs w:val="18"/>
        </w:rPr>
      </w:pPr>
      <w:r>
        <w:rPr>
          <w:sz w:val="18"/>
          <w:szCs w:val="18"/>
          <w:vertAlign w:val="superscript"/>
        </w:rPr>
        <w:t>(1)</w:t>
      </w:r>
      <w:r>
        <w:rPr>
          <w:sz w:val="18"/>
          <w:szCs w:val="18"/>
        </w:rPr>
        <w:tab/>
        <w:t xml:space="preserve">Percentages shown are sums of percentages of students </w:t>
      </w:r>
      <w:r w:rsidR="00B142B0">
        <w:rPr>
          <w:sz w:val="18"/>
          <w:szCs w:val="18"/>
        </w:rPr>
        <w:t xml:space="preserve">in grades 7, 8 and 11 </w:t>
      </w:r>
      <w:r>
        <w:rPr>
          <w:sz w:val="18"/>
          <w:szCs w:val="18"/>
        </w:rPr>
        <w:t xml:space="preserve">indicated as “Standards Met” and “Standards Exceeded” in Smarter Balanced Assessment results for the 2018-19 and 2020-21 school years. </w:t>
      </w:r>
    </w:p>
    <w:p w14:paraId="5704F9BA" w14:textId="77777777" w:rsidR="007B49E3" w:rsidRDefault="007B49E3" w:rsidP="007B49E3">
      <w:pPr>
        <w:tabs>
          <w:tab w:val="left" w:pos="270"/>
        </w:tabs>
        <w:spacing w:after="240"/>
        <w:rPr>
          <w:i/>
          <w:sz w:val="18"/>
          <w:szCs w:val="18"/>
        </w:rPr>
      </w:pPr>
      <w:r>
        <w:rPr>
          <w:i/>
          <w:sz w:val="18"/>
          <w:szCs w:val="18"/>
        </w:rPr>
        <w:t>Source:  California Department of Education.</w:t>
      </w:r>
    </w:p>
    <w:p w14:paraId="7E7D092D" w14:textId="1C8DBEF4" w:rsidR="00961960" w:rsidRDefault="00961960" w:rsidP="00961960">
      <w:pPr>
        <w:keepNext/>
        <w:keepLines/>
        <w:spacing w:after="240"/>
        <w:ind w:firstLine="720"/>
        <w:jc w:val="both"/>
      </w:pPr>
      <w:r>
        <w:rPr>
          <w:b/>
          <w:i/>
        </w:rPr>
        <w:lastRenderedPageBreak/>
        <w:t xml:space="preserve">California School Dashboard.  </w:t>
      </w:r>
      <w:r>
        <w:t>The California State Board of Education (“SBE”) has adopted an integrated accountability and continuous improvement system (the “Accountability System”) that is used to evaluate local education agency (“LEA”) and school performance in areas critical to students’ preparedness for college and career.  The Accountability System is aligned to both (i) the LCFF priority areas, as required under State law, and (ii) accountability measures required under the provisions of the federal Every Student Succeeds Act.  Performance by individual LEAs and schools under the Accountability System is reported through the State’s California School Dashboard (the “Dashboard”).</w:t>
      </w:r>
    </w:p>
    <w:p w14:paraId="1DD60DAB" w14:textId="77777777" w:rsidR="00961960" w:rsidRDefault="00961960" w:rsidP="00961960">
      <w:pPr>
        <w:keepNext/>
        <w:spacing w:after="240"/>
        <w:ind w:firstLine="720"/>
        <w:jc w:val="both"/>
      </w:pPr>
      <w:r>
        <w:t xml:space="preserve">The Accountability System measures performance in the following priority areas using various state and local indicators: </w:t>
      </w:r>
    </w:p>
    <w:tbl>
      <w:tblPr>
        <w:tblStyle w:val="TableGrid"/>
        <w:tblW w:w="0" w:type="auto"/>
        <w:jc w:val="center"/>
        <w:tblLook w:val="04A0" w:firstRow="1" w:lastRow="0" w:firstColumn="1" w:lastColumn="0" w:noHBand="0" w:noVBand="1"/>
      </w:tblPr>
      <w:tblGrid>
        <w:gridCol w:w="2187"/>
        <w:gridCol w:w="2736"/>
        <w:gridCol w:w="3897"/>
      </w:tblGrid>
      <w:tr w:rsidR="00961960" w14:paraId="0D052309"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hideMark/>
          </w:tcPr>
          <w:p w14:paraId="37D71896" w14:textId="77777777" w:rsidR="00961960" w:rsidRDefault="00961960" w:rsidP="00C634FA">
            <w:pPr>
              <w:keepNext/>
              <w:jc w:val="center"/>
              <w:rPr>
                <w:b/>
                <w:sz w:val="20"/>
              </w:rPr>
            </w:pPr>
            <w:r>
              <w:rPr>
                <w:b/>
                <w:sz w:val="20"/>
              </w:rPr>
              <w:t>Priority Areas</w:t>
            </w:r>
          </w:p>
        </w:tc>
        <w:tc>
          <w:tcPr>
            <w:tcW w:w="2736" w:type="dxa"/>
            <w:tcBorders>
              <w:top w:val="single" w:sz="4" w:space="0" w:color="auto"/>
              <w:left w:val="single" w:sz="4" w:space="0" w:color="auto"/>
              <w:bottom w:val="single" w:sz="4" w:space="0" w:color="auto"/>
              <w:right w:val="single" w:sz="4" w:space="0" w:color="auto"/>
            </w:tcBorders>
            <w:hideMark/>
          </w:tcPr>
          <w:p w14:paraId="51D70690" w14:textId="77777777" w:rsidR="00961960" w:rsidRDefault="00961960" w:rsidP="00C634FA">
            <w:pPr>
              <w:keepNext/>
              <w:jc w:val="center"/>
              <w:rPr>
                <w:b/>
                <w:sz w:val="20"/>
              </w:rPr>
            </w:pPr>
            <w:r>
              <w:rPr>
                <w:b/>
                <w:sz w:val="20"/>
              </w:rPr>
              <w:t>State Indicator</w:t>
            </w:r>
          </w:p>
        </w:tc>
        <w:tc>
          <w:tcPr>
            <w:tcW w:w="3897" w:type="dxa"/>
            <w:tcBorders>
              <w:top w:val="single" w:sz="4" w:space="0" w:color="auto"/>
              <w:left w:val="single" w:sz="4" w:space="0" w:color="auto"/>
              <w:bottom w:val="single" w:sz="4" w:space="0" w:color="auto"/>
              <w:right w:val="single" w:sz="4" w:space="0" w:color="auto"/>
            </w:tcBorders>
            <w:hideMark/>
          </w:tcPr>
          <w:p w14:paraId="41239482" w14:textId="77777777" w:rsidR="00961960" w:rsidRDefault="00961960" w:rsidP="00C634FA">
            <w:pPr>
              <w:keepNext/>
              <w:jc w:val="center"/>
              <w:rPr>
                <w:b/>
                <w:sz w:val="20"/>
              </w:rPr>
            </w:pPr>
            <w:r>
              <w:rPr>
                <w:b/>
                <w:sz w:val="20"/>
              </w:rPr>
              <w:t>Local Indicator</w:t>
            </w:r>
          </w:p>
        </w:tc>
      </w:tr>
      <w:tr w:rsidR="00961960" w14:paraId="02C380A8"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191DC1A6" w14:textId="77777777" w:rsidR="00961960" w:rsidRDefault="00961960" w:rsidP="00C634FA">
            <w:pPr>
              <w:keepNext/>
              <w:spacing w:before="60"/>
              <w:rPr>
                <w:sz w:val="20"/>
              </w:rPr>
            </w:pPr>
            <w:r>
              <w:rPr>
                <w:sz w:val="20"/>
              </w:rPr>
              <w:t>Basic Services or Basic Condition at schools</w:t>
            </w:r>
          </w:p>
        </w:tc>
        <w:tc>
          <w:tcPr>
            <w:tcW w:w="2736" w:type="dxa"/>
            <w:tcBorders>
              <w:top w:val="single" w:sz="4" w:space="0" w:color="auto"/>
              <w:left w:val="single" w:sz="4" w:space="0" w:color="auto"/>
              <w:bottom w:val="single" w:sz="4" w:space="0" w:color="auto"/>
              <w:right w:val="single" w:sz="4" w:space="0" w:color="auto"/>
            </w:tcBorders>
            <w:vAlign w:val="center"/>
            <w:hideMark/>
          </w:tcPr>
          <w:p w14:paraId="259ACBAE" w14:textId="77777777" w:rsidR="00961960" w:rsidRDefault="00961960" w:rsidP="00C634FA">
            <w:pPr>
              <w:keepNext/>
              <w:spacing w:before="60"/>
              <w:jc w:val="center"/>
              <w:rPr>
                <w:sz w:val="20"/>
              </w:rPr>
            </w:pPr>
            <w:r>
              <w:rPr>
                <w:sz w:val="20"/>
              </w:rPr>
              <w:t>N/A</w:t>
            </w:r>
          </w:p>
        </w:tc>
        <w:tc>
          <w:tcPr>
            <w:tcW w:w="3897" w:type="dxa"/>
            <w:tcBorders>
              <w:top w:val="single" w:sz="4" w:space="0" w:color="auto"/>
              <w:left w:val="single" w:sz="4" w:space="0" w:color="auto"/>
              <w:bottom w:val="single" w:sz="4" w:space="0" w:color="auto"/>
              <w:right w:val="single" w:sz="4" w:space="0" w:color="auto"/>
            </w:tcBorders>
            <w:hideMark/>
          </w:tcPr>
          <w:p w14:paraId="3E84ABE7" w14:textId="77777777" w:rsidR="00961960" w:rsidRDefault="00961960" w:rsidP="00C634FA">
            <w:pPr>
              <w:keepNext/>
              <w:spacing w:before="60"/>
              <w:rPr>
                <w:sz w:val="20"/>
              </w:rPr>
            </w:pPr>
            <w:r w:rsidRPr="00124436">
              <w:rPr>
                <w:sz w:val="20"/>
              </w:rPr>
              <w:t>Appropriately assigned</w:t>
            </w:r>
            <w:r>
              <w:rPr>
                <w:sz w:val="20"/>
              </w:rPr>
              <w:t xml:space="preserve"> </w:t>
            </w:r>
            <w:r w:rsidRPr="00124436">
              <w:rPr>
                <w:sz w:val="20"/>
              </w:rPr>
              <w:t>teachers, access to</w:t>
            </w:r>
            <w:r>
              <w:rPr>
                <w:sz w:val="20"/>
              </w:rPr>
              <w:t xml:space="preserve"> </w:t>
            </w:r>
            <w:r w:rsidRPr="00124436">
              <w:rPr>
                <w:sz w:val="20"/>
              </w:rPr>
              <w:t>curriculum-aligned</w:t>
            </w:r>
            <w:r>
              <w:rPr>
                <w:sz w:val="20"/>
              </w:rPr>
              <w:t xml:space="preserve"> </w:t>
            </w:r>
            <w:r w:rsidRPr="00124436">
              <w:rPr>
                <w:sz w:val="20"/>
              </w:rPr>
              <w:t>instructional materials, and</w:t>
            </w:r>
            <w:r>
              <w:rPr>
                <w:sz w:val="20"/>
              </w:rPr>
              <w:t xml:space="preserve"> </w:t>
            </w:r>
            <w:r w:rsidRPr="00124436">
              <w:rPr>
                <w:sz w:val="20"/>
              </w:rPr>
              <w:t>safe, clean and functional</w:t>
            </w:r>
            <w:r>
              <w:rPr>
                <w:sz w:val="20"/>
              </w:rPr>
              <w:t xml:space="preserve"> school facilities</w:t>
            </w:r>
          </w:p>
        </w:tc>
      </w:tr>
      <w:tr w:rsidR="00961960" w14:paraId="5D04BB86"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212B684D" w14:textId="77777777" w:rsidR="00961960" w:rsidRDefault="00961960" w:rsidP="00C634FA">
            <w:pPr>
              <w:keepNext/>
              <w:spacing w:before="60"/>
              <w:rPr>
                <w:sz w:val="20"/>
              </w:rPr>
            </w:pPr>
            <w:r>
              <w:rPr>
                <w:sz w:val="20"/>
              </w:rPr>
              <w:t>Implementation of State Academic Standards</w:t>
            </w:r>
          </w:p>
        </w:tc>
        <w:tc>
          <w:tcPr>
            <w:tcW w:w="2736" w:type="dxa"/>
            <w:tcBorders>
              <w:top w:val="single" w:sz="4" w:space="0" w:color="auto"/>
              <w:left w:val="single" w:sz="4" w:space="0" w:color="auto"/>
              <w:bottom w:val="single" w:sz="4" w:space="0" w:color="auto"/>
              <w:right w:val="single" w:sz="4" w:space="0" w:color="auto"/>
            </w:tcBorders>
            <w:vAlign w:val="center"/>
            <w:hideMark/>
          </w:tcPr>
          <w:p w14:paraId="194D1F74" w14:textId="77777777" w:rsidR="00961960" w:rsidRDefault="00961960" w:rsidP="00C634FA">
            <w:pPr>
              <w:keepNext/>
              <w:spacing w:before="60"/>
              <w:jc w:val="center"/>
              <w:rPr>
                <w:sz w:val="20"/>
              </w:rPr>
            </w:pPr>
            <w:r>
              <w:rPr>
                <w:sz w:val="20"/>
              </w:rPr>
              <w:t>N/A</w:t>
            </w:r>
          </w:p>
        </w:tc>
        <w:tc>
          <w:tcPr>
            <w:tcW w:w="3897" w:type="dxa"/>
            <w:tcBorders>
              <w:top w:val="single" w:sz="4" w:space="0" w:color="auto"/>
              <w:left w:val="single" w:sz="4" w:space="0" w:color="auto"/>
              <w:bottom w:val="single" w:sz="4" w:space="0" w:color="auto"/>
              <w:right w:val="single" w:sz="4" w:space="0" w:color="auto"/>
            </w:tcBorders>
            <w:hideMark/>
          </w:tcPr>
          <w:p w14:paraId="3EBC6894" w14:textId="77777777" w:rsidR="00961960" w:rsidRDefault="00961960" w:rsidP="00C634FA">
            <w:pPr>
              <w:keepNext/>
              <w:spacing w:before="60"/>
              <w:rPr>
                <w:sz w:val="20"/>
              </w:rPr>
            </w:pPr>
            <w:r w:rsidRPr="00124436">
              <w:rPr>
                <w:sz w:val="20"/>
              </w:rPr>
              <w:t>Progress in implementing state</w:t>
            </w:r>
            <w:r>
              <w:rPr>
                <w:sz w:val="20"/>
              </w:rPr>
              <w:t xml:space="preserve"> academic standards</w:t>
            </w:r>
          </w:p>
        </w:tc>
      </w:tr>
      <w:tr w:rsidR="00961960" w14:paraId="5947B259"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199AE1A4" w14:textId="77777777" w:rsidR="00961960" w:rsidRDefault="00961960" w:rsidP="00C634FA">
            <w:pPr>
              <w:keepNext/>
              <w:spacing w:before="60"/>
              <w:rPr>
                <w:sz w:val="20"/>
              </w:rPr>
            </w:pPr>
            <w:r>
              <w:rPr>
                <w:sz w:val="20"/>
              </w:rPr>
              <w:t>Parent Engagement</w:t>
            </w:r>
          </w:p>
        </w:tc>
        <w:tc>
          <w:tcPr>
            <w:tcW w:w="2736" w:type="dxa"/>
            <w:tcBorders>
              <w:top w:val="single" w:sz="4" w:space="0" w:color="auto"/>
              <w:left w:val="single" w:sz="4" w:space="0" w:color="auto"/>
              <w:bottom w:val="single" w:sz="4" w:space="0" w:color="auto"/>
              <w:right w:val="single" w:sz="4" w:space="0" w:color="auto"/>
            </w:tcBorders>
            <w:vAlign w:val="center"/>
            <w:hideMark/>
          </w:tcPr>
          <w:p w14:paraId="65CF21E0" w14:textId="77777777" w:rsidR="00961960" w:rsidRDefault="00961960" w:rsidP="00C634FA">
            <w:pPr>
              <w:keepNext/>
              <w:spacing w:before="60"/>
              <w:jc w:val="center"/>
              <w:rPr>
                <w:sz w:val="20"/>
              </w:rPr>
            </w:pPr>
            <w:r>
              <w:rPr>
                <w:sz w:val="20"/>
              </w:rPr>
              <w:t>N/A</w:t>
            </w:r>
          </w:p>
        </w:tc>
        <w:tc>
          <w:tcPr>
            <w:tcW w:w="3897" w:type="dxa"/>
            <w:tcBorders>
              <w:top w:val="single" w:sz="4" w:space="0" w:color="auto"/>
              <w:left w:val="single" w:sz="4" w:space="0" w:color="auto"/>
              <w:bottom w:val="single" w:sz="4" w:space="0" w:color="auto"/>
              <w:right w:val="single" w:sz="4" w:space="0" w:color="auto"/>
            </w:tcBorders>
            <w:hideMark/>
          </w:tcPr>
          <w:p w14:paraId="56536B49" w14:textId="77777777" w:rsidR="00961960" w:rsidRDefault="00961960" w:rsidP="00C634FA">
            <w:pPr>
              <w:keepNext/>
              <w:spacing w:before="60"/>
              <w:rPr>
                <w:sz w:val="20"/>
              </w:rPr>
            </w:pPr>
            <w:r w:rsidRPr="00124436">
              <w:rPr>
                <w:sz w:val="20"/>
              </w:rPr>
              <w:t>Progress in seeking input from</w:t>
            </w:r>
            <w:r>
              <w:rPr>
                <w:sz w:val="20"/>
              </w:rPr>
              <w:t xml:space="preserve"> </w:t>
            </w:r>
            <w:r w:rsidRPr="00124436">
              <w:rPr>
                <w:sz w:val="20"/>
              </w:rPr>
              <w:t>parents in decision making and</w:t>
            </w:r>
            <w:r>
              <w:rPr>
                <w:sz w:val="20"/>
              </w:rPr>
              <w:t xml:space="preserve"> </w:t>
            </w:r>
            <w:r w:rsidRPr="00124436">
              <w:rPr>
                <w:sz w:val="20"/>
              </w:rPr>
              <w:t>promoting parental participation</w:t>
            </w:r>
            <w:r>
              <w:rPr>
                <w:sz w:val="20"/>
              </w:rPr>
              <w:t xml:space="preserve"> </w:t>
            </w:r>
            <w:r w:rsidRPr="00124436">
              <w:rPr>
                <w:sz w:val="20"/>
              </w:rPr>
              <w:t>in programs</w:t>
            </w:r>
          </w:p>
        </w:tc>
      </w:tr>
      <w:tr w:rsidR="00961960" w14:paraId="0D8AABF4"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2E91F093" w14:textId="77777777" w:rsidR="00961960" w:rsidRDefault="00961960" w:rsidP="00C634FA">
            <w:pPr>
              <w:keepNext/>
              <w:spacing w:before="60"/>
              <w:rPr>
                <w:sz w:val="20"/>
              </w:rPr>
            </w:pPr>
            <w:r>
              <w:rPr>
                <w:sz w:val="20"/>
              </w:rPr>
              <w:t>Student Achievement</w:t>
            </w:r>
          </w:p>
        </w:tc>
        <w:tc>
          <w:tcPr>
            <w:tcW w:w="2736" w:type="dxa"/>
            <w:tcBorders>
              <w:top w:val="single" w:sz="4" w:space="0" w:color="auto"/>
              <w:left w:val="single" w:sz="4" w:space="0" w:color="auto"/>
              <w:bottom w:val="single" w:sz="4" w:space="0" w:color="auto"/>
              <w:right w:val="single" w:sz="4" w:space="0" w:color="auto"/>
            </w:tcBorders>
            <w:hideMark/>
          </w:tcPr>
          <w:p w14:paraId="2FC714FD" w14:textId="77777777" w:rsidR="00961960" w:rsidRDefault="00961960" w:rsidP="00961960">
            <w:pPr>
              <w:keepNext/>
              <w:numPr>
                <w:ilvl w:val="0"/>
                <w:numId w:val="27"/>
              </w:numPr>
              <w:spacing w:before="60"/>
              <w:ind w:left="198" w:hanging="180"/>
              <w:rPr>
                <w:sz w:val="20"/>
              </w:rPr>
            </w:pPr>
            <w:r>
              <w:rPr>
                <w:sz w:val="20"/>
              </w:rPr>
              <w:t xml:space="preserve">Academic Performance (Grades 3-8 and Grade 11); </w:t>
            </w:r>
          </w:p>
          <w:p w14:paraId="037D02BC" w14:textId="77777777" w:rsidR="00961960" w:rsidRDefault="00961960" w:rsidP="00961960">
            <w:pPr>
              <w:keepNext/>
              <w:numPr>
                <w:ilvl w:val="0"/>
                <w:numId w:val="27"/>
              </w:numPr>
              <w:spacing w:before="60"/>
              <w:ind w:left="198" w:hanging="180"/>
              <w:rPr>
                <w:sz w:val="20"/>
              </w:rPr>
            </w:pPr>
            <w:r>
              <w:rPr>
                <w:sz w:val="20"/>
              </w:rPr>
              <w:t xml:space="preserve">English Learners Progress </w:t>
            </w:r>
          </w:p>
        </w:tc>
        <w:tc>
          <w:tcPr>
            <w:tcW w:w="3897" w:type="dxa"/>
            <w:tcBorders>
              <w:top w:val="single" w:sz="4" w:space="0" w:color="auto"/>
              <w:left w:val="single" w:sz="4" w:space="0" w:color="auto"/>
              <w:bottom w:val="single" w:sz="4" w:space="0" w:color="auto"/>
              <w:right w:val="single" w:sz="4" w:space="0" w:color="auto"/>
            </w:tcBorders>
            <w:vAlign w:val="center"/>
            <w:hideMark/>
          </w:tcPr>
          <w:p w14:paraId="6DDE8B16" w14:textId="77777777" w:rsidR="00961960" w:rsidRDefault="00961960" w:rsidP="00C634FA">
            <w:pPr>
              <w:keepNext/>
              <w:spacing w:before="60"/>
              <w:jc w:val="center"/>
              <w:rPr>
                <w:sz w:val="20"/>
              </w:rPr>
            </w:pPr>
            <w:r>
              <w:rPr>
                <w:sz w:val="20"/>
              </w:rPr>
              <w:t>N/A</w:t>
            </w:r>
          </w:p>
        </w:tc>
      </w:tr>
      <w:tr w:rsidR="00961960" w14:paraId="40BD7D0C"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1BF364EB" w14:textId="77777777" w:rsidR="00961960" w:rsidRDefault="00961960" w:rsidP="00C634FA">
            <w:pPr>
              <w:keepNext/>
              <w:spacing w:before="60"/>
              <w:rPr>
                <w:sz w:val="20"/>
              </w:rPr>
            </w:pPr>
            <w:r>
              <w:rPr>
                <w:sz w:val="20"/>
              </w:rPr>
              <w:t>Student Engagement</w:t>
            </w:r>
          </w:p>
        </w:tc>
        <w:tc>
          <w:tcPr>
            <w:tcW w:w="2736" w:type="dxa"/>
            <w:tcBorders>
              <w:top w:val="single" w:sz="4" w:space="0" w:color="auto"/>
              <w:left w:val="single" w:sz="4" w:space="0" w:color="auto"/>
              <w:bottom w:val="single" w:sz="4" w:space="0" w:color="auto"/>
              <w:right w:val="single" w:sz="4" w:space="0" w:color="auto"/>
            </w:tcBorders>
            <w:hideMark/>
          </w:tcPr>
          <w:p w14:paraId="63734477" w14:textId="77777777" w:rsidR="00961960" w:rsidRDefault="00961960" w:rsidP="00961960">
            <w:pPr>
              <w:keepNext/>
              <w:numPr>
                <w:ilvl w:val="0"/>
                <w:numId w:val="28"/>
              </w:numPr>
              <w:spacing w:before="60"/>
              <w:ind w:left="198" w:hanging="180"/>
              <w:rPr>
                <w:sz w:val="20"/>
              </w:rPr>
            </w:pPr>
            <w:r>
              <w:rPr>
                <w:sz w:val="20"/>
              </w:rPr>
              <w:t xml:space="preserve">Graduation Rate; </w:t>
            </w:r>
          </w:p>
          <w:p w14:paraId="581672CE" w14:textId="77777777" w:rsidR="00961960" w:rsidRDefault="00961960" w:rsidP="00961960">
            <w:pPr>
              <w:keepNext/>
              <w:numPr>
                <w:ilvl w:val="0"/>
                <w:numId w:val="28"/>
              </w:numPr>
              <w:spacing w:before="60"/>
              <w:ind w:left="198" w:hanging="180"/>
              <w:rPr>
                <w:sz w:val="20"/>
              </w:rPr>
            </w:pPr>
            <w:r>
              <w:rPr>
                <w:sz w:val="20"/>
              </w:rPr>
              <w:t xml:space="preserve">Chronic Absenteeism </w:t>
            </w:r>
          </w:p>
        </w:tc>
        <w:tc>
          <w:tcPr>
            <w:tcW w:w="3897" w:type="dxa"/>
            <w:tcBorders>
              <w:top w:val="single" w:sz="4" w:space="0" w:color="auto"/>
              <w:left w:val="single" w:sz="4" w:space="0" w:color="auto"/>
              <w:bottom w:val="single" w:sz="4" w:space="0" w:color="auto"/>
              <w:right w:val="single" w:sz="4" w:space="0" w:color="auto"/>
            </w:tcBorders>
            <w:vAlign w:val="center"/>
            <w:hideMark/>
          </w:tcPr>
          <w:p w14:paraId="703F200D" w14:textId="77777777" w:rsidR="00961960" w:rsidRDefault="00961960" w:rsidP="00C634FA">
            <w:pPr>
              <w:keepNext/>
              <w:spacing w:before="60"/>
              <w:jc w:val="center"/>
              <w:rPr>
                <w:sz w:val="20"/>
              </w:rPr>
            </w:pPr>
            <w:r>
              <w:rPr>
                <w:sz w:val="20"/>
              </w:rPr>
              <w:t>N/A</w:t>
            </w:r>
          </w:p>
        </w:tc>
      </w:tr>
      <w:tr w:rsidR="00961960" w14:paraId="412D45A4"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4073059C" w14:textId="77777777" w:rsidR="00961960" w:rsidRDefault="00961960" w:rsidP="00C634FA">
            <w:pPr>
              <w:keepNext/>
              <w:spacing w:before="60"/>
              <w:rPr>
                <w:sz w:val="20"/>
              </w:rPr>
            </w:pPr>
            <w:r>
              <w:rPr>
                <w:sz w:val="20"/>
              </w:rPr>
              <w:t>School Climate</w:t>
            </w:r>
          </w:p>
        </w:tc>
        <w:tc>
          <w:tcPr>
            <w:tcW w:w="2736" w:type="dxa"/>
            <w:tcBorders>
              <w:top w:val="single" w:sz="4" w:space="0" w:color="auto"/>
              <w:left w:val="single" w:sz="4" w:space="0" w:color="auto"/>
              <w:bottom w:val="single" w:sz="4" w:space="0" w:color="auto"/>
              <w:right w:val="single" w:sz="4" w:space="0" w:color="auto"/>
            </w:tcBorders>
            <w:vAlign w:val="center"/>
            <w:hideMark/>
          </w:tcPr>
          <w:p w14:paraId="17AAF9C1" w14:textId="77777777" w:rsidR="00961960" w:rsidRDefault="00961960" w:rsidP="00C634FA">
            <w:pPr>
              <w:keepNext/>
              <w:spacing w:before="60"/>
              <w:rPr>
                <w:sz w:val="20"/>
              </w:rPr>
            </w:pPr>
            <w:r>
              <w:rPr>
                <w:sz w:val="20"/>
              </w:rPr>
              <w:t xml:space="preserve">Suspension Rate </w:t>
            </w:r>
          </w:p>
        </w:tc>
        <w:tc>
          <w:tcPr>
            <w:tcW w:w="3897" w:type="dxa"/>
            <w:tcBorders>
              <w:top w:val="single" w:sz="4" w:space="0" w:color="auto"/>
              <w:left w:val="single" w:sz="4" w:space="0" w:color="auto"/>
              <w:bottom w:val="single" w:sz="4" w:space="0" w:color="auto"/>
              <w:right w:val="single" w:sz="4" w:space="0" w:color="auto"/>
            </w:tcBorders>
            <w:vAlign w:val="center"/>
            <w:hideMark/>
          </w:tcPr>
          <w:p w14:paraId="153C30EA" w14:textId="77777777" w:rsidR="00961960" w:rsidRDefault="00961960" w:rsidP="00C634FA">
            <w:pPr>
              <w:keepNext/>
              <w:spacing w:before="60"/>
              <w:rPr>
                <w:sz w:val="20"/>
              </w:rPr>
            </w:pPr>
            <w:r w:rsidRPr="00124436">
              <w:rPr>
                <w:sz w:val="20"/>
              </w:rPr>
              <w:t>Administration of a local climate</w:t>
            </w:r>
            <w:r>
              <w:rPr>
                <w:sz w:val="20"/>
              </w:rPr>
              <w:t xml:space="preserve"> </w:t>
            </w:r>
            <w:r w:rsidRPr="00124436">
              <w:rPr>
                <w:sz w:val="20"/>
              </w:rPr>
              <w:t>survey at least every other year</w:t>
            </w:r>
            <w:r>
              <w:rPr>
                <w:sz w:val="20"/>
              </w:rPr>
              <w:t xml:space="preserve"> </w:t>
            </w:r>
            <w:r w:rsidRPr="00124436">
              <w:rPr>
                <w:sz w:val="20"/>
              </w:rPr>
              <w:t>that provides a valid measure of</w:t>
            </w:r>
            <w:r>
              <w:rPr>
                <w:sz w:val="20"/>
              </w:rPr>
              <w:t xml:space="preserve"> </w:t>
            </w:r>
            <w:r w:rsidRPr="00124436">
              <w:rPr>
                <w:sz w:val="20"/>
              </w:rPr>
              <w:t>perceptions of school safety and</w:t>
            </w:r>
            <w:r>
              <w:rPr>
                <w:sz w:val="20"/>
              </w:rPr>
              <w:t xml:space="preserve"> </w:t>
            </w:r>
            <w:r w:rsidRPr="00124436">
              <w:rPr>
                <w:sz w:val="20"/>
              </w:rPr>
              <w:t>connectedness to students in at</w:t>
            </w:r>
            <w:r>
              <w:rPr>
                <w:sz w:val="20"/>
              </w:rPr>
              <w:t xml:space="preserve"> </w:t>
            </w:r>
            <w:r w:rsidRPr="00124436">
              <w:rPr>
                <w:sz w:val="20"/>
              </w:rPr>
              <w:t>least one grade within the grade</w:t>
            </w:r>
            <w:r>
              <w:rPr>
                <w:sz w:val="20"/>
              </w:rPr>
              <w:t xml:space="preserve"> </w:t>
            </w:r>
            <w:r w:rsidRPr="00124436">
              <w:rPr>
                <w:sz w:val="20"/>
              </w:rPr>
              <w:t>span(s) that the LEA serves</w:t>
            </w:r>
            <w:r>
              <w:rPr>
                <w:sz w:val="20"/>
              </w:rPr>
              <w:t xml:space="preserve"> (e.g., K-5, 6-8, 9-12)</w:t>
            </w:r>
          </w:p>
        </w:tc>
      </w:tr>
      <w:tr w:rsidR="00961960" w14:paraId="61BABEEF" w14:textId="77777777" w:rsidTr="00C634FA">
        <w:trPr>
          <w:trHeight w:val="764"/>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00D58D1B" w14:textId="77777777" w:rsidR="00961960" w:rsidRDefault="00961960" w:rsidP="00C634FA">
            <w:pPr>
              <w:spacing w:before="60"/>
              <w:rPr>
                <w:sz w:val="20"/>
              </w:rPr>
            </w:pPr>
            <w:r>
              <w:rPr>
                <w:sz w:val="20"/>
              </w:rPr>
              <w:t>Access to a Broad Course of Study</w:t>
            </w:r>
          </w:p>
        </w:tc>
        <w:tc>
          <w:tcPr>
            <w:tcW w:w="2736" w:type="dxa"/>
            <w:tcBorders>
              <w:top w:val="single" w:sz="4" w:space="0" w:color="auto"/>
              <w:left w:val="single" w:sz="4" w:space="0" w:color="auto"/>
              <w:bottom w:val="single" w:sz="4" w:space="0" w:color="auto"/>
              <w:right w:val="single" w:sz="4" w:space="0" w:color="auto"/>
            </w:tcBorders>
            <w:vAlign w:val="center"/>
            <w:hideMark/>
          </w:tcPr>
          <w:p w14:paraId="1B930733" w14:textId="77777777" w:rsidR="00961960" w:rsidRDefault="00961960" w:rsidP="00C634FA">
            <w:pPr>
              <w:spacing w:before="60"/>
              <w:jc w:val="center"/>
              <w:rPr>
                <w:sz w:val="20"/>
              </w:rPr>
            </w:pPr>
            <w:r>
              <w:rPr>
                <w:sz w:val="20"/>
              </w:rPr>
              <w:t>N/A</w:t>
            </w:r>
          </w:p>
        </w:tc>
        <w:tc>
          <w:tcPr>
            <w:tcW w:w="3897" w:type="dxa"/>
            <w:tcBorders>
              <w:top w:val="single" w:sz="4" w:space="0" w:color="auto"/>
              <w:left w:val="single" w:sz="4" w:space="0" w:color="auto"/>
              <w:bottom w:val="single" w:sz="4" w:space="0" w:color="auto"/>
              <w:right w:val="single" w:sz="4" w:space="0" w:color="auto"/>
            </w:tcBorders>
            <w:vAlign w:val="center"/>
          </w:tcPr>
          <w:p w14:paraId="7287E074" w14:textId="77777777" w:rsidR="00961960" w:rsidRDefault="00961960" w:rsidP="00C634FA">
            <w:pPr>
              <w:keepNext/>
              <w:spacing w:before="60"/>
              <w:rPr>
                <w:sz w:val="20"/>
              </w:rPr>
            </w:pPr>
            <w:r w:rsidRPr="00D56ADC">
              <w:rPr>
                <w:sz w:val="20"/>
              </w:rPr>
              <w:t>Annually measures progress on</w:t>
            </w:r>
            <w:r>
              <w:rPr>
                <w:sz w:val="20"/>
              </w:rPr>
              <w:t xml:space="preserve"> </w:t>
            </w:r>
            <w:r w:rsidRPr="00D56ADC">
              <w:rPr>
                <w:sz w:val="20"/>
              </w:rPr>
              <w:t>the extent students have access</w:t>
            </w:r>
            <w:r>
              <w:rPr>
                <w:sz w:val="20"/>
              </w:rPr>
              <w:t xml:space="preserve"> </w:t>
            </w:r>
            <w:r w:rsidRPr="00D56ADC">
              <w:rPr>
                <w:sz w:val="20"/>
              </w:rPr>
              <w:t>to, and are enrolled in, a broad</w:t>
            </w:r>
            <w:r>
              <w:rPr>
                <w:sz w:val="20"/>
              </w:rPr>
              <w:t xml:space="preserve"> </w:t>
            </w:r>
            <w:r w:rsidRPr="00D56ADC">
              <w:rPr>
                <w:sz w:val="20"/>
              </w:rPr>
              <w:t>course of study</w:t>
            </w:r>
          </w:p>
        </w:tc>
      </w:tr>
      <w:tr w:rsidR="00961960" w14:paraId="590E415A" w14:textId="77777777" w:rsidTr="00C634FA">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14:paraId="543BB190" w14:textId="77777777" w:rsidR="00961960" w:rsidRDefault="00961960" w:rsidP="00C634FA">
            <w:pPr>
              <w:spacing w:before="60"/>
              <w:rPr>
                <w:sz w:val="20"/>
              </w:rPr>
            </w:pPr>
            <w:r>
              <w:rPr>
                <w:sz w:val="20"/>
              </w:rPr>
              <w:t>Outcomes in a Broad Course of Study</w:t>
            </w:r>
          </w:p>
        </w:tc>
        <w:tc>
          <w:tcPr>
            <w:tcW w:w="2736" w:type="dxa"/>
            <w:tcBorders>
              <w:top w:val="single" w:sz="4" w:space="0" w:color="auto"/>
              <w:left w:val="single" w:sz="4" w:space="0" w:color="auto"/>
              <w:bottom w:val="single" w:sz="4" w:space="0" w:color="auto"/>
              <w:right w:val="single" w:sz="4" w:space="0" w:color="auto"/>
            </w:tcBorders>
            <w:vAlign w:val="center"/>
            <w:hideMark/>
          </w:tcPr>
          <w:p w14:paraId="1117B9E2" w14:textId="77777777" w:rsidR="00961960" w:rsidRDefault="00961960" w:rsidP="00C634FA">
            <w:pPr>
              <w:spacing w:before="60"/>
              <w:rPr>
                <w:sz w:val="20"/>
              </w:rPr>
            </w:pPr>
            <w:r>
              <w:rPr>
                <w:sz w:val="20"/>
              </w:rPr>
              <w:t>College/Career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2BB0A" w14:textId="77777777" w:rsidR="00961960" w:rsidRDefault="00961960" w:rsidP="00C634FA">
            <w:pPr>
              <w:keepNext/>
              <w:spacing w:before="60"/>
              <w:jc w:val="center"/>
              <w:rPr>
                <w:sz w:val="20"/>
              </w:rPr>
            </w:pPr>
            <w:r>
              <w:rPr>
                <w:sz w:val="20"/>
              </w:rPr>
              <w:t>N/A</w:t>
            </w:r>
          </w:p>
        </w:tc>
      </w:tr>
    </w:tbl>
    <w:p w14:paraId="12EE07EB" w14:textId="77777777" w:rsidR="00961960" w:rsidRDefault="00961960" w:rsidP="00961960">
      <w:pPr>
        <w:keepNext/>
        <w:keepLines/>
        <w:rPr>
          <w:sz w:val="18"/>
          <w:szCs w:val="18"/>
        </w:rPr>
      </w:pPr>
      <w:r>
        <w:rPr>
          <w:sz w:val="18"/>
          <w:szCs w:val="18"/>
          <w:u w:val="single"/>
        </w:rPr>
        <w:tab/>
      </w:r>
      <w:r>
        <w:rPr>
          <w:sz w:val="18"/>
          <w:szCs w:val="18"/>
          <w:u w:val="single"/>
        </w:rPr>
        <w:tab/>
      </w:r>
      <w:r>
        <w:rPr>
          <w:sz w:val="18"/>
          <w:szCs w:val="18"/>
          <w:u w:val="single"/>
        </w:rPr>
        <w:tab/>
      </w:r>
    </w:p>
    <w:p w14:paraId="50B27D44" w14:textId="77777777" w:rsidR="00961960" w:rsidRDefault="00961960" w:rsidP="00961960">
      <w:pPr>
        <w:keepLines/>
        <w:tabs>
          <w:tab w:val="left" w:pos="270"/>
        </w:tabs>
        <w:spacing w:after="240"/>
        <w:rPr>
          <w:i/>
          <w:sz w:val="18"/>
          <w:szCs w:val="18"/>
        </w:rPr>
      </w:pPr>
      <w:r>
        <w:rPr>
          <w:i/>
          <w:sz w:val="18"/>
          <w:szCs w:val="18"/>
        </w:rPr>
        <w:t>Source:  California Department of Education.</w:t>
      </w:r>
    </w:p>
    <w:p w14:paraId="6A7C6AB3" w14:textId="77777777" w:rsidR="00961960" w:rsidRDefault="00961960" w:rsidP="00961960">
      <w:pPr>
        <w:spacing w:after="240"/>
        <w:ind w:firstLine="720"/>
        <w:jc w:val="both"/>
      </w:pPr>
      <w:r>
        <w:rPr>
          <w:b/>
          <w:i/>
        </w:rPr>
        <w:t xml:space="preserve">State Indicators.  </w:t>
      </w:r>
      <w:r>
        <w:t xml:space="preserve">The Accountability System measures performance on state indicators through a combination of current performance (“Status”) and improvement over time (“Change”).  Both Status and Change are weighted equally, and scores approved by SBE serve as performance standards based on the state-wide distribution of Status and Change for each indicator.  For each state indicator, a school or LEA will be assigned (i) a Status level of Very High, High, Medium, Low or Very Low; and (ii) a Change level of Increased Significantly, Increased, Maintained, Declined or Declined Significantly.  For each state indicator, the combination of Status level and Change level yields a performance level of Blue, Green, Yellow, Orange or Red, with Blue representing the highest performance and Red indicating the lowest performance.  Any performance level below Green indicates that improvement is needed.  </w:t>
      </w:r>
    </w:p>
    <w:p w14:paraId="42163C6E" w14:textId="77777777" w:rsidR="00961960" w:rsidRDefault="00961960" w:rsidP="00961960">
      <w:pPr>
        <w:spacing w:after="240"/>
        <w:ind w:firstLine="720"/>
        <w:jc w:val="both"/>
      </w:pPr>
      <w:r>
        <w:rPr>
          <w:b/>
          <w:i/>
        </w:rPr>
        <w:t xml:space="preserve">Local Indicators.  </w:t>
      </w:r>
      <w:r>
        <w:t xml:space="preserve">The local indicators require LEAs (including individual charter schools) to determine whether they have Met, Not Met, or Not Met for More than Two Years the standards for each local </w:t>
      </w:r>
      <w:r>
        <w:lastRenderedPageBreak/>
        <w:t xml:space="preserve">indicator.  For each local indicator, LEAs (and charter schools) must (i) measure their progress using locally available information, (ii) report the results at a regularly scheduled public meeting of the LEA’s (or charter school’s) local governing board, and (iii) upload the results to the public through the Dashboard.  </w:t>
      </w:r>
    </w:p>
    <w:p w14:paraId="6A1914E9" w14:textId="77777777" w:rsidR="00961960" w:rsidRPr="00393CC9" w:rsidRDefault="00961960" w:rsidP="00961960">
      <w:pPr>
        <w:spacing w:after="240"/>
        <w:ind w:firstLine="720"/>
        <w:jc w:val="both"/>
      </w:pPr>
      <w:r>
        <w:rPr>
          <w:b/>
          <w:i/>
        </w:rPr>
        <w:t xml:space="preserve">School Performance Overview.  </w:t>
      </w:r>
      <w:r>
        <w:t xml:space="preserve">Each LEA and school’s School Performance Overview </w:t>
      </w:r>
      <w:r w:rsidRPr="00393CC9">
        <w:t xml:space="preserve">provides the performance level for all students on state </w:t>
      </w:r>
      <w:r>
        <w:t xml:space="preserve">and local </w:t>
      </w:r>
      <w:r w:rsidRPr="00393CC9">
        <w:t>indicators</w:t>
      </w:r>
      <w:r>
        <w:t xml:space="preserve">, including </w:t>
      </w:r>
      <w:r w:rsidRPr="00393CC9">
        <w:t xml:space="preserve">how the current year (status) compares to prior years (change) for each state indicator. </w:t>
      </w:r>
      <w:r>
        <w:t xml:space="preserve"> </w:t>
      </w:r>
      <w:r w:rsidRPr="00393CC9">
        <w:t>Status and change each have five possible levels, which are displayed with the data for each indicator.</w:t>
      </w:r>
    </w:p>
    <w:p w14:paraId="53284AA3" w14:textId="07C2ECAE" w:rsidR="00961960" w:rsidRDefault="00B142B0" w:rsidP="001C0F68">
      <w:pPr>
        <w:spacing w:after="240"/>
        <w:ind w:firstLine="720"/>
        <w:jc w:val="both"/>
      </w:pPr>
      <w:r>
        <w:t>Due to the COVID-19 pandemic, S</w:t>
      </w:r>
      <w:r w:rsidRPr="00CB6D7A">
        <w:t xml:space="preserve">tate law </w:t>
      </w:r>
      <w:r>
        <w:t>s</w:t>
      </w:r>
      <w:r w:rsidRPr="00CB6D7A">
        <w:t xml:space="preserve">uspended the reporting of state and local indicators </w:t>
      </w:r>
      <w:r>
        <w:t>for</w:t>
      </w:r>
      <w:r w:rsidRPr="00CB6D7A">
        <w:t xml:space="preserve"> the </w:t>
      </w:r>
      <w:r>
        <w:t xml:space="preserve">Dashboard in </w:t>
      </w:r>
      <w:r w:rsidRPr="00CB6D7A">
        <w:t xml:space="preserve">2020 </w:t>
      </w:r>
      <w:r>
        <w:t>and 2021</w:t>
      </w:r>
      <w:r w:rsidRPr="00CB6D7A">
        <w:t>.</w:t>
      </w:r>
      <w:r>
        <w:t xml:space="preserve">  </w:t>
      </w:r>
      <w:r w:rsidRPr="00632F66">
        <w:t>Additionally, the State suspended the administration of the Smarter Balanced Assessments for the 2019-20 school year.  See</w:t>
      </w:r>
      <w:r w:rsidRPr="00D650BE">
        <w:t xml:space="preserve"> </w:t>
      </w:r>
      <w:r w:rsidRPr="00632F66">
        <w:t xml:space="preserve">“CERTAIN RISK FACTORS – Outbreak of Disease; </w:t>
      </w:r>
      <w:r>
        <w:t>Coronavirus</w:t>
      </w:r>
      <w:r w:rsidRPr="00632F66">
        <w:t xml:space="preserve">” in the forepart of this </w:t>
      </w:r>
      <w:r>
        <w:t>Private Placement</w:t>
      </w:r>
      <w:r w:rsidRPr="00632F66">
        <w:t xml:space="preserve"> Memorandum.  It is uncertain </w:t>
      </w:r>
      <w:r>
        <w:t>whether</w:t>
      </w:r>
      <w:r w:rsidRPr="00632F66">
        <w:t xml:space="preserve"> such closures and suspension of testing will affect the Dashboard for the </w:t>
      </w:r>
      <w:r>
        <w:t>2021-22</w:t>
      </w:r>
      <w:r w:rsidRPr="00632F66">
        <w:t xml:space="preserve"> school year.</w:t>
      </w:r>
      <w:r w:rsidRPr="0012764B">
        <w:rPr>
          <w:i/>
          <w:sz w:val="18"/>
          <w:szCs w:val="18"/>
        </w:rPr>
        <w:t xml:space="preserve"> </w:t>
      </w:r>
      <w:r w:rsidR="001C0F68">
        <w:rPr>
          <w:i/>
          <w:sz w:val="18"/>
          <w:szCs w:val="18"/>
        </w:rPr>
        <w:t xml:space="preserve"> </w:t>
      </w:r>
      <w:r w:rsidR="00961960">
        <w:t>Below are the 2019 Dashboard results for the School.</w:t>
      </w:r>
    </w:p>
    <w:p w14:paraId="4BC429BA" w14:textId="61850036" w:rsidR="00961960" w:rsidRDefault="00961960" w:rsidP="00961960">
      <w:pPr>
        <w:keepNext/>
        <w:keepLines/>
        <w:jc w:val="center"/>
        <w:rPr>
          <w:b/>
          <w:noProof/>
          <w:sz w:val="20"/>
        </w:rPr>
      </w:pPr>
      <w:r>
        <w:rPr>
          <w:b/>
          <w:noProof/>
          <w:sz w:val="20"/>
        </w:rPr>
        <w:t>TABLE 5</w:t>
      </w:r>
    </w:p>
    <w:p w14:paraId="3F81AE98" w14:textId="77777777" w:rsidR="00961960" w:rsidRDefault="00961960" w:rsidP="00961960">
      <w:pPr>
        <w:pStyle w:val="BodyText"/>
        <w:keepNext/>
        <w:spacing w:after="0"/>
        <w:ind w:firstLine="0"/>
        <w:jc w:val="center"/>
        <w:rPr>
          <w:b/>
          <w:noProof/>
          <w:sz w:val="20"/>
        </w:rPr>
      </w:pPr>
      <w:r w:rsidRPr="00B73EAA">
        <w:rPr>
          <w:b/>
          <w:noProof/>
          <w:sz w:val="20"/>
        </w:rPr>
        <w:t xml:space="preserve">CALIFORNIA SCHOOL DASHBOARD </w:t>
      </w:r>
      <w:r>
        <w:rPr>
          <w:b/>
          <w:noProof/>
          <w:sz w:val="20"/>
        </w:rPr>
        <w:t xml:space="preserve">STATE </w:t>
      </w:r>
      <w:r w:rsidRPr="00B73EAA">
        <w:rPr>
          <w:b/>
          <w:noProof/>
          <w:sz w:val="20"/>
        </w:rPr>
        <w:t>AND LOCAL INDICATORS</w:t>
      </w:r>
      <w:r w:rsidRPr="00C64D79">
        <w:rPr>
          <w:b/>
          <w:noProof/>
          <w:sz w:val="20"/>
          <w:vertAlign w:val="superscript"/>
        </w:rPr>
        <w:t>(1)</w:t>
      </w:r>
    </w:p>
    <w:p w14:paraId="6D13D7E1" w14:textId="5B57365D" w:rsidR="00961960" w:rsidRDefault="00961960" w:rsidP="00961960">
      <w:pPr>
        <w:keepNext/>
        <w:keepLines/>
        <w:jc w:val="center"/>
        <w:rPr>
          <w:b/>
          <w:noProof/>
          <w:sz w:val="20"/>
        </w:rPr>
      </w:pPr>
      <w:r>
        <w:rPr>
          <w:b/>
          <w:noProof/>
          <w:sz w:val="20"/>
        </w:rPr>
        <w:t>2019</w:t>
      </w:r>
      <w:r w:rsidRPr="006905DE">
        <w:rPr>
          <w:b/>
          <w:noProof/>
          <w:sz w:val="20"/>
        </w:rPr>
        <w:t xml:space="preserve"> </w:t>
      </w:r>
    </w:p>
    <w:p w14:paraId="3BCD6A8C" w14:textId="4CD78926" w:rsidR="00B142B0" w:rsidRPr="00B142B0" w:rsidRDefault="00B142B0" w:rsidP="00961960">
      <w:pPr>
        <w:keepNext/>
        <w:keepLines/>
        <w:jc w:val="center"/>
        <w:rPr>
          <w:bCs/>
          <w:noProof/>
          <w:sz w:val="20"/>
        </w:rPr>
      </w:pPr>
      <w:r w:rsidRPr="00B142B0">
        <w:rPr>
          <w:bCs/>
          <w:noProof/>
          <w:sz w:val="20"/>
        </w:rPr>
        <w:t>The School</w:t>
      </w:r>
    </w:p>
    <w:p w14:paraId="2D4DCAB3" w14:textId="77777777" w:rsidR="00961960" w:rsidRDefault="00961960" w:rsidP="00961960">
      <w:pPr>
        <w:keepNext/>
        <w:keepLines/>
        <w:jc w:val="center"/>
        <w:rPr>
          <w:b/>
          <w:noProof/>
          <w:sz w:val="20"/>
        </w:rPr>
      </w:pPr>
    </w:p>
    <w:tbl>
      <w:tblPr>
        <w:tblStyle w:val="TableGrid"/>
        <w:tblW w:w="99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530"/>
        <w:gridCol w:w="2592"/>
        <w:gridCol w:w="432"/>
        <w:gridCol w:w="2160"/>
        <w:gridCol w:w="432"/>
      </w:tblGrid>
      <w:tr w:rsidR="00B142B0" w:rsidRPr="00632F66" w14:paraId="44E8A12D" w14:textId="77777777" w:rsidTr="00C634FA">
        <w:trPr>
          <w:jc w:val="center"/>
        </w:trPr>
        <w:tc>
          <w:tcPr>
            <w:tcW w:w="2826" w:type="dxa"/>
            <w:vAlign w:val="bottom"/>
            <w:hideMark/>
          </w:tcPr>
          <w:p w14:paraId="096FF599" w14:textId="77777777" w:rsidR="00B142B0" w:rsidRPr="00632F66" w:rsidRDefault="00B142B0" w:rsidP="00C634FA">
            <w:pPr>
              <w:keepNext/>
              <w:rPr>
                <w:b/>
                <w:sz w:val="18"/>
                <w:szCs w:val="18"/>
                <w:u w:val="single"/>
              </w:rPr>
            </w:pPr>
            <w:r w:rsidRPr="00632F66">
              <w:rPr>
                <w:b/>
                <w:sz w:val="18"/>
                <w:szCs w:val="18"/>
                <w:u w:val="single"/>
              </w:rPr>
              <w:t>State Indicators</w:t>
            </w:r>
          </w:p>
        </w:tc>
        <w:tc>
          <w:tcPr>
            <w:tcW w:w="1530" w:type="dxa"/>
            <w:vAlign w:val="bottom"/>
            <w:hideMark/>
          </w:tcPr>
          <w:p w14:paraId="272DAF19" w14:textId="77777777" w:rsidR="00B142B0" w:rsidRPr="00632F66" w:rsidRDefault="00B142B0" w:rsidP="00C634FA">
            <w:pPr>
              <w:keepNext/>
              <w:jc w:val="center"/>
              <w:rPr>
                <w:b/>
                <w:sz w:val="18"/>
                <w:szCs w:val="18"/>
              </w:rPr>
            </w:pPr>
            <w:r w:rsidRPr="00632F66">
              <w:rPr>
                <w:b/>
                <w:sz w:val="18"/>
                <w:szCs w:val="18"/>
              </w:rPr>
              <w:t>All Students</w:t>
            </w:r>
            <w:r w:rsidRPr="00632F66">
              <w:rPr>
                <w:b/>
                <w:sz w:val="18"/>
                <w:szCs w:val="18"/>
              </w:rPr>
              <w:br/>
              <w:t xml:space="preserve">   </w:t>
            </w:r>
            <w:r w:rsidRPr="00632F66">
              <w:rPr>
                <w:b/>
                <w:sz w:val="18"/>
                <w:szCs w:val="18"/>
                <w:u w:val="single"/>
              </w:rPr>
              <w:t>Performance</w:t>
            </w:r>
            <w:r w:rsidRPr="00632F66">
              <w:rPr>
                <w:b/>
                <w:sz w:val="18"/>
                <w:szCs w:val="18"/>
                <w:vertAlign w:val="superscript"/>
              </w:rPr>
              <w:t>(1)</w:t>
            </w:r>
          </w:p>
        </w:tc>
        <w:tc>
          <w:tcPr>
            <w:tcW w:w="3024" w:type="dxa"/>
            <w:gridSpan w:val="2"/>
            <w:vAlign w:val="bottom"/>
            <w:hideMark/>
          </w:tcPr>
          <w:p w14:paraId="1EA3149F" w14:textId="77777777" w:rsidR="00B142B0" w:rsidRPr="00632F66" w:rsidRDefault="00B142B0" w:rsidP="00C634FA">
            <w:pPr>
              <w:keepNext/>
              <w:jc w:val="center"/>
              <w:rPr>
                <w:b/>
                <w:sz w:val="18"/>
                <w:szCs w:val="18"/>
                <w:u w:val="single"/>
              </w:rPr>
            </w:pPr>
            <w:r w:rsidRPr="00632F66">
              <w:rPr>
                <w:b/>
                <w:sz w:val="18"/>
                <w:szCs w:val="18"/>
                <w:u w:val="single"/>
              </w:rPr>
              <w:t>Status</w:t>
            </w:r>
          </w:p>
        </w:tc>
        <w:tc>
          <w:tcPr>
            <w:tcW w:w="2592" w:type="dxa"/>
            <w:gridSpan w:val="2"/>
            <w:vAlign w:val="bottom"/>
            <w:hideMark/>
          </w:tcPr>
          <w:p w14:paraId="715AD6A0" w14:textId="77777777" w:rsidR="00B142B0" w:rsidRPr="00632F66" w:rsidRDefault="00B142B0" w:rsidP="00C634FA">
            <w:pPr>
              <w:keepNext/>
              <w:jc w:val="center"/>
              <w:rPr>
                <w:b/>
                <w:sz w:val="18"/>
                <w:szCs w:val="18"/>
                <w:u w:val="single"/>
              </w:rPr>
            </w:pPr>
            <w:r w:rsidRPr="00632F66">
              <w:rPr>
                <w:b/>
                <w:sz w:val="18"/>
                <w:szCs w:val="18"/>
                <w:u w:val="single"/>
              </w:rPr>
              <w:t>Change</w:t>
            </w:r>
          </w:p>
        </w:tc>
      </w:tr>
      <w:tr w:rsidR="00B142B0" w:rsidRPr="00632F66" w14:paraId="5717376B" w14:textId="77777777" w:rsidTr="00B142B0">
        <w:trPr>
          <w:trHeight w:val="302"/>
          <w:jc w:val="center"/>
        </w:trPr>
        <w:tc>
          <w:tcPr>
            <w:tcW w:w="2826" w:type="dxa"/>
            <w:tcBorders>
              <w:bottom w:val="dotted" w:sz="4" w:space="0" w:color="auto"/>
            </w:tcBorders>
            <w:vAlign w:val="center"/>
            <w:hideMark/>
          </w:tcPr>
          <w:p w14:paraId="2B7C084D" w14:textId="77777777" w:rsidR="00B142B0" w:rsidRPr="00632F66" w:rsidRDefault="00B142B0" w:rsidP="00B142B0">
            <w:pPr>
              <w:keepNext/>
              <w:rPr>
                <w:sz w:val="18"/>
                <w:szCs w:val="18"/>
              </w:rPr>
            </w:pPr>
            <w:r w:rsidRPr="00632F66">
              <w:rPr>
                <w:sz w:val="18"/>
                <w:szCs w:val="18"/>
              </w:rPr>
              <w:t xml:space="preserve">Chronic Absenteeism </w:t>
            </w:r>
            <w:r w:rsidRPr="00632F66">
              <w:rPr>
                <w:sz w:val="18"/>
                <w:szCs w:val="18"/>
                <w:vertAlign w:val="superscript"/>
              </w:rPr>
              <w:t>(2)</w:t>
            </w:r>
          </w:p>
        </w:tc>
        <w:tc>
          <w:tcPr>
            <w:tcW w:w="1530" w:type="dxa"/>
            <w:tcBorders>
              <w:bottom w:val="dotted" w:sz="4" w:space="0" w:color="auto"/>
            </w:tcBorders>
            <w:vAlign w:val="bottom"/>
          </w:tcPr>
          <w:p w14:paraId="50573A5A" w14:textId="6D508419" w:rsidR="00B142B0" w:rsidRPr="00EF1E4D" w:rsidRDefault="00B142B0" w:rsidP="00B142B0">
            <w:pPr>
              <w:keepNext/>
              <w:jc w:val="center"/>
              <w:rPr>
                <w:sz w:val="18"/>
                <w:szCs w:val="18"/>
                <w:vertAlign w:val="superscript"/>
              </w:rPr>
            </w:pPr>
            <w:r>
              <w:rPr>
                <w:noProof/>
                <w:sz w:val="18"/>
                <w:szCs w:val="18"/>
              </w:rPr>
              <w:drawing>
                <wp:inline distT="0" distB="0" distL="0" distR="0" wp14:anchorId="0C8B758D" wp14:editId="0D44F793">
                  <wp:extent cx="320040" cy="17709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 cy="177090"/>
                          </a:xfrm>
                          <a:prstGeom prst="rect">
                            <a:avLst/>
                          </a:prstGeom>
                          <a:noFill/>
                        </pic:spPr>
                      </pic:pic>
                    </a:graphicData>
                  </a:graphic>
                </wp:inline>
              </w:drawing>
            </w:r>
          </w:p>
        </w:tc>
        <w:tc>
          <w:tcPr>
            <w:tcW w:w="3024" w:type="dxa"/>
            <w:gridSpan w:val="2"/>
            <w:tcBorders>
              <w:bottom w:val="dotted" w:sz="4" w:space="0" w:color="auto"/>
            </w:tcBorders>
            <w:vAlign w:val="center"/>
          </w:tcPr>
          <w:p w14:paraId="3D667A5E" w14:textId="10F95A07" w:rsidR="00B142B0" w:rsidRPr="00632F66" w:rsidRDefault="00B142B0" w:rsidP="00B142B0">
            <w:pPr>
              <w:keepNext/>
              <w:jc w:val="center"/>
              <w:rPr>
                <w:sz w:val="18"/>
                <w:szCs w:val="18"/>
              </w:rPr>
            </w:pPr>
            <w:r>
              <w:rPr>
                <w:sz w:val="18"/>
                <w:szCs w:val="18"/>
              </w:rPr>
              <w:t>20.9</w:t>
            </w:r>
            <w:r w:rsidRPr="00E505E7">
              <w:rPr>
                <w:sz w:val="18"/>
                <w:szCs w:val="18"/>
              </w:rPr>
              <w:t>% chronically absent</w:t>
            </w:r>
          </w:p>
        </w:tc>
        <w:tc>
          <w:tcPr>
            <w:tcW w:w="2592" w:type="dxa"/>
            <w:gridSpan w:val="2"/>
            <w:tcBorders>
              <w:bottom w:val="dotted" w:sz="4" w:space="0" w:color="auto"/>
            </w:tcBorders>
            <w:vAlign w:val="center"/>
          </w:tcPr>
          <w:p w14:paraId="2A4BDE40" w14:textId="6CB4BB79" w:rsidR="00B142B0" w:rsidRPr="006077BA" w:rsidRDefault="00B142B0" w:rsidP="00B142B0">
            <w:pPr>
              <w:keepNext/>
              <w:jc w:val="center"/>
              <w:rPr>
                <w:sz w:val="18"/>
                <w:szCs w:val="18"/>
              </w:rPr>
            </w:pPr>
            <w:r>
              <w:rPr>
                <w:sz w:val="18"/>
                <w:szCs w:val="18"/>
              </w:rPr>
              <w:t>Increased</w:t>
            </w:r>
          </w:p>
          <w:p w14:paraId="1F7142AA" w14:textId="28441579" w:rsidR="00B142B0" w:rsidRPr="00EF1E4D" w:rsidRDefault="00B142B0" w:rsidP="00B142B0">
            <w:pPr>
              <w:keepNext/>
              <w:jc w:val="center"/>
              <w:rPr>
                <w:sz w:val="18"/>
                <w:szCs w:val="18"/>
                <w:vertAlign w:val="superscript"/>
              </w:rPr>
            </w:pPr>
            <w:r>
              <w:rPr>
                <w:i/>
                <w:sz w:val="18"/>
                <w:szCs w:val="18"/>
              </w:rPr>
              <w:t>(+4.1</w:t>
            </w:r>
            <w:r w:rsidRPr="006077BA">
              <w:rPr>
                <w:i/>
                <w:sz w:val="18"/>
                <w:szCs w:val="18"/>
              </w:rPr>
              <w:t>%</w:t>
            </w:r>
            <w:r>
              <w:rPr>
                <w:i/>
                <w:sz w:val="18"/>
                <w:szCs w:val="18"/>
              </w:rPr>
              <w:t>)</w:t>
            </w:r>
          </w:p>
        </w:tc>
      </w:tr>
      <w:tr w:rsidR="00B142B0" w:rsidRPr="00632F66" w14:paraId="7BABCB57" w14:textId="77777777" w:rsidTr="00B142B0">
        <w:trPr>
          <w:trHeight w:val="302"/>
          <w:jc w:val="center"/>
        </w:trPr>
        <w:tc>
          <w:tcPr>
            <w:tcW w:w="2826" w:type="dxa"/>
            <w:tcBorders>
              <w:top w:val="dotted" w:sz="4" w:space="0" w:color="auto"/>
              <w:bottom w:val="dotted" w:sz="4" w:space="0" w:color="auto"/>
            </w:tcBorders>
            <w:vAlign w:val="center"/>
            <w:hideMark/>
          </w:tcPr>
          <w:p w14:paraId="30B5DE89" w14:textId="0AE7E118" w:rsidR="00B142B0" w:rsidRPr="00632F66" w:rsidRDefault="00B142B0" w:rsidP="00B142B0">
            <w:pPr>
              <w:keepNext/>
              <w:rPr>
                <w:sz w:val="18"/>
                <w:szCs w:val="18"/>
              </w:rPr>
            </w:pPr>
            <w:r w:rsidRPr="00632F66">
              <w:rPr>
                <w:sz w:val="18"/>
                <w:szCs w:val="18"/>
              </w:rPr>
              <w:t xml:space="preserve">Suspension Rate </w:t>
            </w:r>
            <w:r w:rsidRPr="00632F66">
              <w:rPr>
                <w:sz w:val="18"/>
                <w:szCs w:val="18"/>
                <w:vertAlign w:val="superscript"/>
              </w:rPr>
              <w:t>(</w:t>
            </w:r>
            <w:r w:rsidR="001C0F68">
              <w:rPr>
                <w:sz w:val="18"/>
                <w:szCs w:val="18"/>
                <w:vertAlign w:val="superscript"/>
              </w:rPr>
              <w:t>3</w:t>
            </w:r>
            <w:r w:rsidRPr="00632F66">
              <w:rPr>
                <w:sz w:val="18"/>
                <w:szCs w:val="18"/>
                <w:vertAlign w:val="superscript"/>
              </w:rPr>
              <w:t>)</w:t>
            </w:r>
          </w:p>
        </w:tc>
        <w:tc>
          <w:tcPr>
            <w:tcW w:w="1530" w:type="dxa"/>
            <w:tcBorders>
              <w:top w:val="dotted" w:sz="4" w:space="0" w:color="auto"/>
              <w:bottom w:val="dotted" w:sz="4" w:space="0" w:color="auto"/>
            </w:tcBorders>
            <w:vAlign w:val="bottom"/>
          </w:tcPr>
          <w:p w14:paraId="4C26FF5E" w14:textId="53DE4870" w:rsidR="00B142B0" w:rsidRPr="00EF1E4D" w:rsidRDefault="00B142B0" w:rsidP="00B142B0">
            <w:pPr>
              <w:keepNext/>
              <w:jc w:val="center"/>
              <w:rPr>
                <w:sz w:val="18"/>
                <w:szCs w:val="18"/>
                <w:vertAlign w:val="superscript"/>
              </w:rPr>
            </w:pPr>
            <w:r>
              <w:rPr>
                <w:noProof/>
                <w:sz w:val="18"/>
                <w:szCs w:val="18"/>
              </w:rPr>
              <w:drawing>
                <wp:inline distT="0" distB="0" distL="0" distR="0" wp14:anchorId="568C2286" wp14:editId="6502337B">
                  <wp:extent cx="320040" cy="177089"/>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 cy="177089"/>
                          </a:xfrm>
                          <a:prstGeom prst="rect">
                            <a:avLst/>
                          </a:prstGeom>
                          <a:noFill/>
                        </pic:spPr>
                      </pic:pic>
                    </a:graphicData>
                  </a:graphic>
                </wp:inline>
              </w:drawing>
            </w:r>
          </w:p>
        </w:tc>
        <w:tc>
          <w:tcPr>
            <w:tcW w:w="3024" w:type="dxa"/>
            <w:gridSpan w:val="2"/>
            <w:tcBorders>
              <w:top w:val="dotted" w:sz="4" w:space="0" w:color="auto"/>
              <w:bottom w:val="dotted" w:sz="4" w:space="0" w:color="auto"/>
            </w:tcBorders>
            <w:vAlign w:val="center"/>
          </w:tcPr>
          <w:p w14:paraId="0F1F8B93" w14:textId="5A8BE1E4" w:rsidR="00B142B0" w:rsidRPr="00632F66" w:rsidRDefault="00B142B0" w:rsidP="00B142B0">
            <w:pPr>
              <w:keepNext/>
              <w:jc w:val="center"/>
              <w:rPr>
                <w:sz w:val="18"/>
                <w:szCs w:val="18"/>
              </w:rPr>
            </w:pPr>
            <w:r>
              <w:rPr>
                <w:sz w:val="18"/>
                <w:szCs w:val="18"/>
              </w:rPr>
              <w:t>1.1</w:t>
            </w:r>
            <w:r w:rsidRPr="00E86283">
              <w:rPr>
                <w:sz w:val="18"/>
                <w:szCs w:val="18"/>
              </w:rPr>
              <w:t>% suspended at least once</w:t>
            </w:r>
          </w:p>
        </w:tc>
        <w:tc>
          <w:tcPr>
            <w:tcW w:w="2592" w:type="dxa"/>
            <w:gridSpan w:val="2"/>
            <w:tcBorders>
              <w:top w:val="dotted" w:sz="4" w:space="0" w:color="auto"/>
              <w:bottom w:val="dotted" w:sz="4" w:space="0" w:color="auto"/>
            </w:tcBorders>
            <w:vAlign w:val="center"/>
          </w:tcPr>
          <w:p w14:paraId="18EA3CEC" w14:textId="36EE2DA5" w:rsidR="00B142B0" w:rsidRPr="006077BA" w:rsidRDefault="00B142B0" w:rsidP="00B142B0">
            <w:pPr>
              <w:keepNext/>
              <w:jc w:val="center"/>
              <w:rPr>
                <w:sz w:val="18"/>
                <w:szCs w:val="18"/>
              </w:rPr>
            </w:pPr>
            <w:r>
              <w:rPr>
                <w:sz w:val="18"/>
                <w:szCs w:val="18"/>
              </w:rPr>
              <w:t>Declined</w:t>
            </w:r>
          </w:p>
          <w:p w14:paraId="483A3263" w14:textId="5731CD8F" w:rsidR="00B142B0" w:rsidRPr="00EF1E4D" w:rsidRDefault="00B142B0" w:rsidP="00B142B0">
            <w:pPr>
              <w:keepNext/>
              <w:jc w:val="center"/>
              <w:rPr>
                <w:sz w:val="18"/>
                <w:szCs w:val="18"/>
                <w:vertAlign w:val="superscript"/>
              </w:rPr>
            </w:pPr>
            <w:r>
              <w:rPr>
                <w:i/>
                <w:sz w:val="18"/>
                <w:szCs w:val="18"/>
              </w:rPr>
              <w:t>(-4.1</w:t>
            </w:r>
            <w:r w:rsidRPr="006077BA">
              <w:rPr>
                <w:i/>
                <w:sz w:val="18"/>
                <w:szCs w:val="18"/>
              </w:rPr>
              <w:t>%</w:t>
            </w:r>
            <w:r>
              <w:rPr>
                <w:i/>
                <w:sz w:val="18"/>
                <w:szCs w:val="18"/>
              </w:rPr>
              <w:t>)</w:t>
            </w:r>
          </w:p>
        </w:tc>
      </w:tr>
      <w:tr w:rsidR="001C0F68" w:rsidRPr="00632F66" w14:paraId="559FBFF9" w14:textId="77777777" w:rsidTr="00C634FA">
        <w:trPr>
          <w:trHeight w:val="302"/>
          <w:jc w:val="center"/>
        </w:trPr>
        <w:tc>
          <w:tcPr>
            <w:tcW w:w="2826" w:type="dxa"/>
            <w:tcBorders>
              <w:top w:val="dotted" w:sz="4" w:space="0" w:color="auto"/>
              <w:bottom w:val="dotted" w:sz="4" w:space="0" w:color="auto"/>
            </w:tcBorders>
            <w:vAlign w:val="center"/>
            <w:hideMark/>
          </w:tcPr>
          <w:p w14:paraId="08A4BE79" w14:textId="3A94E1F1" w:rsidR="001C0F68" w:rsidRPr="00632F66" w:rsidRDefault="001C0F68" w:rsidP="001C0F68">
            <w:pPr>
              <w:keepNext/>
              <w:rPr>
                <w:sz w:val="18"/>
                <w:szCs w:val="18"/>
              </w:rPr>
            </w:pPr>
            <w:r w:rsidRPr="00632F66">
              <w:rPr>
                <w:sz w:val="18"/>
                <w:szCs w:val="18"/>
              </w:rPr>
              <w:t xml:space="preserve">English Learner Progress </w:t>
            </w:r>
            <w:r w:rsidRPr="00632F66">
              <w:rPr>
                <w:sz w:val="18"/>
                <w:szCs w:val="18"/>
                <w:vertAlign w:val="superscript"/>
              </w:rPr>
              <w:t>(</w:t>
            </w:r>
            <w:r>
              <w:rPr>
                <w:sz w:val="18"/>
                <w:szCs w:val="18"/>
                <w:vertAlign w:val="superscript"/>
              </w:rPr>
              <w:t>4</w:t>
            </w:r>
            <w:r w:rsidRPr="00632F66">
              <w:rPr>
                <w:sz w:val="18"/>
                <w:szCs w:val="18"/>
                <w:vertAlign w:val="superscript"/>
              </w:rPr>
              <w:t>)</w:t>
            </w:r>
          </w:p>
        </w:tc>
        <w:tc>
          <w:tcPr>
            <w:tcW w:w="1530" w:type="dxa"/>
            <w:tcBorders>
              <w:top w:val="dotted" w:sz="4" w:space="0" w:color="auto"/>
              <w:bottom w:val="dotted" w:sz="4" w:space="0" w:color="auto"/>
            </w:tcBorders>
            <w:vAlign w:val="center"/>
          </w:tcPr>
          <w:p w14:paraId="332BD0CB" w14:textId="77777777" w:rsidR="001C0F68" w:rsidRPr="00EF1E4D" w:rsidRDefault="001C0F68" w:rsidP="001C0F68">
            <w:pPr>
              <w:keepNext/>
              <w:jc w:val="center"/>
              <w:rPr>
                <w:sz w:val="18"/>
                <w:szCs w:val="18"/>
                <w:vertAlign w:val="superscript"/>
              </w:rPr>
            </w:pPr>
            <w:r>
              <w:rPr>
                <w:sz w:val="18"/>
                <w:szCs w:val="18"/>
              </w:rPr>
              <w:t>N/A</w:t>
            </w:r>
            <w:r>
              <w:rPr>
                <w:sz w:val="18"/>
                <w:szCs w:val="18"/>
                <w:vertAlign w:val="superscript"/>
              </w:rPr>
              <w:t>(3)</w:t>
            </w:r>
          </w:p>
        </w:tc>
        <w:tc>
          <w:tcPr>
            <w:tcW w:w="3024" w:type="dxa"/>
            <w:gridSpan w:val="2"/>
            <w:tcBorders>
              <w:top w:val="dotted" w:sz="4" w:space="0" w:color="auto"/>
              <w:bottom w:val="dotted" w:sz="4" w:space="0" w:color="auto"/>
            </w:tcBorders>
            <w:vAlign w:val="center"/>
          </w:tcPr>
          <w:p w14:paraId="32F5D55D" w14:textId="74221BAA" w:rsidR="001C0F68" w:rsidRPr="00EF1E4D" w:rsidRDefault="001C0F68" w:rsidP="001C0F68">
            <w:pPr>
              <w:keepNext/>
              <w:jc w:val="center"/>
              <w:rPr>
                <w:sz w:val="18"/>
                <w:szCs w:val="18"/>
                <w:vertAlign w:val="superscript"/>
              </w:rPr>
            </w:pPr>
            <w:r>
              <w:rPr>
                <w:sz w:val="18"/>
                <w:szCs w:val="18"/>
              </w:rPr>
              <w:t xml:space="preserve">Low – 38.4% making progress towards English proficiency </w:t>
            </w:r>
          </w:p>
        </w:tc>
        <w:tc>
          <w:tcPr>
            <w:tcW w:w="2592" w:type="dxa"/>
            <w:gridSpan w:val="2"/>
            <w:tcBorders>
              <w:top w:val="dotted" w:sz="4" w:space="0" w:color="auto"/>
              <w:bottom w:val="dotted" w:sz="4" w:space="0" w:color="auto"/>
            </w:tcBorders>
            <w:vAlign w:val="center"/>
          </w:tcPr>
          <w:p w14:paraId="1C070D8E" w14:textId="77777777" w:rsidR="001C0F68" w:rsidRPr="00EF1E4D" w:rsidRDefault="001C0F68" w:rsidP="001C0F68">
            <w:pPr>
              <w:keepNext/>
              <w:jc w:val="center"/>
              <w:rPr>
                <w:sz w:val="18"/>
                <w:szCs w:val="18"/>
                <w:vertAlign w:val="superscript"/>
              </w:rPr>
            </w:pPr>
            <w:r>
              <w:rPr>
                <w:sz w:val="18"/>
                <w:szCs w:val="18"/>
              </w:rPr>
              <w:t>N/A</w:t>
            </w:r>
            <w:r>
              <w:rPr>
                <w:sz w:val="18"/>
                <w:szCs w:val="18"/>
                <w:vertAlign w:val="superscript"/>
              </w:rPr>
              <w:t>(3)</w:t>
            </w:r>
          </w:p>
        </w:tc>
      </w:tr>
      <w:tr w:rsidR="001C0F68" w:rsidRPr="00632F66" w14:paraId="54D4F617" w14:textId="77777777" w:rsidTr="00C634FA">
        <w:trPr>
          <w:trHeight w:val="302"/>
          <w:jc w:val="center"/>
        </w:trPr>
        <w:tc>
          <w:tcPr>
            <w:tcW w:w="2826" w:type="dxa"/>
            <w:tcBorders>
              <w:top w:val="dotted" w:sz="4" w:space="0" w:color="auto"/>
              <w:bottom w:val="dotted" w:sz="4" w:space="0" w:color="auto"/>
            </w:tcBorders>
            <w:vAlign w:val="center"/>
            <w:hideMark/>
          </w:tcPr>
          <w:p w14:paraId="6C94A6EB" w14:textId="14F808A1" w:rsidR="001C0F68" w:rsidRPr="00632F66" w:rsidRDefault="001C0F68" w:rsidP="001C0F68">
            <w:pPr>
              <w:keepNext/>
              <w:rPr>
                <w:sz w:val="18"/>
                <w:szCs w:val="18"/>
              </w:rPr>
            </w:pPr>
            <w:r w:rsidRPr="00632F66">
              <w:rPr>
                <w:sz w:val="18"/>
                <w:szCs w:val="18"/>
              </w:rPr>
              <w:t xml:space="preserve">English Language Arts </w:t>
            </w:r>
            <w:r>
              <w:rPr>
                <w:sz w:val="18"/>
                <w:szCs w:val="18"/>
                <w:vertAlign w:val="superscript"/>
              </w:rPr>
              <w:t>(5</w:t>
            </w:r>
            <w:r w:rsidRPr="00632F66">
              <w:rPr>
                <w:sz w:val="18"/>
                <w:szCs w:val="18"/>
                <w:vertAlign w:val="superscript"/>
              </w:rPr>
              <w:t>)</w:t>
            </w:r>
          </w:p>
        </w:tc>
        <w:tc>
          <w:tcPr>
            <w:tcW w:w="1530" w:type="dxa"/>
            <w:tcBorders>
              <w:top w:val="dotted" w:sz="4" w:space="0" w:color="auto"/>
              <w:bottom w:val="dotted" w:sz="4" w:space="0" w:color="auto"/>
            </w:tcBorders>
            <w:vAlign w:val="center"/>
          </w:tcPr>
          <w:p w14:paraId="1DD4820E" w14:textId="6E4C8B61" w:rsidR="001C0F68" w:rsidRPr="00EF1E4D" w:rsidRDefault="001C0F68" w:rsidP="001C0F68">
            <w:pPr>
              <w:keepNext/>
              <w:jc w:val="center"/>
              <w:rPr>
                <w:sz w:val="18"/>
                <w:szCs w:val="18"/>
                <w:vertAlign w:val="superscript"/>
              </w:rPr>
            </w:pPr>
            <w:r>
              <w:rPr>
                <w:noProof/>
                <w:sz w:val="18"/>
                <w:szCs w:val="18"/>
              </w:rPr>
              <w:drawing>
                <wp:inline distT="0" distB="0" distL="0" distR="0" wp14:anchorId="098BFDA8" wp14:editId="5A8EBB6B">
                  <wp:extent cx="320040" cy="177089"/>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 cy="177089"/>
                          </a:xfrm>
                          <a:prstGeom prst="rect">
                            <a:avLst/>
                          </a:prstGeom>
                          <a:noFill/>
                        </pic:spPr>
                      </pic:pic>
                    </a:graphicData>
                  </a:graphic>
                </wp:inline>
              </w:drawing>
            </w:r>
          </w:p>
        </w:tc>
        <w:tc>
          <w:tcPr>
            <w:tcW w:w="3024" w:type="dxa"/>
            <w:gridSpan w:val="2"/>
            <w:tcBorders>
              <w:top w:val="dotted" w:sz="4" w:space="0" w:color="auto"/>
              <w:bottom w:val="dotted" w:sz="4" w:space="0" w:color="auto"/>
            </w:tcBorders>
            <w:vAlign w:val="center"/>
          </w:tcPr>
          <w:p w14:paraId="7C8E1026" w14:textId="63D9736B" w:rsidR="001C0F68" w:rsidRPr="00632F66" w:rsidRDefault="001C0F68" w:rsidP="001C0F68">
            <w:pPr>
              <w:keepNext/>
              <w:jc w:val="center"/>
              <w:rPr>
                <w:sz w:val="18"/>
                <w:szCs w:val="18"/>
              </w:rPr>
            </w:pPr>
            <w:r>
              <w:rPr>
                <w:sz w:val="18"/>
                <w:szCs w:val="18"/>
              </w:rPr>
              <w:t>17 points below standard</w:t>
            </w:r>
          </w:p>
        </w:tc>
        <w:tc>
          <w:tcPr>
            <w:tcW w:w="2592" w:type="dxa"/>
            <w:gridSpan w:val="2"/>
            <w:tcBorders>
              <w:top w:val="dotted" w:sz="4" w:space="0" w:color="auto"/>
              <w:bottom w:val="dotted" w:sz="4" w:space="0" w:color="auto"/>
            </w:tcBorders>
            <w:vAlign w:val="center"/>
          </w:tcPr>
          <w:p w14:paraId="0BD5F041" w14:textId="77777777" w:rsidR="001C0F68" w:rsidRPr="006077BA" w:rsidRDefault="001C0F68" w:rsidP="001C0F68">
            <w:pPr>
              <w:keepNext/>
              <w:jc w:val="center"/>
              <w:rPr>
                <w:sz w:val="18"/>
                <w:szCs w:val="18"/>
              </w:rPr>
            </w:pPr>
            <w:r>
              <w:rPr>
                <w:sz w:val="18"/>
                <w:szCs w:val="18"/>
              </w:rPr>
              <w:t>Increased</w:t>
            </w:r>
          </w:p>
          <w:p w14:paraId="710E836E" w14:textId="0ECD40EB" w:rsidR="001C0F68" w:rsidRPr="00EF1E4D" w:rsidRDefault="001C0F68" w:rsidP="001C0F68">
            <w:pPr>
              <w:keepNext/>
              <w:jc w:val="center"/>
              <w:rPr>
                <w:sz w:val="18"/>
                <w:szCs w:val="18"/>
                <w:vertAlign w:val="superscript"/>
              </w:rPr>
            </w:pPr>
            <w:r>
              <w:rPr>
                <w:i/>
                <w:sz w:val="18"/>
                <w:szCs w:val="18"/>
              </w:rPr>
              <w:t>(+18.4 points)</w:t>
            </w:r>
          </w:p>
        </w:tc>
      </w:tr>
      <w:tr w:rsidR="001C0F68" w:rsidRPr="00632F66" w14:paraId="5CE0FA8E" w14:textId="77777777" w:rsidTr="00C634FA">
        <w:trPr>
          <w:trHeight w:val="302"/>
          <w:jc w:val="center"/>
        </w:trPr>
        <w:tc>
          <w:tcPr>
            <w:tcW w:w="2826" w:type="dxa"/>
            <w:tcBorders>
              <w:top w:val="dotted" w:sz="4" w:space="0" w:color="auto"/>
            </w:tcBorders>
            <w:vAlign w:val="center"/>
            <w:hideMark/>
          </w:tcPr>
          <w:p w14:paraId="08F1B630" w14:textId="0171827B" w:rsidR="001C0F68" w:rsidRPr="00632F66" w:rsidRDefault="001C0F68" w:rsidP="001C0F68">
            <w:pPr>
              <w:keepNext/>
              <w:rPr>
                <w:sz w:val="18"/>
                <w:szCs w:val="18"/>
              </w:rPr>
            </w:pPr>
            <w:r w:rsidRPr="00632F66">
              <w:rPr>
                <w:sz w:val="18"/>
                <w:szCs w:val="18"/>
              </w:rPr>
              <w:t xml:space="preserve">Mathematics </w:t>
            </w:r>
            <w:r w:rsidRPr="00632F66">
              <w:rPr>
                <w:sz w:val="18"/>
                <w:szCs w:val="18"/>
                <w:vertAlign w:val="superscript"/>
              </w:rPr>
              <w:t>(</w:t>
            </w:r>
            <w:r>
              <w:rPr>
                <w:sz w:val="18"/>
                <w:szCs w:val="18"/>
                <w:vertAlign w:val="superscript"/>
              </w:rPr>
              <w:t>5</w:t>
            </w:r>
            <w:r w:rsidRPr="00632F66">
              <w:rPr>
                <w:sz w:val="18"/>
                <w:szCs w:val="18"/>
                <w:vertAlign w:val="superscript"/>
              </w:rPr>
              <w:t>)</w:t>
            </w:r>
          </w:p>
        </w:tc>
        <w:tc>
          <w:tcPr>
            <w:tcW w:w="1530" w:type="dxa"/>
            <w:tcBorders>
              <w:top w:val="dotted" w:sz="4" w:space="0" w:color="auto"/>
            </w:tcBorders>
            <w:vAlign w:val="center"/>
          </w:tcPr>
          <w:p w14:paraId="3BE6FD25" w14:textId="35ADCD08" w:rsidR="001C0F68" w:rsidRPr="00EF1E4D" w:rsidRDefault="001C0F68" w:rsidP="001C0F68">
            <w:pPr>
              <w:keepNext/>
              <w:jc w:val="center"/>
              <w:rPr>
                <w:sz w:val="18"/>
                <w:szCs w:val="18"/>
                <w:vertAlign w:val="superscript"/>
              </w:rPr>
            </w:pPr>
            <w:r>
              <w:rPr>
                <w:noProof/>
                <w:sz w:val="18"/>
                <w:szCs w:val="18"/>
              </w:rPr>
              <w:drawing>
                <wp:inline distT="0" distB="0" distL="0" distR="0" wp14:anchorId="679F7808" wp14:editId="6BCCB9B9">
                  <wp:extent cx="320040" cy="177089"/>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 cy="177089"/>
                          </a:xfrm>
                          <a:prstGeom prst="rect">
                            <a:avLst/>
                          </a:prstGeom>
                          <a:noFill/>
                        </pic:spPr>
                      </pic:pic>
                    </a:graphicData>
                  </a:graphic>
                </wp:inline>
              </w:drawing>
            </w:r>
          </w:p>
        </w:tc>
        <w:tc>
          <w:tcPr>
            <w:tcW w:w="3024" w:type="dxa"/>
            <w:gridSpan w:val="2"/>
            <w:tcBorders>
              <w:top w:val="dotted" w:sz="4" w:space="0" w:color="auto"/>
            </w:tcBorders>
            <w:vAlign w:val="center"/>
          </w:tcPr>
          <w:p w14:paraId="278A46A4" w14:textId="329CE187" w:rsidR="001C0F68" w:rsidRPr="00632F66" w:rsidRDefault="001C0F68" w:rsidP="001C0F68">
            <w:pPr>
              <w:keepNext/>
              <w:jc w:val="center"/>
              <w:rPr>
                <w:sz w:val="18"/>
                <w:szCs w:val="18"/>
              </w:rPr>
            </w:pPr>
            <w:r>
              <w:rPr>
                <w:sz w:val="18"/>
                <w:szCs w:val="18"/>
              </w:rPr>
              <w:t>103.6 points below standard</w:t>
            </w:r>
          </w:p>
        </w:tc>
        <w:tc>
          <w:tcPr>
            <w:tcW w:w="2592" w:type="dxa"/>
            <w:gridSpan w:val="2"/>
            <w:tcBorders>
              <w:top w:val="dotted" w:sz="4" w:space="0" w:color="auto"/>
            </w:tcBorders>
            <w:vAlign w:val="center"/>
          </w:tcPr>
          <w:p w14:paraId="2640884D" w14:textId="77777777" w:rsidR="001C0F68" w:rsidRPr="006077BA" w:rsidRDefault="001C0F68" w:rsidP="001C0F68">
            <w:pPr>
              <w:keepNext/>
              <w:jc w:val="center"/>
              <w:rPr>
                <w:sz w:val="18"/>
                <w:szCs w:val="18"/>
              </w:rPr>
            </w:pPr>
            <w:r>
              <w:rPr>
                <w:sz w:val="18"/>
                <w:szCs w:val="18"/>
              </w:rPr>
              <w:t>Increased</w:t>
            </w:r>
          </w:p>
          <w:p w14:paraId="7EC4BF04" w14:textId="79081480" w:rsidR="001C0F68" w:rsidRPr="00EF1E4D" w:rsidRDefault="001C0F68" w:rsidP="001C0F68">
            <w:pPr>
              <w:keepNext/>
              <w:jc w:val="center"/>
              <w:rPr>
                <w:sz w:val="18"/>
                <w:szCs w:val="18"/>
                <w:vertAlign w:val="superscript"/>
              </w:rPr>
            </w:pPr>
            <w:r>
              <w:rPr>
                <w:i/>
                <w:sz w:val="18"/>
                <w:szCs w:val="18"/>
              </w:rPr>
              <w:t>(+19.9 points)</w:t>
            </w:r>
          </w:p>
        </w:tc>
      </w:tr>
      <w:tr w:rsidR="001C0F68" w:rsidRPr="00632F66" w14:paraId="10D2C287" w14:textId="77777777" w:rsidTr="00B142B0">
        <w:trPr>
          <w:trHeight w:val="302"/>
          <w:jc w:val="center"/>
        </w:trPr>
        <w:tc>
          <w:tcPr>
            <w:tcW w:w="2826" w:type="dxa"/>
            <w:tcBorders>
              <w:top w:val="dotted" w:sz="4" w:space="0" w:color="auto"/>
            </w:tcBorders>
            <w:vAlign w:val="center"/>
          </w:tcPr>
          <w:p w14:paraId="3DF90E66" w14:textId="6AC65CFB" w:rsidR="001C0F68" w:rsidRPr="00632F66" w:rsidRDefault="001C0F68" w:rsidP="001C0F68">
            <w:pPr>
              <w:keepNext/>
              <w:rPr>
                <w:sz w:val="18"/>
                <w:szCs w:val="18"/>
              </w:rPr>
            </w:pPr>
            <w:r>
              <w:rPr>
                <w:sz w:val="18"/>
                <w:szCs w:val="18"/>
              </w:rPr>
              <w:t>Graduation Rate</w:t>
            </w:r>
            <w:r>
              <w:rPr>
                <w:sz w:val="18"/>
                <w:szCs w:val="18"/>
                <w:vertAlign w:val="superscript"/>
              </w:rPr>
              <w:t>(6</w:t>
            </w:r>
            <w:r w:rsidRPr="00632F66">
              <w:rPr>
                <w:sz w:val="18"/>
                <w:szCs w:val="18"/>
                <w:vertAlign w:val="superscript"/>
              </w:rPr>
              <w:t>)</w:t>
            </w:r>
          </w:p>
        </w:tc>
        <w:tc>
          <w:tcPr>
            <w:tcW w:w="1530" w:type="dxa"/>
            <w:tcBorders>
              <w:top w:val="dotted" w:sz="4" w:space="0" w:color="auto"/>
            </w:tcBorders>
            <w:vAlign w:val="bottom"/>
          </w:tcPr>
          <w:p w14:paraId="16AA3FB7" w14:textId="16AB75CA" w:rsidR="001C0F68" w:rsidRDefault="001C0F68" w:rsidP="001C0F68">
            <w:pPr>
              <w:keepNext/>
              <w:jc w:val="center"/>
              <w:rPr>
                <w:sz w:val="18"/>
                <w:szCs w:val="18"/>
              </w:rPr>
            </w:pPr>
            <w:r>
              <w:rPr>
                <w:noProof/>
                <w:sz w:val="18"/>
                <w:szCs w:val="18"/>
              </w:rPr>
              <w:drawing>
                <wp:inline distT="0" distB="0" distL="0" distR="0" wp14:anchorId="45BE040F" wp14:editId="2EACF3BD">
                  <wp:extent cx="320040" cy="177089"/>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 cy="177089"/>
                          </a:xfrm>
                          <a:prstGeom prst="rect">
                            <a:avLst/>
                          </a:prstGeom>
                          <a:noFill/>
                        </pic:spPr>
                      </pic:pic>
                    </a:graphicData>
                  </a:graphic>
                </wp:inline>
              </w:drawing>
            </w:r>
          </w:p>
        </w:tc>
        <w:tc>
          <w:tcPr>
            <w:tcW w:w="3024" w:type="dxa"/>
            <w:gridSpan w:val="2"/>
            <w:tcBorders>
              <w:top w:val="dotted" w:sz="4" w:space="0" w:color="auto"/>
            </w:tcBorders>
            <w:vAlign w:val="center"/>
          </w:tcPr>
          <w:p w14:paraId="1C5B0F19" w14:textId="41B451BD" w:rsidR="001C0F68" w:rsidRPr="00632F66" w:rsidRDefault="001C0F68" w:rsidP="001C0F68">
            <w:pPr>
              <w:keepNext/>
              <w:jc w:val="center"/>
              <w:rPr>
                <w:sz w:val="18"/>
                <w:szCs w:val="18"/>
              </w:rPr>
            </w:pPr>
            <w:r>
              <w:rPr>
                <w:sz w:val="18"/>
                <w:szCs w:val="18"/>
              </w:rPr>
              <w:t>94.2% graduated</w:t>
            </w:r>
          </w:p>
        </w:tc>
        <w:tc>
          <w:tcPr>
            <w:tcW w:w="2592" w:type="dxa"/>
            <w:gridSpan w:val="2"/>
            <w:tcBorders>
              <w:top w:val="dotted" w:sz="4" w:space="0" w:color="auto"/>
            </w:tcBorders>
            <w:vAlign w:val="center"/>
          </w:tcPr>
          <w:p w14:paraId="44F9FF49" w14:textId="77777777" w:rsidR="001C0F68" w:rsidRPr="006077BA" w:rsidRDefault="001C0F68" w:rsidP="001C0F68">
            <w:pPr>
              <w:keepNext/>
              <w:jc w:val="center"/>
              <w:rPr>
                <w:sz w:val="18"/>
                <w:szCs w:val="18"/>
              </w:rPr>
            </w:pPr>
            <w:r>
              <w:rPr>
                <w:sz w:val="18"/>
                <w:szCs w:val="18"/>
              </w:rPr>
              <w:t>Declined</w:t>
            </w:r>
          </w:p>
          <w:p w14:paraId="6C5EEDB9" w14:textId="2AB6C676" w:rsidR="001C0F68" w:rsidRPr="00EF1E4D" w:rsidRDefault="001C0F68" w:rsidP="001C0F68">
            <w:pPr>
              <w:keepNext/>
              <w:jc w:val="center"/>
              <w:rPr>
                <w:sz w:val="18"/>
                <w:szCs w:val="18"/>
                <w:vertAlign w:val="superscript"/>
              </w:rPr>
            </w:pPr>
            <w:r>
              <w:rPr>
                <w:i/>
                <w:sz w:val="18"/>
                <w:szCs w:val="18"/>
              </w:rPr>
              <w:t>(-2.6</w:t>
            </w:r>
            <w:r w:rsidRPr="006077BA">
              <w:rPr>
                <w:i/>
                <w:sz w:val="18"/>
                <w:szCs w:val="18"/>
              </w:rPr>
              <w:t>%</w:t>
            </w:r>
            <w:r>
              <w:rPr>
                <w:i/>
                <w:sz w:val="18"/>
                <w:szCs w:val="18"/>
              </w:rPr>
              <w:t>)</w:t>
            </w:r>
          </w:p>
        </w:tc>
      </w:tr>
      <w:tr w:rsidR="001C0F68" w:rsidRPr="00632F66" w14:paraId="031517A2" w14:textId="77777777" w:rsidTr="00B142B0">
        <w:trPr>
          <w:trHeight w:val="302"/>
          <w:jc w:val="center"/>
        </w:trPr>
        <w:tc>
          <w:tcPr>
            <w:tcW w:w="2826" w:type="dxa"/>
            <w:tcBorders>
              <w:top w:val="dotted" w:sz="4" w:space="0" w:color="auto"/>
            </w:tcBorders>
            <w:vAlign w:val="center"/>
          </w:tcPr>
          <w:p w14:paraId="007D7350" w14:textId="51BCC67A" w:rsidR="001C0F68" w:rsidRPr="00632F66" w:rsidRDefault="001C0F68" w:rsidP="001C0F68">
            <w:pPr>
              <w:keepNext/>
              <w:rPr>
                <w:sz w:val="18"/>
                <w:szCs w:val="18"/>
              </w:rPr>
            </w:pPr>
            <w:r>
              <w:rPr>
                <w:sz w:val="18"/>
                <w:szCs w:val="18"/>
              </w:rPr>
              <w:t>College/Career</w:t>
            </w:r>
            <w:r>
              <w:rPr>
                <w:sz w:val="18"/>
                <w:szCs w:val="18"/>
                <w:vertAlign w:val="superscript"/>
              </w:rPr>
              <w:t>(7</w:t>
            </w:r>
            <w:r w:rsidRPr="00632F66">
              <w:rPr>
                <w:sz w:val="18"/>
                <w:szCs w:val="18"/>
                <w:vertAlign w:val="superscript"/>
              </w:rPr>
              <w:t>)</w:t>
            </w:r>
          </w:p>
        </w:tc>
        <w:tc>
          <w:tcPr>
            <w:tcW w:w="1530" w:type="dxa"/>
            <w:tcBorders>
              <w:top w:val="dotted" w:sz="4" w:space="0" w:color="auto"/>
            </w:tcBorders>
            <w:vAlign w:val="bottom"/>
          </w:tcPr>
          <w:p w14:paraId="67BD755D" w14:textId="19149DD8" w:rsidR="001C0F68" w:rsidRDefault="001C0F68" w:rsidP="001C0F68">
            <w:pPr>
              <w:keepNext/>
              <w:jc w:val="center"/>
              <w:rPr>
                <w:sz w:val="18"/>
                <w:szCs w:val="18"/>
              </w:rPr>
            </w:pPr>
            <w:r>
              <w:rPr>
                <w:noProof/>
                <w:sz w:val="18"/>
                <w:szCs w:val="18"/>
              </w:rPr>
              <w:drawing>
                <wp:inline distT="0" distB="0" distL="0" distR="0" wp14:anchorId="738924A1" wp14:editId="556E738D">
                  <wp:extent cx="320040" cy="177089"/>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 cy="177089"/>
                          </a:xfrm>
                          <a:prstGeom prst="rect">
                            <a:avLst/>
                          </a:prstGeom>
                          <a:noFill/>
                        </pic:spPr>
                      </pic:pic>
                    </a:graphicData>
                  </a:graphic>
                </wp:inline>
              </w:drawing>
            </w:r>
          </w:p>
        </w:tc>
        <w:tc>
          <w:tcPr>
            <w:tcW w:w="3024" w:type="dxa"/>
            <w:gridSpan w:val="2"/>
            <w:tcBorders>
              <w:top w:val="dotted" w:sz="4" w:space="0" w:color="auto"/>
            </w:tcBorders>
            <w:vAlign w:val="center"/>
          </w:tcPr>
          <w:p w14:paraId="6A4C5E8E" w14:textId="0D5D91CA" w:rsidR="001C0F68" w:rsidRPr="00632F66" w:rsidRDefault="001C0F68" w:rsidP="001C0F68">
            <w:pPr>
              <w:keepNext/>
              <w:jc w:val="center"/>
              <w:rPr>
                <w:sz w:val="18"/>
                <w:szCs w:val="18"/>
              </w:rPr>
            </w:pPr>
            <w:r>
              <w:rPr>
                <w:sz w:val="18"/>
                <w:szCs w:val="18"/>
              </w:rPr>
              <w:t>37.8% prepared</w:t>
            </w:r>
          </w:p>
        </w:tc>
        <w:tc>
          <w:tcPr>
            <w:tcW w:w="2592" w:type="dxa"/>
            <w:gridSpan w:val="2"/>
            <w:tcBorders>
              <w:top w:val="dotted" w:sz="4" w:space="0" w:color="auto"/>
            </w:tcBorders>
            <w:vAlign w:val="center"/>
          </w:tcPr>
          <w:p w14:paraId="10ABAC7F" w14:textId="77777777" w:rsidR="001C0F68" w:rsidRPr="006077BA" w:rsidRDefault="001C0F68" w:rsidP="001C0F68">
            <w:pPr>
              <w:keepNext/>
              <w:jc w:val="center"/>
              <w:rPr>
                <w:sz w:val="18"/>
                <w:szCs w:val="18"/>
              </w:rPr>
            </w:pPr>
            <w:r>
              <w:rPr>
                <w:sz w:val="18"/>
                <w:szCs w:val="18"/>
              </w:rPr>
              <w:t>Increased</w:t>
            </w:r>
          </w:p>
          <w:p w14:paraId="0ED456DD" w14:textId="57D79621" w:rsidR="001C0F68" w:rsidRPr="00EF1E4D" w:rsidRDefault="001C0F68" w:rsidP="001C0F68">
            <w:pPr>
              <w:keepNext/>
              <w:jc w:val="center"/>
              <w:rPr>
                <w:sz w:val="18"/>
                <w:szCs w:val="18"/>
                <w:vertAlign w:val="superscript"/>
              </w:rPr>
            </w:pPr>
            <w:r>
              <w:rPr>
                <w:i/>
                <w:sz w:val="18"/>
                <w:szCs w:val="18"/>
              </w:rPr>
              <w:t>(+5.8</w:t>
            </w:r>
            <w:r w:rsidRPr="006077BA">
              <w:rPr>
                <w:i/>
                <w:sz w:val="18"/>
                <w:szCs w:val="18"/>
              </w:rPr>
              <w:t>%</w:t>
            </w:r>
            <w:r>
              <w:rPr>
                <w:i/>
                <w:sz w:val="18"/>
                <w:szCs w:val="18"/>
              </w:rPr>
              <w:t>)</w:t>
            </w:r>
          </w:p>
        </w:tc>
      </w:tr>
      <w:tr w:rsidR="001C0F68" w:rsidRPr="00632F66" w14:paraId="595B2E24" w14:textId="77777777" w:rsidTr="00C634FA">
        <w:trPr>
          <w:gridAfter w:val="1"/>
          <w:wAfter w:w="432" w:type="dxa"/>
          <w:trHeight w:val="144"/>
          <w:jc w:val="center"/>
        </w:trPr>
        <w:tc>
          <w:tcPr>
            <w:tcW w:w="2826" w:type="dxa"/>
            <w:vAlign w:val="center"/>
          </w:tcPr>
          <w:p w14:paraId="5B384FEE" w14:textId="77777777" w:rsidR="001C0F68" w:rsidRPr="00632F66" w:rsidRDefault="001C0F68" w:rsidP="001C0F68">
            <w:pPr>
              <w:keepNext/>
              <w:rPr>
                <w:sz w:val="18"/>
                <w:szCs w:val="18"/>
              </w:rPr>
            </w:pPr>
          </w:p>
        </w:tc>
        <w:tc>
          <w:tcPr>
            <w:tcW w:w="1530" w:type="dxa"/>
            <w:vAlign w:val="center"/>
          </w:tcPr>
          <w:p w14:paraId="1A5F5281" w14:textId="77777777" w:rsidR="001C0F68" w:rsidRPr="00632F66" w:rsidRDefault="001C0F68" w:rsidP="001C0F68">
            <w:pPr>
              <w:keepNext/>
              <w:jc w:val="center"/>
              <w:rPr>
                <w:sz w:val="18"/>
                <w:szCs w:val="18"/>
              </w:rPr>
            </w:pPr>
          </w:p>
        </w:tc>
        <w:tc>
          <w:tcPr>
            <w:tcW w:w="2592" w:type="dxa"/>
            <w:vAlign w:val="center"/>
          </w:tcPr>
          <w:p w14:paraId="55ECDEB4" w14:textId="77777777" w:rsidR="001C0F68" w:rsidRPr="00632F66" w:rsidRDefault="001C0F68" w:rsidP="001C0F68">
            <w:pPr>
              <w:keepNext/>
              <w:jc w:val="center"/>
              <w:rPr>
                <w:sz w:val="18"/>
                <w:szCs w:val="18"/>
              </w:rPr>
            </w:pPr>
          </w:p>
        </w:tc>
        <w:tc>
          <w:tcPr>
            <w:tcW w:w="2592" w:type="dxa"/>
            <w:gridSpan w:val="2"/>
            <w:vAlign w:val="center"/>
          </w:tcPr>
          <w:p w14:paraId="7B286FEF" w14:textId="77777777" w:rsidR="001C0F68" w:rsidRPr="00632F66" w:rsidRDefault="001C0F68" w:rsidP="001C0F68">
            <w:pPr>
              <w:keepNext/>
              <w:jc w:val="center"/>
              <w:rPr>
                <w:sz w:val="18"/>
                <w:szCs w:val="18"/>
              </w:rPr>
            </w:pPr>
          </w:p>
        </w:tc>
      </w:tr>
      <w:tr w:rsidR="001C0F68" w:rsidRPr="00632F66" w14:paraId="04254A78" w14:textId="77777777" w:rsidTr="00C634FA">
        <w:trPr>
          <w:gridAfter w:val="1"/>
          <w:wAfter w:w="432" w:type="dxa"/>
          <w:trHeight w:val="144"/>
          <w:jc w:val="center"/>
        </w:trPr>
        <w:tc>
          <w:tcPr>
            <w:tcW w:w="2826" w:type="dxa"/>
            <w:vAlign w:val="bottom"/>
            <w:hideMark/>
          </w:tcPr>
          <w:p w14:paraId="1A0600E9" w14:textId="77777777" w:rsidR="001C0F68" w:rsidRPr="00632F66" w:rsidRDefault="001C0F68" w:rsidP="001C0F68">
            <w:pPr>
              <w:keepNext/>
              <w:rPr>
                <w:b/>
                <w:sz w:val="18"/>
                <w:szCs w:val="18"/>
                <w:u w:val="single"/>
              </w:rPr>
            </w:pPr>
            <w:r w:rsidRPr="00632F66">
              <w:rPr>
                <w:b/>
                <w:sz w:val="18"/>
                <w:szCs w:val="18"/>
                <w:u w:val="single"/>
              </w:rPr>
              <w:t>Local Indicators</w:t>
            </w:r>
          </w:p>
        </w:tc>
        <w:tc>
          <w:tcPr>
            <w:tcW w:w="1530" w:type="dxa"/>
            <w:vAlign w:val="bottom"/>
          </w:tcPr>
          <w:p w14:paraId="735D9859" w14:textId="77777777" w:rsidR="001C0F68" w:rsidRPr="00632F66" w:rsidRDefault="001C0F68" w:rsidP="001C0F68">
            <w:pPr>
              <w:keepNext/>
              <w:jc w:val="center"/>
              <w:rPr>
                <w:b/>
                <w:sz w:val="18"/>
                <w:szCs w:val="18"/>
                <w:u w:val="single"/>
              </w:rPr>
            </w:pPr>
          </w:p>
        </w:tc>
        <w:tc>
          <w:tcPr>
            <w:tcW w:w="2592" w:type="dxa"/>
            <w:vAlign w:val="bottom"/>
          </w:tcPr>
          <w:p w14:paraId="68AA86E4" w14:textId="77777777" w:rsidR="001C0F68" w:rsidRPr="00632F66" w:rsidRDefault="001C0F68" w:rsidP="001C0F68">
            <w:pPr>
              <w:keepNext/>
              <w:jc w:val="center"/>
              <w:rPr>
                <w:b/>
                <w:sz w:val="18"/>
                <w:szCs w:val="18"/>
                <w:u w:val="single"/>
              </w:rPr>
            </w:pPr>
            <w:r w:rsidRPr="00632F66">
              <w:rPr>
                <w:b/>
                <w:sz w:val="18"/>
                <w:szCs w:val="18"/>
                <w:u w:val="single"/>
              </w:rPr>
              <w:t>Ratings</w:t>
            </w:r>
          </w:p>
        </w:tc>
        <w:tc>
          <w:tcPr>
            <w:tcW w:w="2592" w:type="dxa"/>
            <w:gridSpan w:val="2"/>
            <w:vAlign w:val="center"/>
          </w:tcPr>
          <w:p w14:paraId="7105BCB4" w14:textId="77777777" w:rsidR="001C0F68" w:rsidRPr="00632F66" w:rsidRDefault="001C0F68" w:rsidP="001C0F68">
            <w:pPr>
              <w:keepNext/>
              <w:jc w:val="center"/>
              <w:rPr>
                <w:sz w:val="18"/>
                <w:szCs w:val="18"/>
              </w:rPr>
            </w:pPr>
          </w:p>
        </w:tc>
      </w:tr>
      <w:tr w:rsidR="001C0F68" w:rsidRPr="00632F66" w14:paraId="6F98F6D9" w14:textId="77777777" w:rsidTr="00C634FA">
        <w:trPr>
          <w:gridAfter w:val="1"/>
          <w:wAfter w:w="432" w:type="dxa"/>
          <w:trHeight w:val="216"/>
          <w:jc w:val="center"/>
        </w:trPr>
        <w:tc>
          <w:tcPr>
            <w:tcW w:w="4356" w:type="dxa"/>
            <w:gridSpan w:val="2"/>
            <w:vAlign w:val="center"/>
            <w:hideMark/>
          </w:tcPr>
          <w:p w14:paraId="25A6817D" w14:textId="77777777" w:rsidR="001C0F68" w:rsidRPr="00632F66" w:rsidRDefault="001C0F68" w:rsidP="001C0F68">
            <w:pPr>
              <w:keepNext/>
              <w:rPr>
                <w:sz w:val="18"/>
                <w:szCs w:val="18"/>
              </w:rPr>
            </w:pPr>
            <w:r w:rsidRPr="00632F66">
              <w:rPr>
                <w:sz w:val="18"/>
                <w:szCs w:val="18"/>
              </w:rPr>
              <w:t>Basics: Teachers, Instructional Materials, Facilities)</w:t>
            </w:r>
          </w:p>
        </w:tc>
        <w:tc>
          <w:tcPr>
            <w:tcW w:w="2592" w:type="dxa"/>
            <w:vAlign w:val="center"/>
          </w:tcPr>
          <w:p w14:paraId="7FC24C1B" w14:textId="77777777" w:rsidR="001C0F68" w:rsidRPr="00632F66" w:rsidRDefault="001C0F68" w:rsidP="001C0F68">
            <w:pPr>
              <w:keepNext/>
              <w:jc w:val="center"/>
              <w:rPr>
                <w:sz w:val="18"/>
                <w:szCs w:val="18"/>
              </w:rPr>
            </w:pPr>
            <w:r>
              <w:rPr>
                <w:sz w:val="18"/>
                <w:szCs w:val="18"/>
              </w:rPr>
              <w:t>Standard Met</w:t>
            </w:r>
          </w:p>
        </w:tc>
        <w:tc>
          <w:tcPr>
            <w:tcW w:w="2592" w:type="dxa"/>
            <w:gridSpan w:val="2"/>
            <w:vAlign w:val="center"/>
          </w:tcPr>
          <w:p w14:paraId="5BEEB4BF" w14:textId="77777777" w:rsidR="001C0F68" w:rsidRPr="00632F66" w:rsidRDefault="001C0F68" w:rsidP="001C0F68">
            <w:pPr>
              <w:keepNext/>
              <w:jc w:val="center"/>
              <w:rPr>
                <w:sz w:val="18"/>
                <w:szCs w:val="18"/>
              </w:rPr>
            </w:pPr>
          </w:p>
        </w:tc>
      </w:tr>
      <w:tr w:rsidR="001C0F68" w:rsidRPr="00632F66" w14:paraId="4C42F93F" w14:textId="77777777" w:rsidTr="00C634FA">
        <w:trPr>
          <w:gridAfter w:val="1"/>
          <w:wAfter w:w="432" w:type="dxa"/>
          <w:trHeight w:val="216"/>
          <w:jc w:val="center"/>
        </w:trPr>
        <w:tc>
          <w:tcPr>
            <w:tcW w:w="4356" w:type="dxa"/>
            <w:gridSpan w:val="2"/>
            <w:vAlign w:val="center"/>
            <w:hideMark/>
          </w:tcPr>
          <w:p w14:paraId="5A42DF83" w14:textId="77777777" w:rsidR="001C0F68" w:rsidRPr="00632F66" w:rsidRDefault="001C0F68" w:rsidP="001C0F68">
            <w:pPr>
              <w:keepNext/>
              <w:rPr>
                <w:sz w:val="18"/>
                <w:szCs w:val="18"/>
              </w:rPr>
            </w:pPr>
            <w:r w:rsidRPr="00632F66">
              <w:rPr>
                <w:sz w:val="18"/>
                <w:szCs w:val="18"/>
              </w:rPr>
              <w:t>Implementation of Academic Standards</w:t>
            </w:r>
          </w:p>
        </w:tc>
        <w:tc>
          <w:tcPr>
            <w:tcW w:w="2592" w:type="dxa"/>
            <w:vAlign w:val="center"/>
          </w:tcPr>
          <w:p w14:paraId="52858805" w14:textId="77777777" w:rsidR="001C0F68" w:rsidRPr="00632F66" w:rsidRDefault="001C0F68" w:rsidP="001C0F68">
            <w:pPr>
              <w:keepNext/>
              <w:jc w:val="center"/>
              <w:rPr>
                <w:sz w:val="18"/>
                <w:szCs w:val="18"/>
              </w:rPr>
            </w:pPr>
            <w:r>
              <w:rPr>
                <w:sz w:val="18"/>
                <w:szCs w:val="18"/>
              </w:rPr>
              <w:t>Standard Met</w:t>
            </w:r>
          </w:p>
        </w:tc>
        <w:tc>
          <w:tcPr>
            <w:tcW w:w="2592" w:type="dxa"/>
            <w:gridSpan w:val="2"/>
            <w:vAlign w:val="center"/>
          </w:tcPr>
          <w:p w14:paraId="67C00314" w14:textId="77777777" w:rsidR="001C0F68" w:rsidRPr="00632F66" w:rsidRDefault="001C0F68" w:rsidP="001C0F68">
            <w:pPr>
              <w:keepNext/>
              <w:jc w:val="center"/>
              <w:rPr>
                <w:sz w:val="18"/>
                <w:szCs w:val="18"/>
              </w:rPr>
            </w:pPr>
          </w:p>
        </w:tc>
      </w:tr>
      <w:tr w:rsidR="001C0F68" w:rsidRPr="00632F66" w14:paraId="131BD4C3" w14:textId="77777777" w:rsidTr="00C634FA">
        <w:trPr>
          <w:gridAfter w:val="1"/>
          <w:wAfter w:w="432" w:type="dxa"/>
          <w:trHeight w:val="216"/>
          <w:jc w:val="center"/>
        </w:trPr>
        <w:tc>
          <w:tcPr>
            <w:tcW w:w="4356" w:type="dxa"/>
            <w:gridSpan w:val="2"/>
            <w:vAlign w:val="center"/>
            <w:hideMark/>
          </w:tcPr>
          <w:p w14:paraId="4060BDB4" w14:textId="77777777" w:rsidR="001C0F68" w:rsidRPr="00632F66" w:rsidRDefault="001C0F68" w:rsidP="001C0F68">
            <w:pPr>
              <w:keepNext/>
              <w:rPr>
                <w:sz w:val="18"/>
                <w:szCs w:val="18"/>
              </w:rPr>
            </w:pPr>
            <w:r w:rsidRPr="00632F66">
              <w:rPr>
                <w:sz w:val="18"/>
                <w:szCs w:val="18"/>
              </w:rPr>
              <w:t>Parent and Family Engagement</w:t>
            </w:r>
          </w:p>
        </w:tc>
        <w:tc>
          <w:tcPr>
            <w:tcW w:w="2592" w:type="dxa"/>
            <w:vAlign w:val="center"/>
          </w:tcPr>
          <w:p w14:paraId="5A5A77BC" w14:textId="77777777" w:rsidR="001C0F68" w:rsidRPr="00632F66" w:rsidRDefault="001C0F68" w:rsidP="001C0F68">
            <w:pPr>
              <w:keepNext/>
              <w:jc w:val="center"/>
              <w:rPr>
                <w:sz w:val="18"/>
                <w:szCs w:val="18"/>
              </w:rPr>
            </w:pPr>
            <w:r>
              <w:rPr>
                <w:sz w:val="18"/>
                <w:szCs w:val="18"/>
              </w:rPr>
              <w:t>Standard Met</w:t>
            </w:r>
          </w:p>
        </w:tc>
        <w:tc>
          <w:tcPr>
            <w:tcW w:w="2592" w:type="dxa"/>
            <w:gridSpan w:val="2"/>
            <w:vAlign w:val="center"/>
          </w:tcPr>
          <w:p w14:paraId="5BB03CDD" w14:textId="77777777" w:rsidR="001C0F68" w:rsidRPr="00632F66" w:rsidRDefault="001C0F68" w:rsidP="001C0F68">
            <w:pPr>
              <w:keepNext/>
              <w:jc w:val="center"/>
              <w:rPr>
                <w:sz w:val="18"/>
                <w:szCs w:val="18"/>
              </w:rPr>
            </w:pPr>
          </w:p>
        </w:tc>
      </w:tr>
      <w:tr w:rsidR="001C0F68" w:rsidRPr="00632F66" w14:paraId="396310E4" w14:textId="77777777" w:rsidTr="00C634FA">
        <w:trPr>
          <w:gridAfter w:val="1"/>
          <w:wAfter w:w="432" w:type="dxa"/>
          <w:trHeight w:val="216"/>
          <w:jc w:val="center"/>
        </w:trPr>
        <w:tc>
          <w:tcPr>
            <w:tcW w:w="4356" w:type="dxa"/>
            <w:gridSpan w:val="2"/>
            <w:vAlign w:val="center"/>
            <w:hideMark/>
          </w:tcPr>
          <w:p w14:paraId="2DBDF497" w14:textId="77777777" w:rsidR="001C0F68" w:rsidRPr="00632F66" w:rsidRDefault="001C0F68" w:rsidP="001C0F68">
            <w:pPr>
              <w:keepNext/>
              <w:rPr>
                <w:sz w:val="18"/>
                <w:szCs w:val="18"/>
              </w:rPr>
            </w:pPr>
            <w:r w:rsidRPr="00632F66">
              <w:rPr>
                <w:sz w:val="18"/>
                <w:szCs w:val="18"/>
              </w:rPr>
              <w:t>Local Climate Survey</w:t>
            </w:r>
          </w:p>
        </w:tc>
        <w:tc>
          <w:tcPr>
            <w:tcW w:w="2592" w:type="dxa"/>
            <w:vAlign w:val="center"/>
          </w:tcPr>
          <w:p w14:paraId="6B5CFDB9" w14:textId="77777777" w:rsidR="001C0F68" w:rsidRPr="00632F66" w:rsidRDefault="001C0F68" w:rsidP="001C0F68">
            <w:pPr>
              <w:keepNext/>
              <w:jc w:val="center"/>
              <w:rPr>
                <w:sz w:val="18"/>
                <w:szCs w:val="18"/>
              </w:rPr>
            </w:pPr>
            <w:r>
              <w:rPr>
                <w:sz w:val="18"/>
                <w:szCs w:val="18"/>
              </w:rPr>
              <w:t>Standard Met</w:t>
            </w:r>
          </w:p>
        </w:tc>
        <w:tc>
          <w:tcPr>
            <w:tcW w:w="2592" w:type="dxa"/>
            <w:gridSpan w:val="2"/>
            <w:vAlign w:val="center"/>
          </w:tcPr>
          <w:p w14:paraId="697E9D3D" w14:textId="77777777" w:rsidR="001C0F68" w:rsidRPr="00632F66" w:rsidRDefault="001C0F68" w:rsidP="001C0F68">
            <w:pPr>
              <w:keepNext/>
              <w:jc w:val="center"/>
              <w:rPr>
                <w:sz w:val="18"/>
                <w:szCs w:val="18"/>
              </w:rPr>
            </w:pPr>
          </w:p>
        </w:tc>
      </w:tr>
      <w:tr w:rsidR="001C0F68" w:rsidRPr="00632F66" w14:paraId="1CED1268" w14:textId="77777777" w:rsidTr="00C634FA">
        <w:trPr>
          <w:gridAfter w:val="1"/>
          <w:wAfter w:w="432" w:type="dxa"/>
          <w:trHeight w:val="216"/>
          <w:jc w:val="center"/>
        </w:trPr>
        <w:tc>
          <w:tcPr>
            <w:tcW w:w="4356" w:type="dxa"/>
            <w:gridSpan w:val="2"/>
            <w:vAlign w:val="center"/>
          </w:tcPr>
          <w:p w14:paraId="288BCB9A" w14:textId="77777777" w:rsidR="001C0F68" w:rsidRPr="00632F66" w:rsidRDefault="001C0F68" w:rsidP="001C0F68">
            <w:pPr>
              <w:rPr>
                <w:sz w:val="18"/>
                <w:szCs w:val="18"/>
              </w:rPr>
            </w:pPr>
            <w:r w:rsidRPr="00632F66">
              <w:rPr>
                <w:sz w:val="18"/>
                <w:szCs w:val="18"/>
              </w:rPr>
              <w:t>Access to a Broad Course of Study</w:t>
            </w:r>
          </w:p>
        </w:tc>
        <w:tc>
          <w:tcPr>
            <w:tcW w:w="2592" w:type="dxa"/>
            <w:vAlign w:val="center"/>
          </w:tcPr>
          <w:p w14:paraId="160EA572" w14:textId="77777777" w:rsidR="001C0F68" w:rsidRPr="00632F66" w:rsidRDefault="001C0F68" w:rsidP="001C0F68">
            <w:pPr>
              <w:jc w:val="center"/>
              <w:rPr>
                <w:sz w:val="18"/>
                <w:szCs w:val="18"/>
              </w:rPr>
            </w:pPr>
            <w:r>
              <w:rPr>
                <w:sz w:val="18"/>
                <w:szCs w:val="18"/>
              </w:rPr>
              <w:t>Standard Met</w:t>
            </w:r>
          </w:p>
        </w:tc>
        <w:tc>
          <w:tcPr>
            <w:tcW w:w="2592" w:type="dxa"/>
            <w:gridSpan w:val="2"/>
            <w:vAlign w:val="center"/>
          </w:tcPr>
          <w:p w14:paraId="4AEDB95D" w14:textId="77777777" w:rsidR="001C0F68" w:rsidRPr="00632F66" w:rsidRDefault="001C0F68" w:rsidP="001C0F68">
            <w:pPr>
              <w:jc w:val="center"/>
              <w:rPr>
                <w:sz w:val="18"/>
                <w:szCs w:val="18"/>
              </w:rPr>
            </w:pPr>
          </w:p>
        </w:tc>
      </w:tr>
    </w:tbl>
    <w:p w14:paraId="51E6CB86" w14:textId="77777777" w:rsidR="001C0F68" w:rsidRDefault="001C0F68" w:rsidP="001C0F68">
      <w:pPr>
        <w:keepLines/>
        <w:jc w:val="center"/>
        <w:rPr>
          <w:sz w:val="18"/>
        </w:rPr>
      </w:pPr>
    </w:p>
    <w:p w14:paraId="16E5D27A" w14:textId="7010C25A" w:rsidR="001C0F68" w:rsidRDefault="001C0F68" w:rsidP="001C0F68">
      <w:pPr>
        <w:keepLines/>
        <w:jc w:val="center"/>
        <w:rPr>
          <w:sz w:val="18"/>
        </w:rPr>
      </w:pPr>
      <w:r>
        <w:rPr>
          <w:sz w:val="18"/>
        </w:rPr>
        <w:t>[FOOTNOTES ON FOLLOWING PAGE]</w:t>
      </w:r>
    </w:p>
    <w:p w14:paraId="51ADF771" w14:textId="77777777" w:rsidR="00961960" w:rsidRPr="00C64D79" w:rsidRDefault="00961960" w:rsidP="00961960">
      <w:pPr>
        <w:keepNext/>
        <w:keepLines/>
        <w:rPr>
          <w:sz w:val="16"/>
          <w:szCs w:val="18"/>
        </w:rPr>
      </w:pPr>
      <w:r w:rsidRPr="00C64D79">
        <w:rPr>
          <w:sz w:val="16"/>
          <w:szCs w:val="18"/>
          <w:u w:val="single"/>
        </w:rPr>
        <w:lastRenderedPageBreak/>
        <w:tab/>
      </w:r>
      <w:r w:rsidRPr="00C64D79">
        <w:rPr>
          <w:sz w:val="16"/>
          <w:szCs w:val="18"/>
          <w:u w:val="single"/>
        </w:rPr>
        <w:tab/>
      </w:r>
      <w:r w:rsidRPr="00C64D79">
        <w:rPr>
          <w:sz w:val="16"/>
          <w:szCs w:val="18"/>
          <w:u w:val="single"/>
        </w:rPr>
        <w:tab/>
      </w:r>
    </w:p>
    <w:p w14:paraId="19FA8996" w14:textId="77777777" w:rsidR="00961960" w:rsidRPr="00C64D79" w:rsidRDefault="00961960" w:rsidP="00961960">
      <w:pPr>
        <w:keepNext/>
        <w:keepLines/>
        <w:tabs>
          <w:tab w:val="left" w:pos="360"/>
        </w:tabs>
        <w:ind w:left="360" w:hanging="360"/>
        <w:jc w:val="both"/>
        <w:rPr>
          <w:sz w:val="16"/>
          <w:szCs w:val="18"/>
        </w:rPr>
      </w:pPr>
      <w:r w:rsidRPr="00C64D79">
        <w:rPr>
          <w:sz w:val="16"/>
          <w:szCs w:val="18"/>
          <w:vertAlign w:val="superscript"/>
        </w:rPr>
        <w:t>(1)</w:t>
      </w:r>
      <w:r w:rsidRPr="00C64D79">
        <w:rPr>
          <w:sz w:val="16"/>
          <w:szCs w:val="18"/>
        </w:rPr>
        <w:tab/>
        <w:t>Performance levels include, from highest to lowest, Blue, Green, Yellow, Orange and Red, based on the Status and Change levels for each indicator.</w:t>
      </w:r>
    </w:p>
    <w:p w14:paraId="3B7D09AC" w14:textId="77777777" w:rsidR="00961960" w:rsidRPr="00C64D79" w:rsidRDefault="00961960" w:rsidP="00961960">
      <w:pPr>
        <w:keepNext/>
        <w:keepLines/>
        <w:tabs>
          <w:tab w:val="left" w:pos="360"/>
        </w:tabs>
        <w:ind w:left="360" w:hanging="360"/>
        <w:jc w:val="both"/>
        <w:rPr>
          <w:sz w:val="16"/>
          <w:szCs w:val="18"/>
        </w:rPr>
      </w:pPr>
      <w:r w:rsidRPr="00C64D79">
        <w:rPr>
          <w:sz w:val="16"/>
          <w:szCs w:val="18"/>
          <w:vertAlign w:val="superscript"/>
        </w:rPr>
        <w:t>(2)</w:t>
      </w:r>
      <w:r w:rsidRPr="00C64D79">
        <w:rPr>
          <w:sz w:val="16"/>
          <w:szCs w:val="18"/>
        </w:rPr>
        <w:tab/>
        <w:t>Chronic Absenteeism Status level is based on the number of students absent for 10% or more of instructional days within the 2018-19 school year.  Chronic Absenteeism Change level is based on the difference between the chronic absenteeism rates for the 2018-19 and 2017-18 school years.</w:t>
      </w:r>
    </w:p>
    <w:p w14:paraId="46E8DE94" w14:textId="77777777" w:rsidR="00961960" w:rsidRPr="00C64D79" w:rsidRDefault="00961960" w:rsidP="00961960">
      <w:pPr>
        <w:keepNext/>
        <w:keepLines/>
        <w:tabs>
          <w:tab w:val="left" w:pos="360"/>
        </w:tabs>
        <w:ind w:left="360" w:hanging="360"/>
        <w:jc w:val="both"/>
        <w:rPr>
          <w:sz w:val="16"/>
          <w:szCs w:val="18"/>
        </w:rPr>
      </w:pPr>
      <w:r w:rsidRPr="00C64D79">
        <w:rPr>
          <w:sz w:val="16"/>
          <w:szCs w:val="18"/>
          <w:vertAlign w:val="superscript"/>
        </w:rPr>
        <w:t>(3)</w:t>
      </w:r>
      <w:r w:rsidRPr="00C64D79">
        <w:rPr>
          <w:sz w:val="16"/>
          <w:szCs w:val="18"/>
          <w:vertAlign w:val="superscript"/>
        </w:rPr>
        <w:tab/>
      </w:r>
      <w:r w:rsidRPr="00C64D79">
        <w:rPr>
          <w:sz w:val="16"/>
          <w:szCs w:val="18"/>
        </w:rPr>
        <w:t>Suspension Rate Status level is based on the unduplicated number of students suspended within the 2018-19 school year.  Suspension Rate Change level is based on the difference between the suspension rates for the 2018-19 and 2017-18 school years.</w:t>
      </w:r>
    </w:p>
    <w:p w14:paraId="6EAFBE76" w14:textId="77777777" w:rsidR="00961960" w:rsidRPr="00C64D79" w:rsidRDefault="00961960" w:rsidP="00961960">
      <w:pPr>
        <w:keepNext/>
        <w:keepLines/>
        <w:tabs>
          <w:tab w:val="left" w:pos="360"/>
        </w:tabs>
        <w:ind w:left="360" w:hanging="360"/>
        <w:jc w:val="both"/>
        <w:rPr>
          <w:sz w:val="16"/>
          <w:szCs w:val="18"/>
        </w:rPr>
      </w:pPr>
      <w:r w:rsidRPr="00C64D79">
        <w:rPr>
          <w:sz w:val="16"/>
          <w:szCs w:val="18"/>
          <w:vertAlign w:val="superscript"/>
        </w:rPr>
        <w:t>(4)</w:t>
      </w:r>
      <w:r w:rsidRPr="00C64D79">
        <w:rPr>
          <w:sz w:val="16"/>
          <w:szCs w:val="18"/>
          <w:vertAlign w:val="superscript"/>
        </w:rPr>
        <w:tab/>
      </w:r>
      <w:r w:rsidRPr="00C64D79">
        <w:rPr>
          <w:sz w:val="16"/>
          <w:szCs w:val="18"/>
        </w:rPr>
        <w:t>English Learner Progress Status level is based on the percentage of English Language Proficiency Assessments for California (“ELPAC”) test takers scoring at a proficient level in the 2018-19 school year.  A school’s progress level is deemed Very Low for less than 35%; Low for 35% to less than 45%; Medium for 45% to less than 55%; High for 55% to less than 65%; and Very High for 65% or higher.  No Change levels are available for 2019, as the 2017-18 school year was the first year that California transitioned from the California English Language Development Test to the ELPAC and three years of ELPAC data are required to calculate Change.</w:t>
      </w:r>
    </w:p>
    <w:p w14:paraId="672AA7E1" w14:textId="77777777" w:rsidR="00961960" w:rsidRPr="00C64D79" w:rsidRDefault="00961960" w:rsidP="00961960">
      <w:pPr>
        <w:keepNext/>
        <w:keepLines/>
        <w:tabs>
          <w:tab w:val="left" w:pos="360"/>
        </w:tabs>
        <w:ind w:left="360" w:hanging="360"/>
        <w:jc w:val="both"/>
        <w:rPr>
          <w:sz w:val="16"/>
          <w:szCs w:val="18"/>
        </w:rPr>
      </w:pPr>
      <w:r w:rsidRPr="00C64D79">
        <w:rPr>
          <w:sz w:val="16"/>
          <w:szCs w:val="18"/>
          <w:vertAlign w:val="superscript"/>
        </w:rPr>
        <w:t>(5)</w:t>
      </w:r>
      <w:r w:rsidRPr="00C64D79">
        <w:rPr>
          <w:sz w:val="16"/>
          <w:szCs w:val="18"/>
          <w:vertAlign w:val="superscript"/>
        </w:rPr>
        <w:tab/>
      </w:r>
      <w:r w:rsidRPr="00C64D79">
        <w:rPr>
          <w:sz w:val="16"/>
          <w:szCs w:val="18"/>
        </w:rPr>
        <w:t>English Language Arts (“ELA”) and Mathematics Status levels are based on the sum of all grades 3-8 and 11 students’ distance from the minimum score qualifying a student for “Standards Met” on the ELA or Math 2018-19 Smarter Balanced Assessment, divided by the total number of 2018-19 Smarter Balanced Assessment ELA or Math test takers.  English Language Arts and Mathematics Change levels are based on the difference between the current year and prior year Status levels.</w:t>
      </w:r>
    </w:p>
    <w:p w14:paraId="493F54E6" w14:textId="33C7291C" w:rsidR="001C0F68" w:rsidRDefault="001C0F68" w:rsidP="001C0F68">
      <w:pPr>
        <w:keepNext/>
        <w:keepLines/>
        <w:tabs>
          <w:tab w:val="left" w:pos="360"/>
        </w:tabs>
        <w:ind w:left="360" w:hanging="360"/>
        <w:jc w:val="both"/>
        <w:rPr>
          <w:sz w:val="18"/>
          <w:szCs w:val="18"/>
        </w:rPr>
      </w:pPr>
      <w:r>
        <w:rPr>
          <w:sz w:val="18"/>
          <w:szCs w:val="18"/>
          <w:vertAlign w:val="superscript"/>
        </w:rPr>
        <w:t>(6)</w:t>
      </w:r>
      <w:r>
        <w:rPr>
          <w:sz w:val="18"/>
          <w:szCs w:val="18"/>
        </w:rPr>
        <w:tab/>
      </w:r>
      <w:r w:rsidRPr="0066659D">
        <w:rPr>
          <w:sz w:val="18"/>
          <w:szCs w:val="18"/>
        </w:rPr>
        <w:t>Percentage of students who received a high school diploma within four or five years of entering ninth grade or completed their graduation requirements at an alternative school.</w:t>
      </w:r>
    </w:p>
    <w:p w14:paraId="1DA8C669" w14:textId="3F72FC24" w:rsidR="001C0F68" w:rsidRPr="0066659D" w:rsidRDefault="001C0F68" w:rsidP="001C0F68">
      <w:pPr>
        <w:keepNext/>
        <w:keepLines/>
        <w:tabs>
          <w:tab w:val="left" w:pos="360"/>
        </w:tabs>
        <w:ind w:left="360" w:hanging="360"/>
        <w:jc w:val="both"/>
        <w:rPr>
          <w:sz w:val="18"/>
          <w:szCs w:val="18"/>
        </w:rPr>
      </w:pPr>
      <w:r>
        <w:rPr>
          <w:sz w:val="18"/>
          <w:szCs w:val="18"/>
          <w:vertAlign w:val="superscript"/>
        </w:rPr>
        <w:t>(7)</w:t>
      </w:r>
      <w:r>
        <w:rPr>
          <w:sz w:val="18"/>
          <w:szCs w:val="18"/>
        </w:rPr>
        <w:tab/>
      </w:r>
      <w:r w:rsidRPr="0066659D">
        <w:rPr>
          <w:sz w:val="18"/>
          <w:szCs w:val="18"/>
        </w:rPr>
        <w:t>Determination of whether high school students are prepared for success after graduation based on measures like graduation rate, performance on state tests, and college credit courses.</w:t>
      </w:r>
    </w:p>
    <w:p w14:paraId="6A775C0B" w14:textId="77777777" w:rsidR="00961960" w:rsidRPr="00C64D79" w:rsidRDefault="00961960" w:rsidP="00961960">
      <w:pPr>
        <w:spacing w:after="240"/>
        <w:ind w:left="360" w:hanging="360"/>
        <w:jc w:val="both"/>
        <w:rPr>
          <w:i/>
          <w:sz w:val="20"/>
        </w:rPr>
      </w:pPr>
      <w:r w:rsidRPr="00C64D79">
        <w:rPr>
          <w:i/>
          <w:sz w:val="16"/>
          <w:szCs w:val="18"/>
        </w:rPr>
        <w:t>Source:  California Department of Education.</w:t>
      </w:r>
      <w:r w:rsidRPr="00C64D79">
        <w:rPr>
          <w:i/>
          <w:sz w:val="20"/>
        </w:rPr>
        <w:t xml:space="preserve"> </w:t>
      </w:r>
    </w:p>
    <w:p w14:paraId="1891508C" w14:textId="6D12B512" w:rsidR="00381196" w:rsidRDefault="00381196" w:rsidP="00381196">
      <w:pPr>
        <w:pStyle w:val="Heading1"/>
      </w:pPr>
      <w:bookmarkStart w:id="12" w:name="_Toc97152706"/>
      <w:bookmarkStart w:id="13" w:name="_Toc101330550"/>
      <w:r>
        <w:rPr>
          <w:caps w:val="0"/>
        </w:rPr>
        <w:lastRenderedPageBreak/>
        <w:t>OPERATING AND FINANCIAL INFORMATION</w:t>
      </w:r>
      <w:bookmarkEnd w:id="12"/>
      <w:bookmarkEnd w:id="13"/>
    </w:p>
    <w:p w14:paraId="19CBBEF0" w14:textId="77777777" w:rsidR="00381196" w:rsidRDefault="00381196" w:rsidP="00381196">
      <w:pPr>
        <w:pStyle w:val="Heading2"/>
      </w:pPr>
      <w:bookmarkStart w:id="14" w:name="_Toc97152707"/>
      <w:bookmarkStart w:id="15" w:name="_Toc101330551"/>
      <w:r>
        <w:t>Historical Financial Results</w:t>
      </w:r>
      <w:bookmarkEnd w:id="14"/>
      <w:bookmarkEnd w:id="15"/>
    </w:p>
    <w:p w14:paraId="3868B9E1" w14:textId="1C26E73A" w:rsidR="00381196" w:rsidRDefault="00381196" w:rsidP="00381196">
      <w:pPr>
        <w:pStyle w:val="BodyText"/>
        <w:keepNext/>
        <w:keepLines/>
      </w:pPr>
      <w:r>
        <w:t>The following table presents the audited statements of activities and changes in net assets for the School for fiscal years 2017-18 through 2020-21.</w:t>
      </w:r>
    </w:p>
    <w:p w14:paraId="24AFCB86" w14:textId="61B74BE9" w:rsidR="00381196" w:rsidRDefault="00381196" w:rsidP="00381196">
      <w:pPr>
        <w:keepNext/>
        <w:keepLines/>
        <w:jc w:val="center"/>
        <w:rPr>
          <w:b/>
          <w:sz w:val="20"/>
        </w:rPr>
      </w:pPr>
      <w:r>
        <w:rPr>
          <w:b/>
          <w:sz w:val="20"/>
        </w:rPr>
        <w:t>TABLE 6</w:t>
      </w:r>
    </w:p>
    <w:p w14:paraId="071FA4E8" w14:textId="77777777" w:rsidR="00381196" w:rsidRPr="0053473F" w:rsidRDefault="00381196" w:rsidP="00381196">
      <w:pPr>
        <w:keepNext/>
        <w:keepLines/>
        <w:jc w:val="center"/>
        <w:rPr>
          <w:b/>
          <w:sz w:val="20"/>
        </w:rPr>
      </w:pPr>
      <w:r w:rsidRPr="0053473F">
        <w:rPr>
          <w:b/>
          <w:sz w:val="20"/>
        </w:rPr>
        <w:t>STATEMENT OF ACTIVITIES</w:t>
      </w:r>
    </w:p>
    <w:p w14:paraId="640607DC" w14:textId="1E5393E2" w:rsidR="00381196" w:rsidRPr="0053473F" w:rsidRDefault="00381196" w:rsidP="00381196">
      <w:pPr>
        <w:keepNext/>
        <w:keepLines/>
        <w:jc w:val="center"/>
        <w:rPr>
          <w:b/>
          <w:sz w:val="20"/>
        </w:rPr>
      </w:pPr>
      <w:r>
        <w:rPr>
          <w:b/>
          <w:sz w:val="20"/>
        </w:rPr>
        <w:t xml:space="preserve">2017-17 </w:t>
      </w:r>
      <w:r w:rsidRPr="0053473F">
        <w:rPr>
          <w:b/>
          <w:sz w:val="20"/>
        </w:rPr>
        <w:t>through 20</w:t>
      </w:r>
      <w:r>
        <w:rPr>
          <w:b/>
          <w:sz w:val="20"/>
        </w:rPr>
        <w:t>20-21</w:t>
      </w:r>
    </w:p>
    <w:p w14:paraId="566869DF" w14:textId="77AE9AE7" w:rsidR="00381196" w:rsidRPr="0053473F" w:rsidRDefault="00381196" w:rsidP="00381196">
      <w:pPr>
        <w:keepNext/>
        <w:keepLines/>
        <w:spacing w:after="240"/>
        <w:jc w:val="center"/>
        <w:rPr>
          <w:sz w:val="20"/>
        </w:rPr>
      </w:pPr>
      <w:r>
        <w:rPr>
          <w:sz w:val="20"/>
        </w:rPr>
        <w:t>The School</w:t>
      </w:r>
    </w:p>
    <w:tbl>
      <w:tblPr>
        <w:tblW w:w="8835" w:type="dxa"/>
        <w:jc w:val="center"/>
        <w:tblLayout w:type="fixed"/>
        <w:tblCellMar>
          <w:left w:w="144" w:type="dxa"/>
          <w:right w:w="144" w:type="dxa"/>
        </w:tblCellMar>
        <w:tblLook w:val="04A0" w:firstRow="1" w:lastRow="0" w:firstColumn="1" w:lastColumn="0" w:noHBand="0" w:noVBand="1"/>
      </w:tblPr>
      <w:tblGrid>
        <w:gridCol w:w="3915"/>
        <w:gridCol w:w="1230"/>
        <w:gridCol w:w="1230"/>
        <w:gridCol w:w="1230"/>
        <w:gridCol w:w="1230"/>
      </w:tblGrid>
      <w:tr w:rsidR="00381196" w14:paraId="0D8AC62A" w14:textId="77777777" w:rsidTr="00381196">
        <w:trPr>
          <w:trHeight w:hRule="exact" w:val="432"/>
          <w:jc w:val="center"/>
        </w:trPr>
        <w:tc>
          <w:tcPr>
            <w:tcW w:w="3915" w:type="dxa"/>
            <w:vAlign w:val="bottom"/>
          </w:tcPr>
          <w:p w14:paraId="7EB27FE0" w14:textId="77777777" w:rsidR="00381196" w:rsidRDefault="00381196" w:rsidP="00C634FA">
            <w:pPr>
              <w:keepNext/>
              <w:rPr>
                <w:b/>
                <w:bCs/>
                <w:color w:val="000000"/>
                <w:sz w:val="17"/>
                <w:szCs w:val="17"/>
              </w:rPr>
            </w:pPr>
          </w:p>
        </w:tc>
        <w:tc>
          <w:tcPr>
            <w:tcW w:w="1230" w:type="dxa"/>
            <w:vAlign w:val="bottom"/>
          </w:tcPr>
          <w:p w14:paraId="57B2C90D" w14:textId="6DA1FABE" w:rsidR="00381196" w:rsidRDefault="00381196" w:rsidP="00381196">
            <w:pPr>
              <w:keepNext/>
              <w:widowControl w:val="0"/>
              <w:pBdr>
                <w:bottom w:val="single" w:sz="4" w:space="1" w:color="auto"/>
              </w:pBdr>
              <w:spacing w:after="60" w:line="216" w:lineRule="auto"/>
              <w:jc w:val="center"/>
              <w:rPr>
                <w:b/>
                <w:i/>
                <w:sz w:val="17"/>
                <w:szCs w:val="17"/>
              </w:rPr>
            </w:pPr>
            <w:r>
              <w:rPr>
                <w:b/>
                <w:i/>
                <w:sz w:val="17"/>
                <w:szCs w:val="17"/>
              </w:rPr>
              <w:t>2017-18</w:t>
            </w:r>
          </w:p>
        </w:tc>
        <w:tc>
          <w:tcPr>
            <w:tcW w:w="1230" w:type="dxa"/>
            <w:vAlign w:val="bottom"/>
            <w:hideMark/>
          </w:tcPr>
          <w:p w14:paraId="20E0BBD9" w14:textId="4E34B93A" w:rsidR="00381196" w:rsidRPr="005A6C20" w:rsidRDefault="00381196" w:rsidP="00381196">
            <w:pPr>
              <w:keepNext/>
              <w:widowControl w:val="0"/>
              <w:pBdr>
                <w:bottom w:val="single" w:sz="4" w:space="1" w:color="auto"/>
              </w:pBdr>
              <w:spacing w:after="60" w:line="216" w:lineRule="auto"/>
              <w:jc w:val="center"/>
              <w:rPr>
                <w:b/>
                <w:i/>
                <w:sz w:val="17"/>
                <w:szCs w:val="17"/>
              </w:rPr>
            </w:pPr>
            <w:r>
              <w:rPr>
                <w:b/>
                <w:i/>
                <w:sz w:val="17"/>
                <w:szCs w:val="17"/>
              </w:rPr>
              <w:t>2018-19</w:t>
            </w:r>
          </w:p>
        </w:tc>
        <w:tc>
          <w:tcPr>
            <w:tcW w:w="1230" w:type="dxa"/>
            <w:vAlign w:val="bottom"/>
          </w:tcPr>
          <w:p w14:paraId="689336E4" w14:textId="77777777" w:rsidR="00381196" w:rsidRPr="005A6C20" w:rsidRDefault="00381196" w:rsidP="00381196">
            <w:pPr>
              <w:keepNext/>
              <w:widowControl w:val="0"/>
              <w:pBdr>
                <w:bottom w:val="single" w:sz="4" w:space="1" w:color="auto"/>
              </w:pBdr>
              <w:spacing w:after="60" w:line="216" w:lineRule="auto"/>
              <w:jc w:val="center"/>
              <w:rPr>
                <w:b/>
                <w:i/>
                <w:sz w:val="17"/>
                <w:szCs w:val="17"/>
              </w:rPr>
            </w:pPr>
            <w:r>
              <w:rPr>
                <w:b/>
                <w:i/>
                <w:sz w:val="17"/>
                <w:szCs w:val="17"/>
              </w:rPr>
              <w:t>2019-20</w:t>
            </w:r>
          </w:p>
        </w:tc>
        <w:tc>
          <w:tcPr>
            <w:tcW w:w="1230" w:type="dxa"/>
            <w:vAlign w:val="bottom"/>
          </w:tcPr>
          <w:p w14:paraId="72ADB878" w14:textId="77777777" w:rsidR="00381196" w:rsidRDefault="00381196" w:rsidP="00381196">
            <w:pPr>
              <w:keepNext/>
              <w:widowControl w:val="0"/>
              <w:pBdr>
                <w:bottom w:val="single" w:sz="4" w:space="1" w:color="auto"/>
              </w:pBdr>
              <w:spacing w:after="60" w:line="216" w:lineRule="auto"/>
              <w:jc w:val="center"/>
              <w:rPr>
                <w:b/>
                <w:i/>
                <w:sz w:val="17"/>
                <w:szCs w:val="17"/>
              </w:rPr>
            </w:pPr>
            <w:r>
              <w:rPr>
                <w:b/>
                <w:i/>
                <w:sz w:val="17"/>
                <w:szCs w:val="17"/>
              </w:rPr>
              <w:t>2020-21</w:t>
            </w:r>
          </w:p>
        </w:tc>
      </w:tr>
      <w:tr w:rsidR="00381196" w14:paraId="29011F43" w14:textId="77777777" w:rsidTr="00381196">
        <w:trPr>
          <w:trHeight w:hRule="exact" w:val="216"/>
          <w:jc w:val="center"/>
        </w:trPr>
        <w:tc>
          <w:tcPr>
            <w:tcW w:w="3915" w:type="dxa"/>
            <w:hideMark/>
          </w:tcPr>
          <w:p w14:paraId="1FE0E265" w14:textId="77777777" w:rsidR="00381196" w:rsidRDefault="00381196" w:rsidP="00C634FA">
            <w:pPr>
              <w:keepNext/>
              <w:ind w:right="-45"/>
              <w:rPr>
                <w:b/>
                <w:bCs/>
                <w:color w:val="000000"/>
                <w:sz w:val="17"/>
                <w:szCs w:val="17"/>
              </w:rPr>
            </w:pPr>
            <w:r>
              <w:rPr>
                <w:b/>
                <w:bCs/>
                <w:color w:val="000000"/>
                <w:sz w:val="17"/>
                <w:szCs w:val="17"/>
              </w:rPr>
              <w:t>SUPPORT AND REVENUES:</w:t>
            </w:r>
          </w:p>
        </w:tc>
        <w:tc>
          <w:tcPr>
            <w:tcW w:w="1230" w:type="dxa"/>
          </w:tcPr>
          <w:p w14:paraId="7241B679" w14:textId="77777777" w:rsidR="00381196" w:rsidRDefault="00381196" w:rsidP="00C634FA">
            <w:pPr>
              <w:keepNext/>
              <w:widowControl w:val="0"/>
              <w:spacing w:after="60" w:line="216" w:lineRule="auto"/>
              <w:ind w:left="-172" w:right="-144"/>
              <w:jc w:val="center"/>
              <w:rPr>
                <w:b/>
                <w:sz w:val="17"/>
                <w:szCs w:val="17"/>
                <w:u w:val="single"/>
              </w:rPr>
            </w:pPr>
          </w:p>
        </w:tc>
        <w:tc>
          <w:tcPr>
            <w:tcW w:w="1230" w:type="dxa"/>
          </w:tcPr>
          <w:p w14:paraId="115A0BD2" w14:textId="00D7CF8B" w:rsidR="00381196" w:rsidRDefault="00381196" w:rsidP="00C634FA">
            <w:pPr>
              <w:keepNext/>
              <w:widowControl w:val="0"/>
              <w:spacing w:after="60" w:line="216" w:lineRule="auto"/>
              <w:ind w:left="-172" w:right="-144"/>
              <w:jc w:val="center"/>
              <w:rPr>
                <w:b/>
                <w:sz w:val="17"/>
                <w:szCs w:val="17"/>
                <w:u w:val="single"/>
              </w:rPr>
            </w:pPr>
          </w:p>
        </w:tc>
        <w:tc>
          <w:tcPr>
            <w:tcW w:w="1230" w:type="dxa"/>
          </w:tcPr>
          <w:p w14:paraId="46842392" w14:textId="77777777" w:rsidR="00381196" w:rsidRDefault="00381196" w:rsidP="00C634FA">
            <w:pPr>
              <w:keepNext/>
              <w:widowControl w:val="0"/>
              <w:spacing w:after="60" w:line="216" w:lineRule="auto"/>
              <w:ind w:left="-172" w:right="-144"/>
              <w:jc w:val="center"/>
              <w:rPr>
                <w:b/>
                <w:sz w:val="17"/>
                <w:szCs w:val="17"/>
                <w:u w:val="single"/>
              </w:rPr>
            </w:pPr>
          </w:p>
        </w:tc>
        <w:tc>
          <w:tcPr>
            <w:tcW w:w="1230" w:type="dxa"/>
          </w:tcPr>
          <w:p w14:paraId="56557F4A" w14:textId="77777777" w:rsidR="00381196" w:rsidRDefault="00381196" w:rsidP="00C634FA">
            <w:pPr>
              <w:keepNext/>
              <w:widowControl w:val="0"/>
              <w:spacing w:after="60" w:line="216" w:lineRule="auto"/>
              <w:ind w:left="-172" w:right="-144"/>
              <w:jc w:val="center"/>
              <w:rPr>
                <w:b/>
                <w:sz w:val="17"/>
                <w:szCs w:val="17"/>
                <w:u w:val="single"/>
              </w:rPr>
            </w:pPr>
          </w:p>
        </w:tc>
      </w:tr>
      <w:tr w:rsidR="00381196" w14:paraId="0C1F129C" w14:textId="77777777" w:rsidTr="00381196">
        <w:trPr>
          <w:trHeight w:hRule="exact" w:val="216"/>
          <w:jc w:val="center"/>
        </w:trPr>
        <w:tc>
          <w:tcPr>
            <w:tcW w:w="3915" w:type="dxa"/>
            <w:hideMark/>
          </w:tcPr>
          <w:p w14:paraId="2B191DF7" w14:textId="77777777" w:rsidR="00381196" w:rsidRDefault="00381196" w:rsidP="00C634FA">
            <w:pPr>
              <w:keepNext/>
              <w:ind w:left="78" w:right="-45"/>
              <w:rPr>
                <w:color w:val="000000"/>
                <w:sz w:val="17"/>
                <w:szCs w:val="17"/>
                <w:vertAlign w:val="superscript"/>
              </w:rPr>
            </w:pPr>
            <w:r>
              <w:rPr>
                <w:color w:val="000000"/>
                <w:sz w:val="17"/>
                <w:szCs w:val="17"/>
              </w:rPr>
              <w:t>State Revenue:</w:t>
            </w:r>
          </w:p>
        </w:tc>
        <w:tc>
          <w:tcPr>
            <w:tcW w:w="1230" w:type="dxa"/>
          </w:tcPr>
          <w:p w14:paraId="16C0697B" w14:textId="77777777" w:rsidR="00381196" w:rsidRPr="002C787B" w:rsidRDefault="00381196" w:rsidP="00C634FA">
            <w:pPr>
              <w:keepNext/>
              <w:tabs>
                <w:tab w:val="decimal" w:pos="888"/>
              </w:tabs>
              <w:ind w:left="-142"/>
              <w:rPr>
                <w:color w:val="000000"/>
                <w:sz w:val="17"/>
                <w:szCs w:val="17"/>
              </w:rPr>
            </w:pPr>
          </w:p>
        </w:tc>
        <w:tc>
          <w:tcPr>
            <w:tcW w:w="1230" w:type="dxa"/>
          </w:tcPr>
          <w:p w14:paraId="7D9F5149" w14:textId="5E023BE3" w:rsidR="00381196" w:rsidRPr="002C787B" w:rsidRDefault="00381196" w:rsidP="00C634FA">
            <w:pPr>
              <w:keepNext/>
              <w:tabs>
                <w:tab w:val="decimal" w:pos="888"/>
              </w:tabs>
              <w:ind w:left="-142"/>
              <w:rPr>
                <w:color w:val="000000"/>
                <w:sz w:val="17"/>
                <w:szCs w:val="17"/>
              </w:rPr>
            </w:pPr>
          </w:p>
        </w:tc>
        <w:tc>
          <w:tcPr>
            <w:tcW w:w="1230" w:type="dxa"/>
          </w:tcPr>
          <w:p w14:paraId="63FE6570" w14:textId="77777777" w:rsidR="00381196" w:rsidRPr="002C787B" w:rsidRDefault="00381196" w:rsidP="00C634FA">
            <w:pPr>
              <w:keepNext/>
              <w:tabs>
                <w:tab w:val="decimal" w:pos="888"/>
              </w:tabs>
              <w:ind w:left="-142"/>
              <w:rPr>
                <w:color w:val="000000"/>
                <w:sz w:val="17"/>
                <w:szCs w:val="17"/>
              </w:rPr>
            </w:pPr>
          </w:p>
        </w:tc>
        <w:tc>
          <w:tcPr>
            <w:tcW w:w="1230" w:type="dxa"/>
          </w:tcPr>
          <w:p w14:paraId="318666B6" w14:textId="77777777" w:rsidR="00381196" w:rsidRDefault="00381196" w:rsidP="00C634FA">
            <w:pPr>
              <w:keepNext/>
              <w:tabs>
                <w:tab w:val="decimal" w:pos="888"/>
              </w:tabs>
              <w:ind w:left="-142"/>
              <w:rPr>
                <w:color w:val="000000"/>
                <w:sz w:val="17"/>
                <w:szCs w:val="17"/>
              </w:rPr>
            </w:pPr>
          </w:p>
        </w:tc>
      </w:tr>
      <w:tr w:rsidR="00381196" w14:paraId="33B207F9" w14:textId="77777777" w:rsidTr="00381196">
        <w:trPr>
          <w:trHeight w:hRule="exact" w:val="216"/>
          <w:jc w:val="center"/>
        </w:trPr>
        <w:tc>
          <w:tcPr>
            <w:tcW w:w="3915" w:type="dxa"/>
          </w:tcPr>
          <w:p w14:paraId="1F19B0E2" w14:textId="77777777" w:rsidR="00381196" w:rsidRDefault="00381196" w:rsidP="00C634FA">
            <w:pPr>
              <w:keepNext/>
              <w:ind w:left="239" w:right="-45"/>
              <w:rPr>
                <w:color w:val="000000"/>
                <w:sz w:val="17"/>
                <w:szCs w:val="17"/>
              </w:rPr>
            </w:pPr>
            <w:r>
              <w:rPr>
                <w:color w:val="000000"/>
                <w:sz w:val="17"/>
                <w:szCs w:val="17"/>
              </w:rPr>
              <w:t>State Aid</w:t>
            </w:r>
          </w:p>
        </w:tc>
        <w:tc>
          <w:tcPr>
            <w:tcW w:w="1230" w:type="dxa"/>
          </w:tcPr>
          <w:p w14:paraId="56815C01" w14:textId="77777777" w:rsidR="00381196" w:rsidRDefault="00381196" w:rsidP="00C634FA">
            <w:pPr>
              <w:jc w:val="right"/>
              <w:rPr>
                <w:color w:val="000000"/>
                <w:sz w:val="17"/>
                <w:szCs w:val="17"/>
              </w:rPr>
            </w:pPr>
          </w:p>
        </w:tc>
        <w:tc>
          <w:tcPr>
            <w:tcW w:w="1230" w:type="dxa"/>
            <w:vAlign w:val="center"/>
          </w:tcPr>
          <w:p w14:paraId="37A38925" w14:textId="25652686" w:rsidR="00381196" w:rsidRDefault="00381196" w:rsidP="00C634FA">
            <w:pPr>
              <w:jc w:val="right"/>
              <w:rPr>
                <w:color w:val="000000"/>
                <w:sz w:val="17"/>
                <w:szCs w:val="17"/>
              </w:rPr>
            </w:pPr>
          </w:p>
        </w:tc>
        <w:tc>
          <w:tcPr>
            <w:tcW w:w="1230" w:type="dxa"/>
            <w:vAlign w:val="center"/>
          </w:tcPr>
          <w:p w14:paraId="17D12F61" w14:textId="453BE24B" w:rsidR="00381196" w:rsidRDefault="00381196" w:rsidP="00C634FA">
            <w:pPr>
              <w:jc w:val="right"/>
              <w:rPr>
                <w:color w:val="000000"/>
                <w:sz w:val="17"/>
                <w:szCs w:val="17"/>
              </w:rPr>
            </w:pPr>
          </w:p>
        </w:tc>
        <w:tc>
          <w:tcPr>
            <w:tcW w:w="1230" w:type="dxa"/>
            <w:vAlign w:val="center"/>
          </w:tcPr>
          <w:p w14:paraId="4F135509" w14:textId="1E051D25" w:rsidR="00381196" w:rsidRDefault="00381196" w:rsidP="00C634FA">
            <w:pPr>
              <w:jc w:val="right"/>
              <w:rPr>
                <w:color w:val="000000"/>
                <w:sz w:val="17"/>
                <w:szCs w:val="17"/>
              </w:rPr>
            </w:pPr>
          </w:p>
        </w:tc>
      </w:tr>
      <w:tr w:rsidR="00381196" w14:paraId="764ECC15" w14:textId="77777777" w:rsidTr="00381196">
        <w:trPr>
          <w:trHeight w:hRule="exact" w:val="216"/>
          <w:jc w:val="center"/>
        </w:trPr>
        <w:tc>
          <w:tcPr>
            <w:tcW w:w="3915" w:type="dxa"/>
          </w:tcPr>
          <w:p w14:paraId="4FE89CCB" w14:textId="77777777" w:rsidR="00381196" w:rsidRDefault="00381196" w:rsidP="00C634FA">
            <w:pPr>
              <w:keepNext/>
              <w:ind w:left="239" w:right="-45"/>
              <w:rPr>
                <w:color w:val="000000"/>
                <w:sz w:val="17"/>
                <w:szCs w:val="17"/>
              </w:rPr>
            </w:pPr>
            <w:r>
              <w:rPr>
                <w:color w:val="000000"/>
                <w:sz w:val="17"/>
                <w:szCs w:val="17"/>
              </w:rPr>
              <w:t>Other State Revenue</w:t>
            </w:r>
          </w:p>
        </w:tc>
        <w:tc>
          <w:tcPr>
            <w:tcW w:w="1230" w:type="dxa"/>
          </w:tcPr>
          <w:p w14:paraId="6F6CFFFD" w14:textId="77777777" w:rsidR="00381196" w:rsidRDefault="00381196" w:rsidP="00C634FA">
            <w:pPr>
              <w:jc w:val="right"/>
              <w:rPr>
                <w:color w:val="000000"/>
                <w:sz w:val="17"/>
                <w:szCs w:val="17"/>
              </w:rPr>
            </w:pPr>
          </w:p>
        </w:tc>
        <w:tc>
          <w:tcPr>
            <w:tcW w:w="1230" w:type="dxa"/>
            <w:vAlign w:val="center"/>
          </w:tcPr>
          <w:p w14:paraId="29D40093" w14:textId="4B9A3470" w:rsidR="00381196" w:rsidRDefault="00381196" w:rsidP="00C634FA">
            <w:pPr>
              <w:jc w:val="right"/>
              <w:rPr>
                <w:color w:val="000000"/>
                <w:sz w:val="17"/>
                <w:szCs w:val="17"/>
              </w:rPr>
            </w:pPr>
          </w:p>
        </w:tc>
        <w:tc>
          <w:tcPr>
            <w:tcW w:w="1230" w:type="dxa"/>
            <w:vAlign w:val="center"/>
          </w:tcPr>
          <w:p w14:paraId="4526BF4D" w14:textId="38270291" w:rsidR="00381196" w:rsidRDefault="00381196" w:rsidP="00C634FA">
            <w:pPr>
              <w:jc w:val="right"/>
              <w:rPr>
                <w:color w:val="000000"/>
                <w:sz w:val="17"/>
                <w:szCs w:val="17"/>
              </w:rPr>
            </w:pPr>
          </w:p>
        </w:tc>
        <w:tc>
          <w:tcPr>
            <w:tcW w:w="1230" w:type="dxa"/>
            <w:vAlign w:val="center"/>
          </w:tcPr>
          <w:p w14:paraId="7A85B3C7" w14:textId="34839CE6" w:rsidR="00381196" w:rsidRDefault="00381196" w:rsidP="00C634FA">
            <w:pPr>
              <w:jc w:val="right"/>
              <w:rPr>
                <w:color w:val="000000"/>
                <w:sz w:val="17"/>
                <w:szCs w:val="17"/>
              </w:rPr>
            </w:pPr>
          </w:p>
        </w:tc>
      </w:tr>
      <w:tr w:rsidR="00381196" w14:paraId="43321B87" w14:textId="77777777" w:rsidTr="00381196">
        <w:trPr>
          <w:trHeight w:hRule="exact" w:val="216"/>
          <w:jc w:val="center"/>
        </w:trPr>
        <w:tc>
          <w:tcPr>
            <w:tcW w:w="3915" w:type="dxa"/>
            <w:hideMark/>
          </w:tcPr>
          <w:p w14:paraId="47F825F5" w14:textId="77777777" w:rsidR="00381196" w:rsidRDefault="00381196" w:rsidP="00C634FA">
            <w:pPr>
              <w:keepNext/>
              <w:ind w:left="78" w:right="-45"/>
              <w:rPr>
                <w:color w:val="000000"/>
                <w:sz w:val="17"/>
                <w:szCs w:val="17"/>
                <w:vertAlign w:val="superscript"/>
              </w:rPr>
            </w:pPr>
            <w:r>
              <w:rPr>
                <w:color w:val="000000"/>
                <w:sz w:val="17"/>
                <w:szCs w:val="17"/>
              </w:rPr>
              <w:t>Federal revenue:</w:t>
            </w:r>
          </w:p>
        </w:tc>
        <w:tc>
          <w:tcPr>
            <w:tcW w:w="1230" w:type="dxa"/>
          </w:tcPr>
          <w:p w14:paraId="3EB67F37" w14:textId="77777777" w:rsidR="00381196" w:rsidRDefault="00381196" w:rsidP="00C634FA">
            <w:pPr>
              <w:jc w:val="right"/>
              <w:rPr>
                <w:color w:val="000000"/>
                <w:sz w:val="17"/>
                <w:szCs w:val="17"/>
              </w:rPr>
            </w:pPr>
          </w:p>
        </w:tc>
        <w:tc>
          <w:tcPr>
            <w:tcW w:w="1230" w:type="dxa"/>
            <w:vAlign w:val="center"/>
          </w:tcPr>
          <w:p w14:paraId="15D50A3D" w14:textId="43A57CEE" w:rsidR="00381196" w:rsidRDefault="00381196" w:rsidP="00C634FA">
            <w:pPr>
              <w:jc w:val="right"/>
              <w:rPr>
                <w:color w:val="000000"/>
                <w:sz w:val="17"/>
                <w:szCs w:val="17"/>
              </w:rPr>
            </w:pPr>
          </w:p>
        </w:tc>
        <w:tc>
          <w:tcPr>
            <w:tcW w:w="1230" w:type="dxa"/>
            <w:vAlign w:val="center"/>
          </w:tcPr>
          <w:p w14:paraId="28F67EA8" w14:textId="77777777" w:rsidR="00381196" w:rsidRDefault="00381196" w:rsidP="00C634FA">
            <w:pPr>
              <w:jc w:val="right"/>
              <w:rPr>
                <w:color w:val="000000"/>
                <w:sz w:val="17"/>
                <w:szCs w:val="17"/>
              </w:rPr>
            </w:pPr>
          </w:p>
        </w:tc>
        <w:tc>
          <w:tcPr>
            <w:tcW w:w="1230" w:type="dxa"/>
            <w:vAlign w:val="center"/>
          </w:tcPr>
          <w:p w14:paraId="1365CB3A" w14:textId="77777777" w:rsidR="00381196" w:rsidRDefault="00381196" w:rsidP="00C634FA">
            <w:pPr>
              <w:jc w:val="right"/>
              <w:rPr>
                <w:color w:val="000000"/>
                <w:sz w:val="17"/>
                <w:szCs w:val="17"/>
              </w:rPr>
            </w:pPr>
          </w:p>
        </w:tc>
      </w:tr>
      <w:tr w:rsidR="00381196" w14:paraId="33D88A68" w14:textId="77777777" w:rsidTr="00381196">
        <w:trPr>
          <w:trHeight w:hRule="exact" w:val="216"/>
          <w:jc w:val="center"/>
        </w:trPr>
        <w:tc>
          <w:tcPr>
            <w:tcW w:w="3915" w:type="dxa"/>
          </w:tcPr>
          <w:p w14:paraId="7456F15E" w14:textId="77777777" w:rsidR="00381196" w:rsidRDefault="00381196" w:rsidP="00C634FA">
            <w:pPr>
              <w:keepNext/>
              <w:ind w:left="239" w:right="-45"/>
              <w:rPr>
                <w:color w:val="000000"/>
                <w:sz w:val="17"/>
                <w:szCs w:val="17"/>
              </w:rPr>
            </w:pPr>
            <w:r>
              <w:rPr>
                <w:color w:val="000000"/>
                <w:sz w:val="17"/>
                <w:szCs w:val="17"/>
              </w:rPr>
              <w:t>Grants and Entitlements</w:t>
            </w:r>
          </w:p>
        </w:tc>
        <w:tc>
          <w:tcPr>
            <w:tcW w:w="1230" w:type="dxa"/>
          </w:tcPr>
          <w:p w14:paraId="4F716342" w14:textId="77777777" w:rsidR="00381196" w:rsidRDefault="00381196" w:rsidP="00C634FA">
            <w:pPr>
              <w:jc w:val="right"/>
              <w:rPr>
                <w:color w:val="000000"/>
                <w:sz w:val="17"/>
                <w:szCs w:val="17"/>
              </w:rPr>
            </w:pPr>
          </w:p>
        </w:tc>
        <w:tc>
          <w:tcPr>
            <w:tcW w:w="1230" w:type="dxa"/>
            <w:vAlign w:val="center"/>
          </w:tcPr>
          <w:p w14:paraId="46768F7F" w14:textId="4896DDB1" w:rsidR="00381196" w:rsidRDefault="00381196" w:rsidP="00C634FA">
            <w:pPr>
              <w:jc w:val="right"/>
              <w:rPr>
                <w:color w:val="000000"/>
                <w:sz w:val="17"/>
                <w:szCs w:val="17"/>
              </w:rPr>
            </w:pPr>
          </w:p>
        </w:tc>
        <w:tc>
          <w:tcPr>
            <w:tcW w:w="1230" w:type="dxa"/>
            <w:vAlign w:val="center"/>
          </w:tcPr>
          <w:p w14:paraId="4D6BC7CA" w14:textId="5EB7B490" w:rsidR="00381196" w:rsidRDefault="00381196" w:rsidP="00C634FA">
            <w:pPr>
              <w:jc w:val="right"/>
              <w:rPr>
                <w:color w:val="000000"/>
                <w:sz w:val="17"/>
                <w:szCs w:val="17"/>
              </w:rPr>
            </w:pPr>
          </w:p>
        </w:tc>
        <w:tc>
          <w:tcPr>
            <w:tcW w:w="1230" w:type="dxa"/>
            <w:vAlign w:val="center"/>
          </w:tcPr>
          <w:p w14:paraId="3ADC6341" w14:textId="75DA9CA1" w:rsidR="00381196" w:rsidRDefault="00381196" w:rsidP="00C634FA">
            <w:pPr>
              <w:jc w:val="right"/>
              <w:rPr>
                <w:color w:val="000000"/>
                <w:sz w:val="17"/>
                <w:szCs w:val="17"/>
              </w:rPr>
            </w:pPr>
          </w:p>
        </w:tc>
      </w:tr>
      <w:tr w:rsidR="00381196" w14:paraId="66BAE972" w14:textId="77777777" w:rsidTr="00381196">
        <w:trPr>
          <w:trHeight w:hRule="exact" w:val="216"/>
          <w:jc w:val="center"/>
        </w:trPr>
        <w:tc>
          <w:tcPr>
            <w:tcW w:w="3915" w:type="dxa"/>
          </w:tcPr>
          <w:p w14:paraId="154290CD" w14:textId="77777777" w:rsidR="00381196" w:rsidRDefault="00381196" w:rsidP="00C634FA">
            <w:pPr>
              <w:keepNext/>
              <w:ind w:left="239" w:right="-45"/>
              <w:rPr>
                <w:color w:val="000000"/>
                <w:sz w:val="17"/>
                <w:szCs w:val="17"/>
              </w:rPr>
            </w:pPr>
            <w:r>
              <w:rPr>
                <w:color w:val="000000"/>
                <w:sz w:val="17"/>
                <w:szCs w:val="17"/>
              </w:rPr>
              <w:t>PPP Loan Forgiveness</w:t>
            </w:r>
          </w:p>
        </w:tc>
        <w:tc>
          <w:tcPr>
            <w:tcW w:w="1230" w:type="dxa"/>
          </w:tcPr>
          <w:p w14:paraId="4852284D" w14:textId="77777777" w:rsidR="00381196" w:rsidRDefault="00381196" w:rsidP="00C634FA">
            <w:pPr>
              <w:jc w:val="right"/>
              <w:rPr>
                <w:color w:val="000000"/>
                <w:sz w:val="17"/>
                <w:szCs w:val="17"/>
              </w:rPr>
            </w:pPr>
          </w:p>
        </w:tc>
        <w:tc>
          <w:tcPr>
            <w:tcW w:w="1230" w:type="dxa"/>
            <w:vAlign w:val="center"/>
          </w:tcPr>
          <w:p w14:paraId="35B9B3DB" w14:textId="1B5B0D97" w:rsidR="00381196" w:rsidRDefault="00381196" w:rsidP="00C634FA">
            <w:pPr>
              <w:jc w:val="right"/>
              <w:rPr>
                <w:color w:val="000000"/>
                <w:sz w:val="17"/>
                <w:szCs w:val="17"/>
              </w:rPr>
            </w:pPr>
          </w:p>
        </w:tc>
        <w:tc>
          <w:tcPr>
            <w:tcW w:w="1230" w:type="dxa"/>
            <w:vAlign w:val="center"/>
          </w:tcPr>
          <w:p w14:paraId="3035B8EB" w14:textId="11DB0BA9" w:rsidR="00381196" w:rsidRDefault="00381196" w:rsidP="00C634FA">
            <w:pPr>
              <w:jc w:val="right"/>
              <w:rPr>
                <w:color w:val="000000"/>
                <w:sz w:val="17"/>
                <w:szCs w:val="17"/>
              </w:rPr>
            </w:pPr>
          </w:p>
        </w:tc>
        <w:tc>
          <w:tcPr>
            <w:tcW w:w="1230" w:type="dxa"/>
            <w:vAlign w:val="center"/>
          </w:tcPr>
          <w:p w14:paraId="1803D97A" w14:textId="5EC39FEC" w:rsidR="00381196" w:rsidRDefault="00381196" w:rsidP="00C634FA">
            <w:pPr>
              <w:jc w:val="right"/>
              <w:rPr>
                <w:color w:val="000000"/>
                <w:sz w:val="17"/>
                <w:szCs w:val="17"/>
              </w:rPr>
            </w:pPr>
          </w:p>
        </w:tc>
      </w:tr>
      <w:tr w:rsidR="00381196" w14:paraId="6BB90E15" w14:textId="77777777" w:rsidTr="00381196">
        <w:trPr>
          <w:trHeight w:hRule="exact" w:val="216"/>
          <w:jc w:val="center"/>
        </w:trPr>
        <w:tc>
          <w:tcPr>
            <w:tcW w:w="3915" w:type="dxa"/>
            <w:hideMark/>
          </w:tcPr>
          <w:p w14:paraId="2B9AA93C" w14:textId="77777777" w:rsidR="00381196" w:rsidRDefault="00381196" w:rsidP="00C634FA">
            <w:pPr>
              <w:keepNext/>
              <w:ind w:left="78" w:right="-45"/>
              <w:rPr>
                <w:color w:val="000000"/>
                <w:sz w:val="17"/>
                <w:szCs w:val="17"/>
                <w:vertAlign w:val="superscript"/>
              </w:rPr>
            </w:pPr>
            <w:r>
              <w:rPr>
                <w:color w:val="000000"/>
                <w:sz w:val="17"/>
                <w:szCs w:val="17"/>
              </w:rPr>
              <w:t>Local revenues:</w:t>
            </w:r>
          </w:p>
        </w:tc>
        <w:tc>
          <w:tcPr>
            <w:tcW w:w="1230" w:type="dxa"/>
          </w:tcPr>
          <w:p w14:paraId="59B7DCC0" w14:textId="77777777" w:rsidR="00381196" w:rsidRDefault="00381196" w:rsidP="00C634FA">
            <w:pPr>
              <w:jc w:val="right"/>
              <w:rPr>
                <w:color w:val="000000"/>
                <w:sz w:val="17"/>
                <w:szCs w:val="17"/>
              </w:rPr>
            </w:pPr>
          </w:p>
        </w:tc>
        <w:tc>
          <w:tcPr>
            <w:tcW w:w="1230" w:type="dxa"/>
            <w:vAlign w:val="center"/>
          </w:tcPr>
          <w:p w14:paraId="675B2F12" w14:textId="12E0EB84" w:rsidR="00381196" w:rsidRDefault="00381196" w:rsidP="00C634FA">
            <w:pPr>
              <w:jc w:val="right"/>
              <w:rPr>
                <w:color w:val="000000"/>
                <w:sz w:val="17"/>
                <w:szCs w:val="17"/>
              </w:rPr>
            </w:pPr>
          </w:p>
        </w:tc>
        <w:tc>
          <w:tcPr>
            <w:tcW w:w="1230" w:type="dxa"/>
            <w:vAlign w:val="center"/>
          </w:tcPr>
          <w:p w14:paraId="3029C24C" w14:textId="77777777" w:rsidR="00381196" w:rsidRDefault="00381196" w:rsidP="00C634FA">
            <w:pPr>
              <w:jc w:val="right"/>
              <w:rPr>
                <w:color w:val="000000"/>
                <w:sz w:val="17"/>
                <w:szCs w:val="17"/>
              </w:rPr>
            </w:pPr>
          </w:p>
        </w:tc>
        <w:tc>
          <w:tcPr>
            <w:tcW w:w="1230" w:type="dxa"/>
            <w:vAlign w:val="center"/>
          </w:tcPr>
          <w:p w14:paraId="4D0FA1A5" w14:textId="77777777" w:rsidR="00381196" w:rsidRDefault="00381196" w:rsidP="00C634FA">
            <w:pPr>
              <w:jc w:val="right"/>
              <w:rPr>
                <w:color w:val="000000"/>
                <w:sz w:val="17"/>
                <w:szCs w:val="17"/>
              </w:rPr>
            </w:pPr>
          </w:p>
        </w:tc>
      </w:tr>
      <w:tr w:rsidR="00381196" w14:paraId="083055AE" w14:textId="77777777" w:rsidTr="00381196">
        <w:trPr>
          <w:trHeight w:hRule="exact" w:val="216"/>
          <w:jc w:val="center"/>
        </w:trPr>
        <w:tc>
          <w:tcPr>
            <w:tcW w:w="3915" w:type="dxa"/>
          </w:tcPr>
          <w:p w14:paraId="355E1EFC" w14:textId="77777777" w:rsidR="00381196" w:rsidRDefault="00381196" w:rsidP="00C634FA">
            <w:pPr>
              <w:keepNext/>
              <w:ind w:left="239" w:right="-45"/>
              <w:rPr>
                <w:color w:val="000000"/>
                <w:sz w:val="17"/>
                <w:szCs w:val="17"/>
              </w:rPr>
            </w:pPr>
            <w:r>
              <w:rPr>
                <w:color w:val="000000"/>
                <w:sz w:val="17"/>
                <w:szCs w:val="17"/>
              </w:rPr>
              <w:t>In-Lieu Property Tax Revenue</w:t>
            </w:r>
          </w:p>
        </w:tc>
        <w:tc>
          <w:tcPr>
            <w:tcW w:w="1230" w:type="dxa"/>
          </w:tcPr>
          <w:p w14:paraId="7C0B15D9" w14:textId="77777777" w:rsidR="00381196" w:rsidRDefault="00381196" w:rsidP="00C634FA">
            <w:pPr>
              <w:jc w:val="right"/>
              <w:rPr>
                <w:color w:val="000000"/>
                <w:sz w:val="17"/>
                <w:szCs w:val="17"/>
              </w:rPr>
            </w:pPr>
          </w:p>
        </w:tc>
        <w:tc>
          <w:tcPr>
            <w:tcW w:w="1230" w:type="dxa"/>
            <w:vAlign w:val="center"/>
          </w:tcPr>
          <w:p w14:paraId="76D77DFD" w14:textId="1A0BD5D8" w:rsidR="00381196" w:rsidRDefault="00381196" w:rsidP="00C634FA">
            <w:pPr>
              <w:jc w:val="right"/>
              <w:rPr>
                <w:color w:val="000000"/>
                <w:sz w:val="17"/>
                <w:szCs w:val="17"/>
              </w:rPr>
            </w:pPr>
          </w:p>
        </w:tc>
        <w:tc>
          <w:tcPr>
            <w:tcW w:w="1230" w:type="dxa"/>
            <w:vAlign w:val="center"/>
          </w:tcPr>
          <w:p w14:paraId="440947F3" w14:textId="1E5766B4" w:rsidR="00381196" w:rsidRDefault="00381196" w:rsidP="00C634FA">
            <w:pPr>
              <w:jc w:val="right"/>
              <w:rPr>
                <w:color w:val="000000"/>
                <w:sz w:val="17"/>
                <w:szCs w:val="17"/>
              </w:rPr>
            </w:pPr>
          </w:p>
        </w:tc>
        <w:tc>
          <w:tcPr>
            <w:tcW w:w="1230" w:type="dxa"/>
            <w:vAlign w:val="center"/>
          </w:tcPr>
          <w:p w14:paraId="331A04A1" w14:textId="0F25205E" w:rsidR="00381196" w:rsidRDefault="00381196" w:rsidP="00C634FA">
            <w:pPr>
              <w:jc w:val="right"/>
              <w:rPr>
                <w:color w:val="000000"/>
                <w:sz w:val="17"/>
                <w:szCs w:val="17"/>
              </w:rPr>
            </w:pPr>
          </w:p>
        </w:tc>
      </w:tr>
      <w:tr w:rsidR="00381196" w14:paraId="48E3CCB3" w14:textId="77777777" w:rsidTr="00381196">
        <w:trPr>
          <w:trHeight w:hRule="exact" w:val="216"/>
          <w:jc w:val="center"/>
        </w:trPr>
        <w:tc>
          <w:tcPr>
            <w:tcW w:w="3915" w:type="dxa"/>
          </w:tcPr>
          <w:p w14:paraId="4153A8BC" w14:textId="77777777" w:rsidR="00381196" w:rsidRDefault="00381196" w:rsidP="00C634FA">
            <w:pPr>
              <w:keepNext/>
              <w:ind w:left="239" w:right="-45"/>
              <w:rPr>
                <w:color w:val="000000"/>
                <w:sz w:val="17"/>
                <w:szCs w:val="17"/>
              </w:rPr>
            </w:pPr>
            <w:r>
              <w:rPr>
                <w:color w:val="000000"/>
                <w:sz w:val="17"/>
                <w:szCs w:val="17"/>
              </w:rPr>
              <w:t>Contributions</w:t>
            </w:r>
          </w:p>
        </w:tc>
        <w:tc>
          <w:tcPr>
            <w:tcW w:w="1230" w:type="dxa"/>
          </w:tcPr>
          <w:p w14:paraId="7A89F903" w14:textId="77777777" w:rsidR="00381196" w:rsidRDefault="00381196" w:rsidP="00C634FA">
            <w:pPr>
              <w:jc w:val="right"/>
              <w:rPr>
                <w:color w:val="000000"/>
                <w:sz w:val="17"/>
                <w:szCs w:val="17"/>
              </w:rPr>
            </w:pPr>
          </w:p>
        </w:tc>
        <w:tc>
          <w:tcPr>
            <w:tcW w:w="1230" w:type="dxa"/>
            <w:vAlign w:val="center"/>
          </w:tcPr>
          <w:p w14:paraId="417D1ACD" w14:textId="12B01AEF" w:rsidR="00381196" w:rsidRDefault="00381196" w:rsidP="00C634FA">
            <w:pPr>
              <w:jc w:val="right"/>
              <w:rPr>
                <w:color w:val="000000"/>
                <w:sz w:val="17"/>
                <w:szCs w:val="17"/>
              </w:rPr>
            </w:pPr>
          </w:p>
        </w:tc>
        <w:tc>
          <w:tcPr>
            <w:tcW w:w="1230" w:type="dxa"/>
            <w:vAlign w:val="center"/>
          </w:tcPr>
          <w:p w14:paraId="7779F087" w14:textId="46A713D1" w:rsidR="00381196" w:rsidRDefault="00381196" w:rsidP="00C634FA">
            <w:pPr>
              <w:jc w:val="right"/>
              <w:rPr>
                <w:color w:val="000000"/>
                <w:sz w:val="17"/>
                <w:szCs w:val="17"/>
              </w:rPr>
            </w:pPr>
          </w:p>
        </w:tc>
        <w:tc>
          <w:tcPr>
            <w:tcW w:w="1230" w:type="dxa"/>
            <w:vAlign w:val="center"/>
          </w:tcPr>
          <w:p w14:paraId="1C0D64E1" w14:textId="531779C3" w:rsidR="00381196" w:rsidRDefault="00381196" w:rsidP="00C634FA">
            <w:pPr>
              <w:jc w:val="right"/>
              <w:rPr>
                <w:color w:val="000000"/>
                <w:sz w:val="17"/>
                <w:szCs w:val="17"/>
              </w:rPr>
            </w:pPr>
          </w:p>
        </w:tc>
      </w:tr>
      <w:tr w:rsidR="00381196" w14:paraId="6EE96A14" w14:textId="77777777" w:rsidTr="00381196">
        <w:trPr>
          <w:trHeight w:hRule="exact" w:val="216"/>
          <w:jc w:val="center"/>
        </w:trPr>
        <w:tc>
          <w:tcPr>
            <w:tcW w:w="3915" w:type="dxa"/>
          </w:tcPr>
          <w:p w14:paraId="6630DB5F" w14:textId="77777777" w:rsidR="00381196" w:rsidRDefault="00381196" w:rsidP="00C634FA">
            <w:pPr>
              <w:keepNext/>
              <w:ind w:left="239" w:right="-45"/>
              <w:rPr>
                <w:color w:val="000000"/>
                <w:sz w:val="17"/>
                <w:szCs w:val="17"/>
              </w:rPr>
            </w:pPr>
            <w:r>
              <w:rPr>
                <w:color w:val="000000"/>
                <w:sz w:val="17"/>
                <w:szCs w:val="17"/>
              </w:rPr>
              <w:t>Investment Income</w:t>
            </w:r>
          </w:p>
        </w:tc>
        <w:tc>
          <w:tcPr>
            <w:tcW w:w="1230" w:type="dxa"/>
          </w:tcPr>
          <w:p w14:paraId="49306BD1" w14:textId="77777777" w:rsidR="00381196" w:rsidRDefault="00381196" w:rsidP="00C634FA">
            <w:pPr>
              <w:jc w:val="right"/>
              <w:rPr>
                <w:color w:val="000000"/>
                <w:sz w:val="17"/>
                <w:szCs w:val="17"/>
              </w:rPr>
            </w:pPr>
          </w:p>
        </w:tc>
        <w:tc>
          <w:tcPr>
            <w:tcW w:w="1230" w:type="dxa"/>
            <w:vAlign w:val="center"/>
          </w:tcPr>
          <w:p w14:paraId="7B5CBE60" w14:textId="5150DF87" w:rsidR="00381196" w:rsidRDefault="00381196" w:rsidP="00C634FA">
            <w:pPr>
              <w:jc w:val="right"/>
              <w:rPr>
                <w:color w:val="000000"/>
                <w:sz w:val="17"/>
                <w:szCs w:val="17"/>
              </w:rPr>
            </w:pPr>
          </w:p>
        </w:tc>
        <w:tc>
          <w:tcPr>
            <w:tcW w:w="1230" w:type="dxa"/>
            <w:vAlign w:val="center"/>
          </w:tcPr>
          <w:p w14:paraId="3000542C" w14:textId="482512D9" w:rsidR="00381196" w:rsidRDefault="00381196" w:rsidP="00C634FA">
            <w:pPr>
              <w:jc w:val="right"/>
              <w:rPr>
                <w:color w:val="000000"/>
                <w:sz w:val="17"/>
                <w:szCs w:val="17"/>
              </w:rPr>
            </w:pPr>
          </w:p>
        </w:tc>
        <w:tc>
          <w:tcPr>
            <w:tcW w:w="1230" w:type="dxa"/>
            <w:vAlign w:val="center"/>
          </w:tcPr>
          <w:p w14:paraId="17A9FA06" w14:textId="09060CC8" w:rsidR="00381196" w:rsidRDefault="00381196" w:rsidP="00C634FA">
            <w:pPr>
              <w:jc w:val="right"/>
              <w:rPr>
                <w:color w:val="000000"/>
                <w:sz w:val="17"/>
                <w:szCs w:val="17"/>
              </w:rPr>
            </w:pPr>
          </w:p>
        </w:tc>
      </w:tr>
      <w:tr w:rsidR="00381196" w14:paraId="5D9CD2B4" w14:textId="77777777" w:rsidTr="00381196">
        <w:trPr>
          <w:trHeight w:hRule="exact" w:val="216"/>
          <w:jc w:val="center"/>
        </w:trPr>
        <w:tc>
          <w:tcPr>
            <w:tcW w:w="3915" w:type="dxa"/>
          </w:tcPr>
          <w:p w14:paraId="0B97806C" w14:textId="77777777" w:rsidR="00381196" w:rsidRDefault="00381196" w:rsidP="00C634FA">
            <w:pPr>
              <w:keepNext/>
              <w:ind w:left="239" w:right="-45"/>
              <w:rPr>
                <w:color w:val="000000"/>
                <w:sz w:val="17"/>
                <w:szCs w:val="17"/>
              </w:rPr>
            </w:pPr>
            <w:r>
              <w:rPr>
                <w:color w:val="000000"/>
                <w:sz w:val="17"/>
                <w:szCs w:val="17"/>
              </w:rPr>
              <w:t>Other Revenue</w:t>
            </w:r>
          </w:p>
        </w:tc>
        <w:tc>
          <w:tcPr>
            <w:tcW w:w="1230" w:type="dxa"/>
          </w:tcPr>
          <w:p w14:paraId="13A3727D" w14:textId="77777777" w:rsidR="00381196" w:rsidRDefault="00381196" w:rsidP="00C634FA">
            <w:pPr>
              <w:pBdr>
                <w:bottom w:val="single" w:sz="4" w:space="1" w:color="auto"/>
              </w:pBdr>
              <w:jc w:val="right"/>
              <w:rPr>
                <w:color w:val="000000"/>
                <w:sz w:val="17"/>
                <w:szCs w:val="17"/>
              </w:rPr>
            </w:pPr>
          </w:p>
        </w:tc>
        <w:tc>
          <w:tcPr>
            <w:tcW w:w="1230" w:type="dxa"/>
            <w:vAlign w:val="center"/>
          </w:tcPr>
          <w:p w14:paraId="4E266C27" w14:textId="65EDEE38" w:rsidR="00381196" w:rsidRDefault="00381196" w:rsidP="00C634FA">
            <w:pPr>
              <w:pBdr>
                <w:bottom w:val="single" w:sz="4" w:space="1" w:color="auto"/>
              </w:pBdr>
              <w:jc w:val="right"/>
              <w:rPr>
                <w:color w:val="000000"/>
                <w:sz w:val="17"/>
                <w:szCs w:val="17"/>
              </w:rPr>
            </w:pPr>
          </w:p>
        </w:tc>
        <w:tc>
          <w:tcPr>
            <w:tcW w:w="1230" w:type="dxa"/>
            <w:vAlign w:val="center"/>
          </w:tcPr>
          <w:p w14:paraId="330FE17F" w14:textId="50E7C142" w:rsidR="00381196" w:rsidRDefault="00381196" w:rsidP="00C634FA">
            <w:pPr>
              <w:pBdr>
                <w:bottom w:val="single" w:sz="4" w:space="1" w:color="auto"/>
              </w:pBdr>
              <w:jc w:val="right"/>
              <w:rPr>
                <w:color w:val="000000"/>
                <w:sz w:val="17"/>
                <w:szCs w:val="17"/>
              </w:rPr>
            </w:pPr>
          </w:p>
        </w:tc>
        <w:tc>
          <w:tcPr>
            <w:tcW w:w="1230" w:type="dxa"/>
            <w:vAlign w:val="center"/>
          </w:tcPr>
          <w:p w14:paraId="034A8A00" w14:textId="269C2FF0" w:rsidR="00381196" w:rsidRDefault="00381196" w:rsidP="00C634FA">
            <w:pPr>
              <w:pBdr>
                <w:bottom w:val="single" w:sz="4" w:space="1" w:color="auto"/>
              </w:pBdr>
              <w:jc w:val="right"/>
              <w:rPr>
                <w:color w:val="000000"/>
                <w:sz w:val="17"/>
                <w:szCs w:val="17"/>
              </w:rPr>
            </w:pPr>
          </w:p>
        </w:tc>
      </w:tr>
      <w:tr w:rsidR="00381196" w14:paraId="44FBB1A9" w14:textId="77777777" w:rsidTr="00381196">
        <w:trPr>
          <w:trHeight w:hRule="exact" w:val="216"/>
          <w:jc w:val="center"/>
        </w:trPr>
        <w:tc>
          <w:tcPr>
            <w:tcW w:w="3915" w:type="dxa"/>
          </w:tcPr>
          <w:p w14:paraId="644C1FC7" w14:textId="77777777" w:rsidR="00381196" w:rsidRPr="002C787B" w:rsidRDefault="00381196" w:rsidP="00C634FA">
            <w:pPr>
              <w:keepNext/>
              <w:ind w:left="346" w:right="-43"/>
              <w:rPr>
                <w:color w:val="000000"/>
                <w:sz w:val="17"/>
                <w:szCs w:val="17"/>
                <w:vertAlign w:val="superscript"/>
              </w:rPr>
            </w:pPr>
            <w:r w:rsidRPr="002C787B">
              <w:rPr>
                <w:color w:val="000000"/>
                <w:sz w:val="17"/>
                <w:szCs w:val="17"/>
              </w:rPr>
              <w:t>Total revenues</w:t>
            </w:r>
          </w:p>
        </w:tc>
        <w:tc>
          <w:tcPr>
            <w:tcW w:w="1230" w:type="dxa"/>
          </w:tcPr>
          <w:p w14:paraId="48408209" w14:textId="77777777" w:rsidR="00381196" w:rsidRDefault="00381196" w:rsidP="00C634FA">
            <w:pPr>
              <w:jc w:val="right"/>
              <w:rPr>
                <w:color w:val="000000"/>
                <w:sz w:val="17"/>
                <w:szCs w:val="17"/>
              </w:rPr>
            </w:pPr>
          </w:p>
        </w:tc>
        <w:tc>
          <w:tcPr>
            <w:tcW w:w="1230" w:type="dxa"/>
            <w:vAlign w:val="center"/>
          </w:tcPr>
          <w:p w14:paraId="576C04B6" w14:textId="233DEE33" w:rsidR="00381196" w:rsidRDefault="00381196" w:rsidP="00C634FA">
            <w:pPr>
              <w:jc w:val="right"/>
              <w:rPr>
                <w:color w:val="000000"/>
                <w:sz w:val="17"/>
                <w:szCs w:val="17"/>
              </w:rPr>
            </w:pPr>
          </w:p>
        </w:tc>
        <w:tc>
          <w:tcPr>
            <w:tcW w:w="1230" w:type="dxa"/>
            <w:vAlign w:val="center"/>
          </w:tcPr>
          <w:p w14:paraId="65FD97C7" w14:textId="604DC9A7" w:rsidR="00381196" w:rsidRDefault="00381196" w:rsidP="00C634FA">
            <w:pPr>
              <w:jc w:val="right"/>
              <w:rPr>
                <w:color w:val="000000"/>
                <w:sz w:val="17"/>
                <w:szCs w:val="17"/>
              </w:rPr>
            </w:pPr>
          </w:p>
        </w:tc>
        <w:tc>
          <w:tcPr>
            <w:tcW w:w="1230" w:type="dxa"/>
            <w:vAlign w:val="center"/>
          </w:tcPr>
          <w:p w14:paraId="4CB48914" w14:textId="73D8D419" w:rsidR="00381196" w:rsidRDefault="00381196" w:rsidP="00C634FA">
            <w:pPr>
              <w:jc w:val="right"/>
              <w:rPr>
                <w:color w:val="000000"/>
                <w:sz w:val="17"/>
                <w:szCs w:val="17"/>
              </w:rPr>
            </w:pPr>
          </w:p>
        </w:tc>
      </w:tr>
      <w:tr w:rsidR="00381196" w14:paraId="24055E95" w14:textId="77777777" w:rsidTr="00381196">
        <w:trPr>
          <w:trHeight w:hRule="exact" w:val="216"/>
          <w:jc w:val="center"/>
        </w:trPr>
        <w:tc>
          <w:tcPr>
            <w:tcW w:w="3915" w:type="dxa"/>
          </w:tcPr>
          <w:p w14:paraId="06DB81BB" w14:textId="77777777" w:rsidR="00381196" w:rsidRDefault="00381196" w:rsidP="00C634FA">
            <w:pPr>
              <w:keepNext/>
              <w:ind w:right="-45"/>
              <w:rPr>
                <w:b/>
                <w:bCs/>
                <w:color w:val="000000"/>
                <w:sz w:val="17"/>
                <w:szCs w:val="17"/>
              </w:rPr>
            </w:pPr>
          </w:p>
        </w:tc>
        <w:tc>
          <w:tcPr>
            <w:tcW w:w="1230" w:type="dxa"/>
          </w:tcPr>
          <w:p w14:paraId="6579B0A4" w14:textId="77777777" w:rsidR="00381196" w:rsidRDefault="00381196" w:rsidP="00C634FA">
            <w:pPr>
              <w:jc w:val="right"/>
              <w:rPr>
                <w:color w:val="000000"/>
                <w:sz w:val="17"/>
                <w:szCs w:val="17"/>
              </w:rPr>
            </w:pPr>
          </w:p>
        </w:tc>
        <w:tc>
          <w:tcPr>
            <w:tcW w:w="1230" w:type="dxa"/>
            <w:vAlign w:val="center"/>
          </w:tcPr>
          <w:p w14:paraId="2E0C948A" w14:textId="6DC97AD2" w:rsidR="00381196" w:rsidRDefault="00381196" w:rsidP="00C634FA">
            <w:pPr>
              <w:jc w:val="right"/>
              <w:rPr>
                <w:color w:val="000000"/>
                <w:sz w:val="17"/>
                <w:szCs w:val="17"/>
              </w:rPr>
            </w:pPr>
          </w:p>
        </w:tc>
        <w:tc>
          <w:tcPr>
            <w:tcW w:w="1230" w:type="dxa"/>
            <w:vAlign w:val="center"/>
          </w:tcPr>
          <w:p w14:paraId="33AB2F0D" w14:textId="77777777" w:rsidR="00381196" w:rsidRDefault="00381196" w:rsidP="00C634FA">
            <w:pPr>
              <w:jc w:val="right"/>
              <w:rPr>
                <w:color w:val="000000"/>
                <w:sz w:val="17"/>
                <w:szCs w:val="17"/>
              </w:rPr>
            </w:pPr>
          </w:p>
        </w:tc>
        <w:tc>
          <w:tcPr>
            <w:tcW w:w="1230" w:type="dxa"/>
            <w:vAlign w:val="center"/>
          </w:tcPr>
          <w:p w14:paraId="4938D30C" w14:textId="77777777" w:rsidR="00381196" w:rsidRDefault="00381196" w:rsidP="00C634FA">
            <w:pPr>
              <w:jc w:val="right"/>
              <w:rPr>
                <w:color w:val="000000"/>
                <w:sz w:val="17"/>
                <w:szCs w:val="17"/>
              </w:rPr>
            </w:pPr>
          </w:p>
        </w:tc>
      </w:tr>
      <w:tr w:rsidR="00381196" w14:paraId="1192ED68" w14:textId="77777777" w:rsidTr="00381196">
        <w:trPr>
          <w:trHeight w:hRule="exact" w:val="216"/>
          <w:jc w:val="center"/>
        </w:trPr>
        <w:tc>
          <w:tcPr>
            <w:tcW w:w="3915" w:type="dxa"/>
            <w:hideMark/>
          </w:tcPr>
          <w:p w14:paraId="7D0A5131" w14:textId="77777777" w:rsidR="00381196" w:rsidRDefault="00381196" w:rsidP="00C634FA">
            <w:pPr>
              <w:keepNext/>
              <w:ind w:right="-45"/>
              <w:rPr>
                <w:b/>
                <w:bCs/>
                <w:color w:val="000000"/>
                <w:sz w:val="17"/>
                <w:szCs w:val="17"/>
              </w:rPr>
            </w:pPr>
            <w:r>
              <w:rPr>
                <w:b/>
                <w:bCs/>
                <w:color w:val="000000"/>
                <w:sz w:val="17"/>
                <w:szCs w:val="17"/>
              </w:rPr>
              <w:t>EXPENSES:</w:t>
            </w:r>
          </w:p>
        </w:tc>
        <w:tc>
          <w:tcPr>
            <w:tcW w:w="1230" w:type="dxa"/>
          </w:tcPr>
          <w:p w14:paraId="5A169B44" w14:textId="77777777" w:rsidR="00381196" w:rsidRDefault="00381196" w:rsidP="00C634FA">
            <w:pPr>
              <w:jc w:val="right"/>
              <w:rPr>
                <w:color w:val="000000"/>
                <w:sz w:val="17"/>
                <w:szCs w:val="17"/>
              </w:rPr>
            </w:pPr>
          </w:p>
        </w:tc>
        <w:tc>
          <w:tcPr>
            <w:tcW w:w="1230" w:type="dxa"/>
            <w:vAlign w:val="center"/>
          </w:tcPr>
          <w:p w14:paraId="0FD9C78E" w14:textId="087A6237" w:rsidR="00381196" w:rsidRDefault="00381196" w:rsidP="00C634FA">
            <w:pPr>
              <w:jc w:val="right"/>
              <w:rPr>
                <w:color w:val="000000"/>
                <w:sz w:val="17"/>
                <w:szCs w:val="17"/>
              </w:rPr>
            </w:pPr>
          </w:p>
        </w:tc>
        <w:tc>
          <w:tcPr>
            <w:tcW w:w="1230" w:type="dxa"/>
            <w:vAlign w:val="center"/>
          </w:tcPr>
          <w:p w14:paraId="30C944B7" w14:textId="77777777" w:rsidR="00381196" w:rsidRDefault="00381196" w:rsidP="00C634FA">
            <w:pPr>
              <w:jc w:val="right"/>
              <w:rPr>
                <w:color w:val="000000"/>
                <w:sz w:val="17"/>
                <w:szCs w:val="17"/>
              </w:rPr>
            </w:pPr>
          </w:p>
        </w:tc>
        <w:tc>
          <w:tcPr>
            <w:tcW w:w="1230" w:type="dxa"/>
            <w:vAlign w:val="center"/>
          </w:tcPr>
          <w:p w14:paraId="345DE7D0" w14:textId="77777777" w:rsidR="00381196" w:rsidRDefault="00381196" w:rsidP="00C634FA">
            <w:pPr>
              <w:jc w:val="right"/>
              <w:rPr>
                <w:color w:val="000000"/>
                <w:sz w:val="17"/>
                <w:szCs w:val="17"/>
              </w:rPr>
            </w:pPr>
          </w:p>
        </w:tc>
      </w:tr>
      <w:tr w:rsidR="00381196" w14:paraId="47F7B42D" w14:textId="77777777" w:rsidTr="00381196">
        <w:trPr>
          <w:trHeight w:hRule="exact" w:val="216"/>
          <w:jc w:val="center"/>
        </w:trPr>
        <w:tc>
          <w:tcPr>
            <w:tcW w:w="3915" w:type="dxa"/>
            <w:hideMark/>
          </w:tcPr>
          <w:p w14:paraId="4CAA7643" w14:textId="77777777" w:rsidR="00381196" w:rsidRDefault="00381196" w:rsidP="00C634FA">
            <w:pPr>
              <w:keepNext/>
              <w:ind w:left="78" w:right="-45"/>
              <w:rPr>
                <w:color w:val="000000"/>
                <w:sz w:val="17"/>
                <w:szCs w:val="17"/>
                <w:vertAlign w:val="superscript"/>
              </w:rPr>
            </w:pPr>
            <w:r>
              <w:rPr>
                <w:color w:val="000000"/>
                <w:sz w:val="17"/>
                <w:szCs w:val="17"/>
              </w:rPr>
              <w:t>Program services</w:t>
            </w:r>
          </w:p>
        </w:tc>
        <w:tc>
          <w:tcPr>
            <w:tcW w:w="1230" w:type="dxa"/>
          </w:tcPr>
          <w:p w14:paraId="6FD1B3AA" w14:textId="77777777" w:rsidR="00381196" w:rsidRDefault="00381196" w:rsidP="00C634FA">
            <w:pPr>
              <w:jc w:val="right"/>
              <w:rPr>
                <w:color w:val="000000"/>
                <w:sz w:val="17"/>
                <w:szCs w:val="17"/>
              </w:rPr>
            </w:pPr>
          </w:p>
        </w:tc>
        <w:tc>
          <w:tcPr>
            <w:tcW w:w="1230" w:type="dxa"/>
            <w:vAlign w:val="center"/>
          </w:tcPr>
          <w:p w14:paraId="4287CD1E" w14:textId="226A9EAA" w:rsidR="00381196" w:rsidRDefault="00381196" w:rsidP="00C634FA">
            <w:pPr>
              <w:jc w:val="right"/>
              <w:rPr>
                <w:color w:val="000000"/>
                <w:sz w:val="17"/>
                <w:szCs w:val="17"/>
              </w:rPr>
            </w:pPr>
          </w:p>
        </w:tc>
        <w:tc>
          <w:tcPr>
            <w:tcW w:w="1230" w:type="dxa"/>
            <w:vAlign w:val="center"/>
          </w:tcPr>
          <w:p w14:paraId="6ED4DD80" w14:textId="71C4B542" w:rsidR="00381196" w:rsidRDefault="00381196" w:rsidP="00C634FA">
            <w:pPr>
              <w:jc w:val="right"/>
              <w:rPr>
                <w:color w:val="000000"/>
                <w:sz w:val="17"/>
                <w:szCs w:val="17"/>
              </w:rPr>
            </w:pPr>
          </w:p>
        </w:tc>
        <w:tc>
          <w:tcPr>
            <w:tcW w:w="1230" w:type="dxa"/>
            <w:vAlign w:val="center"/>
          </w:tcPr>
          <w:p w14:paraId="77425D06" w14:textId="19E7EEE6" w:rsidR="00381196" w:rsidRDefault="00381196" w:rsidP="00C634FA">
            <w:pPr>
              <w:jc w:val="right"/>
              <w:rPr>
                <w:color w:val="000000"/>
                <w:sz w:val="17"/>
                <w:szCs w:val="17"/>
              </w:rPr>
            </w:pPr>
          </w:p>
        </w:tc>
      </w:tr>
      <w:tr w:rsidR="00381196" w14:paraId="1942DC1D" w14:textId="77777777" w:rsidTr="00381196">
        <w:trPr>
          <w:trHeight w:hRule="exact" w:val="216"/>
          <w:jc w:val="center"/>
        </w:trPr>
        <w:tc>
          <w:tcPr>
            <w:tcW w:w="3915" w:type="dxa"/>
            <w:hideMark/>
          </w:tcPr>
          <w:p w14:paraId="04C80C13" w14:textId="77777777" w:rsidR="00381196" w:rsidRDefault="00381196" w:rsidP="00C634FA">
            <w:pPr>
              <w:keepNext/>
              <w:ind w:left="78" w:right="-45"/>
              <w:rPr>
                <w:color w:val="000000"/>
                <w:sz w:val="17"/>
                <w:szCs w:val="17"/>
                <w:vertAlign w:val="superscript"/>
              </w:rPr>
            </w:pPr>
            <w:r>
              <w:rPr>
                <w:color w:val="000000"/>
                <w:sz w:val="17"/>
                <w:szCs w:val="17"/>
              </w:rPr>
              <w:t>Management and general</w:t>
            </w:r>
          </w:p>
        </w:tc>
        <w:tc>
          <w:tcPr>
            <w:tcW w:w="1230" w:type="dxa"/>
          </w:tcPr>
          <w:p w14:paraId="5689BF26" w14:textId="77777777" w:rsidR="00381196" w:rsidRDefault="00381196" w:rsidP="00C634FA">
            <w:pPr>
              <w:pBdr>
                <w:bottom w:val="single" w:sz="4" w:space="1" w:color="auto"/>
              </w:pBdr>
              <w:jc w:val="right"/>
              <w:rPr>
                <w:color w:val="000000"/>
                <w:sz w:val="17"/>
                <w:szCs w:val="17"/>
              </w:rPr>
            </w:pPr>
          </w:p>
        </w:tc>
        <w:tc>
          <w:tcPr>
            <w:tcW w:w="1230" w:type="dxa"/>
            <w:vAlign w:val="center"/>
          </w:tcPr>
          <w:p w14:paraId="0983F3B2" w14:textId="01492403" w:rsidR="00381196" w:rsidRDefault="00381196" w:rsidP="00C634FA">
            <w:pPr>
              <w:pBdr>
                <w:bottom w:val="single" w:sz="4" w:space="1" w:color="auto"/>
              </w:pBdr>
              <w:jc w:val="right"/>
              <w:rPr>
                <w:color w:val="000000"/>
                <w:sz w:val="17"/>
                <w:szCs w:val="17"/>
              </w:rPr>
            </w:pPr>
          </w:p>
        </w:tc>
        <w:tc>
          <w:tcPr>
            <w:tcW w:w="1230" w:type="dxa"/>
            <w:vAlign w:val="center"/>
          </w:tcPr>
          <w:p w14:paraId="2628AF62" w14:textId="40E73781" w:rsidR="00381196" w:rsidRDefault="00381196" w:rsidP="00C634FA">
            <w:pPr>
              <w:pBdr>
                <w:bottom w:val="single" w:sz="4" w:space="1" w:color="auto"/>
              </w:pBdr>
              <w:jc w:val="right"/>
              <w:rPr>
                <w:color w:val="000000"/>
                <w:sz w:val="17"/>
                <w:szCs w:val="17"/>
              </w:rPr>
            </w:pPr>
          </w:p>
        </w:tc>
        <w:tc>
          <w:tcPr>
            <w:tcW w:w="1230" w:type="dxa"/>
            <w:vAlign w:val="center"/>
          </w:tcPr>
          <w:p w14:paraId="01DD1387" w14:textId="6F5592A2" w:rsidR="00381196" w:rsidRDefault="00381196" w:rsidP="00C634FA">
            <w:pPr>
              <w:pBdr>
                <w:bottom w:val="single" w:sz="4" w:space="1" w:color="auto"/>
              </w:pBdr>
              <w:jc w:val="right"/>
              <w:rPr>
                <w:color w:val="000000"/>
                <w:sz w:val="17"/>
                <w:szCs w:val="17"/>
              </w:rPr>
            </w:pPr>
          </w:p>
        </w:tc>
      </w:tr>
      <w:tr w:rsidR="00381196" w14:paraId="121A7B27" w14:textId="77777777" w:rsidTr="00381196">
        <w:trPr>
          <w:trHeight w:hRule="exact" w:val="216"/>
          <w:jc w:val="center"/>
        </w:trPr>
        <w:tc>
          <w:tcPr>
            <w:tcW w:w="3915" w:type="dxa"/>
            <w:hideMark/>
          </w:tcPr>
          <w:p w14:paraId="3503159C" w14:textId="77777777" w:rsidR="00381196" w:rsidRPr="002C787B" w:rsidRDefault="00381196" w:rsidP="00C634FA">
            <w:pPr>
              <w:keepNext/>
              <w:ind w:left="346" w:right="-43"/>
              <w:rPr>
                <w:color w:val="000000"/>
                <w:sz w:val="17"/>
                <w:szCs w:val="17"/>
                <w:vertAlign w:val="superscript"/>
              </w:rPr>
            </w:pPr>
            <w:r w:rsidRPr="002C787B">
              <w:rPr>
                <w:color w:val="000000"/>
                <w:sz w:val="17"/>
                <w:szCs w:val="17"/>
              </w:rPr>
              <w:t>Total expenses</w:t>
            </w:r>
          </w:p>
        </w:tc>
        <w:tc>
          <w:tcPr>
            <w:tcW w:w="1230" w:type="dxa"/>
          </w:tcPr>
          <w:p w14:paraId="597F8127" w14:textId="77777777" w:rsidR="00381196" w:rsidRDefault="00381196" w:rsidP="00C634FA">
            <w:pPr>
              <w:jc w:val="right"/>
              <w:rPr>
                <w:color w:val="000000"/>
                <w:sz w:val="17"/>
                <w:szCs w:val="17"/>
              </w:rPr>
            </w:pPr>
          </w:p>
        </w:tc>
        <w:tc>
          <w:tcPr>
            <w:tcW w:w="1230" w:type="dxa"/>
            <w:vAlign w:val="center"/>
          </w:tcPr>
          <w:p w14:paraId="5260E0AE" w14:textId="59E3E851" w:rsidR="00381196" w:rsidRDefault="00381196" w:rsidP="00C634FA">
            <w:pPr>
              <w:jc w:val="right"/>
              <w:rPr>
                <w:color w:val="000000"/>
                <w:sz w:val="17"/>
                <w:szCs w:val="17"/>
              </w:rPr>
            </w:pPr>
          </w:p>
        </w:tc>
        <w:tc>
          <w:tcPr>
            <w:tcW w:w="1230" w:type="dxa"/>
            <w:vAlign w:val="center"/>
          </w:tcPr>
          <w:p w14:paraId="69985956" w14:textId="4074BF83" w:rsidR="00381196" w:rsidRDefault="00381196" w:rsidP="00C634FA">
            <w:pPr>
              <w:jc w:val="right"/>
              <w:rPr>
                <w:color w:val="000000"/>
                <w:sz w:val="17"/>
                <w:szCs w:val="17"/>
              </w:rPr>
            </w:pPr>
          </w:p>
        </w:tc>
        <w:tc>
          <w:tcPr>
            <w:tcW w:w="1230" w:type="dxa"/>
            <w:vAlign w:val="center"/>
          </w:tcPr>
          <w:p w14:paraId="14A82830" w14:textId="6DF739E4" w:rsidR="00381196" w:rsidRDefault="00381196" w:rsidP="00C634FA">
            <w:pPr>
              <w:jc w:val="right"/>
              <w:rPr>
                <w:color w:val="000000"/>
                <w:sz w:val="17"/>
                <w:szCs w:val="17"/>
              </w:rPr>
            </w:pPr>
          </w:p>
        </w:tc>
      </w:tr>
      <w:tr w:rsidR="00381196" w14:paraId="34C049DD" w14:textId="77777777" w:rsidTr="00381196">
        <w:trPr>
          <w:trHeight w:hRule="exact" w:val="216"/>
          <w:jc w:val="center"/>
        </w:trPr>
        <w:tc>
          <w:tcPr>
            <w:tcW w:w="3915" w:type="dxa"/>
          </w:tcPr>
          <w:p w14:paraId="1CF3461C" w14:textId="77777777" w:rsidR="00381196" w:rsidRDefault="00381196" w:rsidP="00C634FA">
            <w:pPr>
              <w:keepNext/>
              <w:ind w:left="1" w:right="-45"/>
              <w:rPr>
                <w:b/>
                <w:bCs/>
                <w:color w:val="000000"/>
                <w:sz w:val="17"/>
                <w:szCs w:val="17"/>
              </w:rPr>
            </w:pPr>
          </w:p>
        </w:tc>
        <w:tc>
          <w:tcPr>
            <w:tcW w:w="1230" w:type="dxa"/>
          </w:tcPr>
          <w:p w14:paraId="5DC54F96" w14:textId="77777777" w:rsidR="00381196" w:rsidRDefault="00381196" w:rsidP="00C634FA">
            <w:pPr>
              <w:jc w:val="right"/>
              <w:rPr>
                <w:color w:val="000000"/>
                <w:sz w:val="17"/>
                <w:szCs w:val="17"/>
              </w:rPr>
            </w:pPr>
          </w:p>
        </w:tc>
        <w:tc>
          <w:tcPr>
            <w:tcW w:w="1230" w:type="dxa"/>
            <w:vAlign w:val="center"/>
          </w:tcPr>
          <w:p w14:paraId="3BD569D4" w14:textId="0B8A900F" w:rsidR="00381196" w:rsidRDefault="00381196" w:rsidP="00C634FA">
            <w:pPr>
              <w:jc w:val="right"/>
              <w:rPr>
                <w:color w:val="000000"/>
                <w:sz w:val="17"/>
                <w:szCs w:val="17"/>
              </w:rPr>
            </w:pPr>
          </w:p>
        </w:tc>
        <w:tc>
          <w:tcPr>
            <w:tcW w:w="1230" w:type="dxa"/>
            <w:vAlign w:val="center"/>
          </w:tcPr>
          <w:p w14:paraId="0549B2B3" w14:textId="77777777" w:rsidR="00381196" w:rsidRDefault="00381196" w:rsidP="00C634FA">
            <w:pPr>
              <w:jc w:val="right"/>
              <w:rPr>
                <w:color w:val="000000"/>
                <w:sz w:val="17"/>
                <w:szCs w:val="17"/>
              </w:rPr>
            </w:pPr>
          </w:p>
        </w:tc>
        <w:tc>
          <w:tcPr>
            <w:tcW w:w="1230" w:type="dxa"/>
            <w:vAlign w:val="center"/>
          </w:tcPr>
          <w:p w14:paraId="775937D8" w14:textId="77777777" w:rsidR="00381196" w:rsidRDefault="00381196" w:rsidP="00C634FA">
            <w:pPr>
              <w:jc w:val="right"/>
              <w:rPr>
                <w:color w:val="000000"/>
                <w:sz w:val="17"/>
                <w:szCs w:val="17"/>
              </w:rPr>
            </w:pPr>
          </w:p>
        </w:tc>
      </w:tr>
      <w:tr w:rsidR="00381196" w14:paraId="67E823FA" w14:textId="77777777" w:rsidTr="00381196">
        <w:trPr>
          <w:trHeight w:hRule="exact" w:val="216"/>
          <w:jc w:val="center"/>
        </w:trPr>
        <w:tc>
          <w:tcPr>
            <w:tcW w:w="3915" w:type="dxa"/>
            <w:hideMark/>
          </w:tcPr>
          <w:p w14:paraId="4FDE6871" w14:textId="77777777" w:rsidR="00381196" w:rsidRPr="00840D6F" w:rsidRDefault="00381196" w:rsidP="00C634FA">
            <w:pPr>
              <w:keepNext/>
              <w:ind w:left="1" w:right="-45"/>
              <w:rPr>
                <w:b/>
                <w:bCs/>
                <w:color w:val="000000"/>
                <w:sz w:val="17"/>
                <w:szCs w:val="17"/>
              </w:rPr>
            </w:pPr>
            <w:r w:rsidRPr="00840D6F">
              <w:rPr>
                <w:b/>
                <w:bCs/>
                <w:color w:val="000000"/>
                <w:sz w:val="17"/>
                <w:szCs w:val="17"/>
              </w:rPr>
              <w:t>CHANGE IN NET ASSETS</w:t>
            </w:r>
          </w:p>
        </w:tc>
        <w:tc>
          <w:tcPr>
            <w:tcW w:w="1230" w:type="dxa"/>
          </w:tcPr>
          <w:p w14:paraId="746DF97A" w14:textId="77777777" w:rsidR="00381196" w:rsidRDefault="00381196" w:rsidP="00C634FA">
            <w:pPr>
              <w:jc w:val="right"/>
              <w:rPr>
                <w:color w:val="000000"/>
                <w:sz w:val="17"/>
                <w:szCs w:val="17"/>
              </w:rPr>
            </w:pPr>
          </w:p>
        </w:tc>
        <w:tc>
          <w:tcPr>
            <w:tcW w:w="1230" w:type="dxa"/>
            <w:vAlign w:val="center"/>
          </w:tcPr>
          <w:p w14:paraId="2259A9FE" w14:textId="4D69DE83" w:rsidR="00381196" w:rsidRDefault="00381196" w:rsidP="00C634FA">
            <w:pPr>
              <w:jc w:val="right"/>
              <w:rPr>
                <w:color w:val="000000"/>
                <w:sz w:val="17"/>
                <w:szCs w:val="17"/>
              </w:rPr>
            </w:pPr>
          </w:p>
        </w:tc>
        <w:tc>
          <w:tcPr>
            <w:tcW w:w="1230" w:type="dxa"/>
            <w:vAlign w:val="center"/>
          </w:tcPr>
          <w:p w14:paraId="64DB412D" w14:textId="1B5600D0" w:rsidR="00381196" w:rsidRDefault="00381196" w:rsidP="00C634FA">
            <w:pPr>
              <w:jc w:val="right"/>
              <w:rPr>
                <w:color w:val="000000"/>
                <w:sz w:val="17"/>
                <w:szCs w:val="17"/>
              </w:rPr>
            </w:pPr>
          </w:p>
        </w:tc>
        <w:tc>
          <w:tcPr>
            <w:tcW w:w="1230" w:type="dxa"/>
            <w:vAlign w:val="center"/>
          </w:tcPr>
          <w:p w14:paraId="4A603543" w14:textId="17546291" w:rsidR="00381196" w:rsidRDefault="00381196" w:rsidP="00C634FA">
            <w:pPr>
              <w:jc w:val="right"/>
              <w:rPr>
                <w:color w:val="000000"/>
                <w:sz w:val="17"/>
                <w:szCs w:val="17"/>
              </w:rPr>
            </w:pPr>
          </w:p>
        </w:tc>
      </w:tr>
      <w:tr w:rsidR="00381196" w14:paraId="7773FA16" w14:textId="77777777" w:rsidTr="00381196">
        <w:trPr>
          <w:trHeight w:hRule="exact" w:val="216"/>
          <w:jc w:val="center"/>
        </w:trPr>
        <w:tc>
          <w:tcPr>
            <w:tcW w:w="3915" w:type="dxa"/>
          </w:tcPr>
          <w:p w14:paraId="4FB92974" w14:textId="77777777" w:rsidR="00381196" w:rsidRPr="00840D6F" w:rsidRDefault="00381196" w:rsidP="00C634FA">
            <w:pPr>
              <w:keepNext/>
              <w:ind w:left="1" w:right="-45"/>
              <w:rPr>
                <w:b/>
                <w:bCs/>
                <w:color w:val="000000"/>
                <w:sz w:val="17"/>
                <w:szCs w:val="17"/>
              </w:rPr>
            </w:pPr>
          </w:p>
        </w:tc>
        <w:tc>
          <w:tcPr>
            <w:tcW w:w="1230" w:type="dxa"/>
          </w:tcPr>
          <w:p w14:paraId="78A13A5C" w14:textId="77777777" w:rsidR="00381196" w:rsidRDefault="00381196" w:rsidP="00C634FA">
            <w:pPr>
              <w:jc w:val="right"/>
              <w:rPr>
                <w:color w:val="000000"/>
                <w:sz w:val="17"/>
                <w:szCs w:val="17"/>
              </w:rPr>
            </w:pPr>
          </w:p>
        </w:tc>
        <w:tc>
          <w:tcPr>
            <w:tcW w:w="1230" w:type="dxa"/>
            <w:vAlign w:val="center"/>
          </w:tcPr>
          <w:p w14:paraId="0D7815BE" w14:textId="3A08A4A6" w:rsidR="00381196" w:rsidRDefault="00381196" w:rsidP="00C634FA">
            <w:pPr>
              <w:jc w:val="right"/>
              <w:rPr>
                <w:color w:val="000000"/>
                <w:sz w:val="17"/>
                <w:szCs w:val="17"/>
              </w:rPr>
            </w:pPr>
          </w:p>
        </w:tc>
        <w:tc>
          <w:tcPr>
            <w:tcW w:w="1230" w:type="dxa"/>
            <w:vAlign w:val="center"/>
          </w:tcPr>
          <w:p w14:paraId="52E6E241" w14:textId="77777777" w:rsidR="00381196" w:rsidRDefault="00381196" w:rsidP="00C634FA">
            <w:pPr>
              <w:jc w:val="right"/>
              <w:rPr>
                <w:color w:val="000000"/>
                <w:sz w:val="17"/>
                <w:szCs w:val="17"/>
              </w:rPr>
            </w:pPr>
          </w:p>
        </w:tc>
        <w:tc>
          <w:tcPr>
            <w:tcW w:w="1230" w:type="dxa"/>
            <w:vAlign w:val="center"/>
          </w:tcPr>
          <w:p w14:paraId="7E82B558" w14:textId="77777777" w:rsidR="00381196" w:rsidRDefault="00381196" w:rsidP="00C634FA">
            <w:pPr>
              <w:jc w:val="right"/>
              <w:rPr>
                <w:color w:val="000000"/>
                <w:sz w:val="17"/>
                <w:szCs w:val="17"/>
              </w:rPr>
            </w:pPr>
          </w:p>
        </w:tc>
      </w:tr>
      <w:tr w:rsidR="00381196" w14:paraId="68CDA39E" w14:textId="77777777" w:rsidTr="00381196">
        <w:trPr>
          <w:trHeight w:hRule="exact" w:val="216"/>
          <w:jc w:val="center"/>
        </w:trPr>
        <w:tc>
          <w:tcPr>
            <w:tcW w:w="3915" w:type="dxa"/>
          </w:tcPr>
          <w:p w14:paraId="374E076B" w14:textId="77777777" w:rsidR="00381196" w:rsidRPr="00EB4F34" w:rsidRDefault="00381196" w:rsidP="00C634FA">
            <w:pPr>
              <w:keepNext/>
              <w:ind w:left="1" w:right="-45"/>
              <w:rPr>
                <w:bCs/>
                <w:color w:val="000000"/>
                <w:sz w:val="17"/>
                <w:szCs w:val="17"/>
              </w:rPr>
            </w:pPr>
            <w:r w:rsidRPr="00EB4F34">
              <w:rPr>
                <w:bCs/>
                <w:color w:val="000000"/>
                <w:sz w:val="17"/>
                <w:szCs w:val="17"/>
              </w:rPr>
              <w:t>Net Assets, Beginning of Year</w:t>
            </w:r>
          </w:p>
        </w:tc>
        <w:tc>
          <w:tcPr>
            <w:tcW w:w="1230" w:type="dxa"/>
          </w:tcPr>
          <w:p w14:paraId="712A05F0" w14:textId="77777777" w:rsidR="00381196" w:rsidRDefault="00381196" w:rsidP="00C634FA">
            <w:pPr>
              <w:pBdr>
                <w:bottom w:val="single" w:sz="4" w:space="1" w:color="auto"/>
              </w:pBdr>
              <w:jc w:val="right"/>
              <w:rPr>
                <w:color w:val="000000"/>
                <w:sz w:val="17"/>
                <w:szCs w:val="17"/>
              </w:rPr>
            </w:pPr>
          </w:p>
        </w:tc>
        <w:tc>
          <w:tcPr>
            <w:tcW w:w="1230" w:type="dxa"/>
            <w:vAlign w:val="center"/>
          </w:tcPr>
          <w:p w14:paraId="477F5D3A" w14:textId="45A63587" w:rsidR="00381196" w:rsidRDefault="00381196" w:rsidP="00C634FA">
            <w:pPr>
              <w:pBdr>
                <w:bottom w:val="single" w:sz="4" w:space="1" w:color="auto"/>
              </w:pBdr>
              <w:jc w:val="right"/>
              <w:rPr>
                <w:color w:val="000000"/>
                <w:sz w:val="17"/>
                <w:szCs w:val="17"/>
              </w:rPr>
            </w:pPr>
          </w:p>
        </w:tc>
        <w:tc>
          <w:tcPr>
            <w:tcW w:w="1230" w:type="dxa"/>
            <w:vAlign w:val="center"/>
          </w:tcPr>
          <w:p w14:paraId="7C284D3D" w14:textId="5E28287D" w:rsidR="00381196" w:rsidRDefault="00381196" w:rsidP="00C634FA">
            <w:pPr>
              <w:pBdr>
                <w:bottom w:val="single" w:sz="4" w:space="1" w:color="auto"/>
              </w:pBdr>
              <w:jc w:val="right"/>
              <w:rPr>
                <w:color w:val="000000"/>
                <w:sz w:val="17"/>
                <w:szCs w:val="17"/>
              </w:rPr>
            </w:pPr>
          </w:p>
        </w:tc>
        <w:tc>
          <w:tcPr>
            <w:tcW w:w="1230" w:type="dxa"/>
            <w:vAlign w:val="center"/>
          </w:tcPr>
          <w:p w14:paraId="31280ED4" w14:textId="718A3535" w:rsidR="00381196" w:rsidRDefault="00381196" w:rsidP="00C634FA">
            <w:pPr>
              <w:pBdr>
                <w:bottom w:val="single" w:sz="4" w:space="1" w:color="auto"/>
              </w:pBdr>
              <w:jc w:val="right"/>
              <w:rPr>
                <w:color w:val="000000"/>
                <w:sz w:val="17"/>
                <w:szCs w:val="17"/>
              </w:rPr>
            </w:pPr>
          </w:p>
        </w:tc>
      </w:tr>
      <w:tr w:rsidR="00381196" w14:paraId="70971B57" w14:textId="77777777" w:rsidTr="00381196">
        <w:trPr>
          <w:trHeight w:hRule="exact" w:val="216"/>
          <w:jc w:val="center"/>
        </w:trPr>
        <w:tc>
          <w:tcPr>
            <w:tcW w:w="3915" w:type="dxa"/>
          </w:tcPr>
          <w:p w14:paraId="340AE4FA" w14:textId="77777777" w:rsidR="00381196" w:rsidRPr="00EB4F34" w:rsidRDefault="00381196" w:rsidP="00C634FA">
            <w:pPr>
              <w:keepNext/>
              <w:ind w:left="1" w:right="-45"/>
              <w:rPr>
                <w:bCs/>
                <w:color w:val="000000"/>
                <w:sz w:val="17"/>
                <w:szCs w:val="17"/>
              </w:rPr>
            </w:pPr>
          </w:p>
        </w:tc>
        <w:tc>
          <w:tcPr>
            <w:tcW w:w="1230" w:type="dxa"/>
          </w:tcPr>
          <w:p w14:paraId="5844B86C" w14:textId="77777777" w:rsidR="00381196" w:rsidRDefault="00381196" w:rsidP="00C634FA">
            <w:pPr>
              <w:jc w:val="right"/>
              <w:rPr>
                <w:color w:val="000000"/>
                <w:sz w:val="17"/>
                <w:szCs w:val="17"/>
              </w:rPr>
            </w:pPr>
          </w:p>
        </w:tc>
        <w:tc>
          <w:tcPr>
            <w:tcW w:w="1230" w:type="dxa"/>
            <w:vAlign w:val="center"/>
          </w:tcPr>
          <w:p w14:paraId="20FF18F9" w14:textId="7432B488" w:rsidR="00381196" w:rsidRDefault="00381196" w:rsidP="00C634FA">
            <w:pPr>
              <w:jc w:val="right"/>
              <w:rPr>
                <w:color w:val="000000"/>
                <w:sz w:val="17"/>
                <w:szCs w:val="17"/>
              </w:rPr>
            </w:pPr>
          </w:p>
        </w:tc>
        <w:tc>
          <w:tcPr>
            <w:tcW w:w="1230" w:type="dxa"/>
            <w:vAlign w:val="center"/>
          </w:tcPr>
          <w:p w14:paraId="756DCD3D" w14:textId="77777777" w:rsidR="00381196" w:rsidRDefault="00381196" w:rsidP="00C634FA">
            <w:pPr>
              <w:jc w:val="right"/>
              <w:rPr>
                <w:color w:val="000000"/>
                <w:sz w:val="17"/>
                <w:szCs w:val="17"/>
              </w:rPr>
            </w:pPr>
          </w:p>
        </w:tc>
        <w:tc>
          <w:tcPr>
            <w:tcW w:w="1230" w:type="dxa"/>
            <w:vAlign w:val="center"/>
          </w:tcPr>
          <w:p w14:paraId="106793A0" w14:textId="77777777" w:rsidR="00381196" w:rsidRDefault="00381196" w:rsidP="00C634FA">
            <w:pPr>
              <w:jc w:val="right"/>
              <w:rPr>
                <w:color w:val="000000"/>
                <w:sz w:val="17"/>
                <w:szCs w:val="17"/>
              </w:rPr>
            </w:pPr>
          </w:p>
        </w:tc>
      </w:tr>
      <w:tr w:rsidR="00381196" w14:paraId="0943EEFF" w14:textId="77777777" w:rsidTr="00381196">
        <w:trPr>
          <w:trHeight w:hRule="exact" w:val="216"/>
          <w:jc w:val="center"/>
        </w:trPr>
        <w:tc>
          <w:tcPr>
            <w:tcW w:w="3915" w:type="dxa"/>
            <w:hideMark/>
          </w:tcPr>
          <w:p w14:paraId="7000DDFA" w14:textId="77777777" w:rsidR="00381196" w:rsidRPr="00840D6F" w:rsidRDefault="00381196" w:rsidP="00C634FA">
            <w:pPr>
              <w:keepNext/>
              <w:ind w:left="1" w:right="-45"/>
              <w:rPr>
                <w:b/>
                <w:bCs/>
                <w:color w:val="000000"/>
                <w:sz w:val="17"/>
                <w:szCs w:val="17"/>
              </w:rPr>
            </w:pPr>
            <w:r w:rsidRPr="00840D6F">
              <w:rPr>
                <w:b/>
                <w:bCs/>
                <w:color w:val="000000"/>
                <w:sz w:val="17"/>
                <w:szCs w:val="17"/>
              </w:rPr>
              <w:t>NET ASSETS, END OF YEAR</w:t>
            </w:r>
          </w:p>
        </w:tc>
        <w:tc>
          <w:tcPr>
            <w:tcW w:w="1230" w:type="dxa"/>
          </w:tcPr>
          <w:p w14:paraId="14B5F37A" w14:textId="77777777" w:rsidR="00381196" w:rsidRDefault="00381196" w:rsidP="00C634FA">
            <w:pPr>
              <w:jc w:val="right"/>
              <w:rPr>
                <w:color w:val="000000"/>
                <w:sz w:val="17"/>
                <w:szCs w:val="17"/>
              </w:rPr>
            </w:pPr>
          </w:p>
        </w:tc>
        <w:tc>
          <w:tcPr>
            <w:tcW w:w="1230" w:type="dxa"/>
            <w:vAlign w:val="center"/>
          </w:tcPr>
          <w:p w14:paraId="6C50A5F2" w14:textId="419B4F8C" w:rsidR="00381196" w:rsidRDefault="00381196" w:rsidP="00C634FA">
            <w:pPr>
              <w:jc w:val="right"/>
              <w:rPr>
                <w:color w:val="000000"/>
                <w:sz w:val="17"/>
                <w:szCs w:val="17"/>
              </w:rPr>
            </w:pPr>
          </w:p>
        </w:tc>
        <w:tc>
          <w:tcPr>
            <w:tcW w:w="1230" w:type="dxa"/>
            <w:vAlign w:val="center"/>
          </w:tcPr>
          <w:p w14:paraId="6CFB24EE" w14:textId="4CB7C8B3" w:rsidR="00381196" w:rsidRDefault="00381196" w:rsidP="00C634FA">
            <w:pPr>
              <w:jc w:val="right"/>
              <w:rPr>
                <w:color w:val="000000"/>
                <w:sz w:val="17"/>
                <w:szCs w:val="17"/>
              </w:rPr>
            </w:pPr>
          </w:p>
        </w:tc>
        <w:tc>
          <w:tcPr>
            <w:tcW w:w="1230" w:type="dxa"/>
            <w:vAlign w:val="center"/>
          </w:tcPr>
          <w:p w14:paraId="79C4AD94" w14:textId="14604806" w:rsidR="00381196" w:rsidRDefault="00381196" w:rsidP="00C634FA">
            <w:pPr>
              <w:jc w:val="right"/>
              <w:rPr>
                <w:color w:val="000000"/>
                <w:sz w:val="17"/>
                <w:szCs w:val="17"/>
              </w:rPr>
            </w:pPr>
          </w:p>
        </w:tc>
      </w:tr>
    </w:tbl>
    <w:p w14:paraId="0E34533A" w14:textId="77777777" w:rsidR="00381196" w:rsidRPr="001D3243" w:rsidRDefault="00381196" w:rsidP="00381196">
      <w:pPr>
        <w:pStyle w:val="BodyText"/>
        <w:keepNext/>
        <w:spacing w:after="0"/>
        <w:ind w:firstLine="0"/>
        <w:rPr>
          <w:sz w:val="17"/>
          <w:szCs w:val="17"/>
        </w:rPr>
      </w:pPr>
      <w:r w:rsidRPr="001D3243">
        <w:rPr>
          <w:sz w:val="17"/>
          <w:szCs w:val="17"/>
          <w:u w:val="single"/>
        </w:rPr>
        <w:tab/>
      </w:r>
      <w:r w:rsidRPr="001D3243">
        <w:rPr>
          <w:sz w:val="17"/>
          <w:szCs w:val="17"/>
          <w:u w:val="single"/>
        </w:rPr>
        <w:tab/>
      </w:r>
    </w:p>
    <w:p w14:paraId="573D4773" w14:textId="55C9907B" w:rsidR="00381196" w:rsidRDefault="00381196" w:rsidP="00381196">
      <w:pPr>
        <w:pStyle w:val="BodyText"/>
        <w:ind w:firstLine="0"/>
        <w:rPr>
          <w:i/>
          <w:sz w:val="16"/>
          <w:szCs w:val="18"/>
        </w:rPr>
      </w:pPr>
      <w:r>
        <w:rPr>
          <w:i/>
          <w:sz w:val="17"/>
          <w:szCs w:val="17"/>
        </w:rPr>
        <w:t>Source:  Encore</w:t>
      </w:r>
      <w:r w:rsidRPr="001D3243">
        <w:rPr>
          <w:i/>
          <w:sz w:val="17"/>
          <w:szCs w:val="17"/>
        </w:rPr>
        <w:t xml:space="preserve">; Audited Financial Reports for Fiscal Years </w:t>
      </w:r>
      <w:r>
        <w:rPr>
          <w:i/>
          <w:sz w:val="17"/>
          <w:szCs w:val="17"/>
        </w:rPr>
        <w:t>2017-18</w:t>
      </w:r>
      <w:r w:rsidRPr="001D3243">
        <w:rPr>
          <w:i/>
          <w:sz w:val="17"/>
          <w:szCs w:val="17"/>
        </w:rPr>
        <w:t xml:space="preserve"> through 20</w:t>
      </w:r>
      <w:r>
        <w:rPr>
          <w:i/>
          <w:sz w:val="17"/>
          <w:szCs w:val="17"/>
        </w:rPr>
        <w:t>20</w:t>
      </w:r>
      <w:r w:rsidRPr="001D3243">
        <w:rPr>
          <w:i/>
          <w:sz w:val="17"/>
          <w:szCs w:val="17"/>
        </w:rPr>
        <w:t>-2</w:t>
      </w:r>
      <w:r>
        <w:rPr>
          <w:i/>
          <w:sz w:val="17"/>
          <w:szCs w:val="17"/>
        </w:rPr>
        <w:t>1</w:t>
      </w:r>
      <w:r w:rsidRPr="001D3243">
        <w:rPr>
          <w:i/>
          <w:sz w:val="17"/>
          <w:szCs w:val="17"/>
        </w:rPr>
        <w:t>.</w:t>
      </w:r>
    </w:p>
    <w:p w14:paraId="64EAE14A" w14:textId="77777777" w:rsidR="00381196" w:rsidRDefault="00381196" w:rsidP="00381196">
      <w:pPr>
        <w:pStyle w:val="Heading2"/>
      </w:pPr>
      <w:bookmarkStart w:id="16" w:name="_Toc474934000"/>
      <w:bookmarkStart w:id="17" w:name="_Toc97152708"/>
      <w:bookmarkStart w:id="18" w:name="_Toc101330552"/>
      <w:r>
        <w:lastRenderedPageBreak/>
        <w:t>Historical Statements of Financial Position</w:t>
      </w:r>
      <w:bookmarkEnd w:id="16"/>
      <w:bookmarkEnd w:id="17"/>
      <w:bookmarkEnd w:id="18"/>
    </w:p>
    <w:p w14:paraId="21D1BDE9" w14:textId="634D2EC1" w:rsidR="00381196" w:rsidRDefault="00381196" w:rsidP="00381196">
      <w:pPr>
        <w:keepNext/>
        <w:spacing w:after="240"/>
        <w:ind w:firstLine="720"/>
        <w:jc w:val="both"/>
      </w:pPr>
      <w:r>
        <w:t>The following table sets forth the audited assets, liabilities and net assets of the School as of June 30 of each year for fiscal years 2017-18 through 2020-21.</w:t>
      </w:r>
    </w:p>
    <w:p w14:paraId="066F47F3" w14:textId="25B81F70" w:rsidR="00381196" w:rsidRDefault="00381196" w:rsidP="00381196">
      <w:pPr>
        <w:keepNext/>
        <w:keepLines/>
        <w:jc w:val="center"/>
        <w:rPr>
          <w:b/>
          <w:sz w:val="20"/>
        </w:rPr>
      </w:pPr>
      <w:r>
        <w:rPr>
          <w:b/>
          <w:sz w:val="20"/>
        </w:rPr>
        <w:t>TABLE 7</w:t>
      </w:r>
    </w:p>
    <w:p w14:paraId="7627E082" w14:textId="77777777" w:rsidR="00381196" w:rsidRPr="0053473F" w:rsidRDefault="00381196" w:rsidP="00381196">
      <w:pPr>
        <w:keepNext/>
        <w:keepLines/>
        <w:jc w:val="center"/>
        <w:rPr>
          <w:b/>
          <w:sz w:val="20"/>
        </w:rPr>
      </w:pPr>
      <w:r w:rsidRPr="0053473F">
        <w:rPr>
          <w:b/>
          <w:sz w:val="20"/>
        </w:rPr>
        <w:t>STATEMENT OF FINANCIAL POSITION</w:t>
      </w:r>
    </w:p>
    <w:p w14:paraId="72DCD402" w14:textId="1DD4319C" w:rsidR="00381196" w:rsidRPr="0053473F" w:rsidRDefault="00381196" w:rsidP="00381196">
      <w:pPr>
        <w:keepNext/>
        <w:keepLines/>
        <w:jc w:val="center"/>
        <w:rPr>
          <w:b/>
          <w:sz w:val="20"/>
        </w:rPr>
      </w:pPr>
      <w:r>
        <w:rPr>
          <w:b/>
          <w:sz w:val="20"/>
        </w:rPr>
        <w:t>2017-18</w:t>
      </w:r>
      <w:r w:rsidRPr="0053473F">
        <w:rPr>
          <w:b/>
          <w:sz w:val="20"/>
        </w:rPr>
        <w:t xml:space="preserve"> through 20</w:t>
      </w:r>
      <w:r>
        <w:rPr>
          <w:b/>
          <w:sz w:val="20"/>
        </w:rPr>
        <w:t>20-21</w:t>
      </w:r>
    </w:p>
    <w:p w14:paraId="1CBE4970" w14:textId="6BAE056B" w:rsidR="00381196" w:rsidRPr="0053473F" w:rsidRDefault="00381196" w:rsidP="00381196">
      <w:pPr>
        <w:keepNext/>
        <w:keepLines/>
        <w:spacing w:after="240"/>
        <w:jc w:val="center"/>
        <w:rPr>
          <w:sz w:val="20"/>
        </w:rPr>
      </w:pPr>
      <w:r>
        <w:rPr>
          <w:sz w:val="20"/>
        </w:rPr>
        <w:t>The School</w:t>
      </w:r>
    </w:p>
    <w:tbl>
      <w:tblPr>
        <w:tblW w:w="8910" w:type="dxa"/>
        <w:jc w:val="center"/>
        <w:tblLayout w:type="fixed"/>
        <w:tblCellMar>
          <w:left w:w="144" w:type="dxa"/>
          <w:right w:w="144" w:type="dxa"/>
        </w:tblCellMar>
        <w:tblLook w:val="04A0" w:firstRow="1" w:lastRow="0" w:firstColumn="1" w:lastColumn="0" w:noHBand="0" w:noVBand="1"/>
      </w:tblPr>
      <w:tblGrid>
        <w:gridCol w:w="3930"/>
        <w:gridCol w:w="1245"/>
        <w:gridCol w:w="1245"/>
        <w:gridCol w:w="1245"/>
        <w:gridCol w:w="1245"/>
      </w:tblGrid>
      <w:tr w:rsidR="00381196" w14:paraId="6B6E5E10" w14:textId="77777777" w:rsidTr="00381196">
        <w:trPr>
          <w:trHeight w:val="20"/>
          <w:jc w:val="center"/>
        </w:trPr>
        <w:tc>
          <w:tcPr>
            <w:tcW w:w="3930" w:type="dxa"/>
            <w:vAlign w:val="bottom"/>
          </w:tcPr>
          <w:p w14:paraId="4B141924" w14:textId="77777777" w:rsidR="00381196" w:rsidRDefault="00381196" w:rsidP="00C634FA">
            <w:pPr>
              <w:keepNext/>
              <w:rPr>
                <w:b/>
                <w:bCs/>
                <w:color w:val="000000"/>
                <w:sz w:val="17"/>
                <w:szCs w:val="17"/>
              </w:rPr>
            </w:pPr>
            <w:bookmarkStart w:id="19" w:name="_Toc73980265"/>
            <w:bookmarkStart w:id="20" w:name="_Toc404003898"/>
          </w:p>
        </w:tc>
        <w:tc>
          <w:tcPr>
            <w:tcW w:w="1245" w:type="dxa"/>
          </w:tcPr>
          <w:p w14:paraId="7FE8A7AC" w14:textId="0C5798E9" w:rsidR="00381196" w:rsidRDefault="00381196" w:rsidP="00C634FA">
            <w:pPr>
              <w:keepNext/>
              <w:widowControl w:val="0"/>
              <w:pBdr>
                <w:bottom w:val="single" w:sz="4" w:space="1" w:color="auto"/>
              </w:pBdr>
              <w:spacing w:after="60" w:line="216" w:lineRule="auto"/>
              <w:jc w:val="center"/>
              <w:rPr>
                <w:b/>
                <w:i/>
                <w:sz w:val="17"/>
                <w:szCs w:val="17"/>
              </w:rPr>
            </w:pPr>
            <w:r>
              <w:rPr>
                <w:b/>
                <w:i/>
                <w:sz w:val="17"/>
                <w:szCs w:val="17"/>
              </w:rPr>
              <w:t>2017-18</w:t>
            </w:r>
          </w:p>
        </w:tc>
        <w:tc>
          <w:tcPr>
            <w:tcW w:w="1245" w:type="dxa"/>
            <w:vAlign w:val="bottom"/>
          </w:tcPr>
          <w:p w14:paraId="5D15508B" w14:textId="62520723" w:rsidR="00381196" w:rsidRPr="005A6C20" w:rsidRDefault="00381196" w:rsidP="00C634FA">
            <w:pPr>
              <w:keepNext/>
              <w:widowControl w:val="0"/>
              <w:pBdr>
                <w:bottom w:val="single" w:sz="4" w:space="1" w:color="auto"/>
              </w:pBdr>
              <w:spacing w:after="60" w:line="216" w:lineRule="auto"/>
              <w:jc w:val="center"/>
              <w:rPr>
                <w:b/>
                <w:i/>
                <w:sz w:val="17"/>
                <w:szCs w:val="17"/>
              </w:rPr>
            </w:pPr>
            <w:r>
              <w:rPr>
                <w:b/>
                <w:i/>
                <w:sz w:val="17"/>
                <w:szCs w:val="17"/>
              </w:rPr>
              <w:t>2018-19</w:t>
            </w:r>
          </w:p>
        </w:tc>
        <w:tc>
          <w:tcPr>
            <w:tcW w:w="1245" w:type="dxa"/>
            <w:vAlign w:val="bottom"/>
          </w:tcPr>
          <w:p w14:paraId="15BFD5DE" w14:textId="77777777" w:rsidR="00381196" w:rsidRPr="005A6C20" w:rsidRDefault="00381196" w:rsidP="00C634FA">
            <w:pPr>
              <w:keepNext/>
              <w:widowControl w:val="0"/>
              <w:pBdr>
                <w:bottom w:val="single" w:sz="4" w:space="1" w:color="auto"/>
              </w:pBdr>
              <w:spacing w:after="60" w:line="216" w:lineRule="auto"/>
              <w:jc w:val="center"/>
              <w:rPr>
                <w:b/>
                <w:i/>
                <w:sz w:val="17"/>
                <w:szCs w:val="17"/>
              </w:rPr>
            </w:pPr>
            <w:r>
              <w:rPr>
                <w:b/>
                <w:i/>
                <w:sz w:val="17"/>
                <w:szCs w:val="17"/>
              </w:rPr>
              <w:t>2019-20</w:t>
            </w:r>
          </w:p>
        </w:tc>
        <w:tc>
          <w:tcPr>
            <w:tcW w:w="1245" w:type="dxa"/>
            <w:vAlign w:val="bottom"/>
          </w:tcPr>
          <w:p w14:paraId="7B7C524D" w14:textId="77777777" w:rsidR="00381196" w:rsidRDefault="00381196" w:rsidP="00C634FA">
            <w:pPr>
              <w:keepNext/>
              <w:widowControl w:val="0"/>
              <w:pBdr>
                <w:bottom w:val="single" w:sz="4" w:space="1" w:color="auto"/>
              </w:pBdr>
              <w:spacing w:after="60" w:line="216" w:lineRule="auto"/>
              <w:jc w:val="center"/>
              <w:rPr>
                <w:b/>
                <w:i/>
                <w:sz w:val="17"/>
                <w:szCs w:val="17"/>
              </w:rPr>
            </w:pPr>
            <w:r>
              <w:rPr>
                <w:b/>
                <w:i/>
                <w:sz w:val="17"/>
                <w:szCs w:val="17"/>
              </w:rPr>
              <w:t>2020-21</w:t>
            </w:r>
          </w:p>
        </w:tc>
      </w:tr>
      <w:tr w:rsidR="00381196" w14:paraId="5A8E95E3" w14:textId="77777777" w:rsidTr="00381196">
        <w:trPr>
          <w:trHeight w:val="20"/>
          <w:jc w:val="center"/>
        </w:trPr>
        <w:tc>
          <w:tcPr>
            <w:tcW w:w="3930" w:type="dxa"/>
            <w:hideMark/>
          </w:tcPr>
          <w:p w14:paraId="041B8307" w14:textId="77777777" w:rsidR="00381196" w:rsidRPr="000B00EF" w:rsidRDefault="00381196" w:rsidP="00C634FA">
            <w:pPr>
              <w:keepNext/>
              <w:ind w:right="-45"/>
              <w:rPr>
                <w:b/>
                <w:bCs/>
                <w:color w:val="000000"/>
                <w:sz w:val="17"/>
                <w:szCs w:val="17"/>
                <w:u w:val="single"/>
              </w:rPr>
            </w:pPr>
            <w:r>
              <w:rPr>
                <w:b/>
                <w:bCs/>
                <w:color w:val="000000"/>
                <w:sz w:val="17"/>
                <w:szCs w:val="17"/>
                <w:u w:val="single"/>
              </w:rPr>
              <w:t xml:space="preserve">CURRENT </w:t>
            </w:r>
            <w:r w:rsidRPr="000B00EF">
              <w:rPr>
                <w:b/>
                <w:bCs/>
                <w:color w:val="000000"/>
                <w:sz w:val="17"/>
                <w:szCs w:val="17"/>
                <w:u w:val="single"/>
              </w:rPr>
              <w:t>ASSETS</w:t>
            </w:r>
          </w:p>
        </w:tc>
        <w:tc>
          <w:tcPr>
            <w:tcW w:w="1245" w:type="dxa"/>
          </w:tcPr>
          <w:p w14:paraId="024F8D6E" w14:textId="77777777" w:rsidR="00381196" w:rsidRDefault="00381196" w:rsidP="00C634FA">
            <w:pPr>
              <w:keepNext/>
              <w:widowControl w:val="0"/>
              <w:spacing w:after="60" w:line="216" w:lineRule="auto"/>
              <w:ind w:left="-172" w:right="-144"/>
              <w:jc w:val="center"/>
              <w:rPr>
                <w:b/>
                <w:sz w:val="17"/>
                <w:szCs w:val="17"/>
                <w:u w:val="single"/>
              </w:rPr>
            </w:pPr>
          </w:p>
        </w:tc>
        <w:tc>
          <w:tcPr>
            <w:tcW w:w="1245" w:type="dxa"/>
          </w:tcPr>
          <w:p w14:paraId="2E7E56B8" w14:textId="1B756926" w:rsidR="00381196" w:rsidRDefault="00381196" w:rsidP="00C634FA">
            <w:pPr>
              <w:keepNext/>
              <w:widowControl w:val="0"/>
              <w:spacing w:after="60" w:line="216" w:lineRule="auto"/>
              <w:ind w:left="-172" w:right="-144"/>
              <w:jc w:val="center"/>
              <w:rPr>
                <w:b/>
                <w:sz w:val="17"/>
                <w:szCs w:val="17"/>
                <w:u w:val="single"/>
              </w:rPr>
            </w:pPr>
          </w:p>
        </w:tc>
        <w:tc>
          <w:tcPr>
            <w:tcW w:w="1245" w:type="dxa"/>
          </w:tcPr>
          <w:p w14:paraId="3FD1AD02" w14:textId="77777777" w:rsidR="00381196" w:rsidRDefault="00381196" w:rsidP="00C634FA">
            <w:pPr>
              <w:keepNext/>
              <w:widowControl w:val="0"/>
              <w:spacing w:after="60" w:line="216" w:lineRule="auto"/>
              <w:ind w:left="-172" w:right="-144"/>
              <w:jc w:val="center"/>
              <w:rPr>
                <w:b/>
                <w:sz w:val="17"/>
                <w:szCs w:val="17"/>
                <w:u w:val="single"/>
              </w:rPr>
            </w:pPr>
          </w:p>
        </w:tc>
        <w:tc>
          <w:tcPr>
            <w:tcW w:w="1245" w:type="dxa"/>
          </w:tcPr>
          <w:p w14:paraId="69E6E93C" w14:textId="77777777" w:rsidR="00381196" w:rsidRDefault="00381196" w:rsidP="00C634FA">
            <w:pPr>
              <w:keepNext/>
              <w:widowControl w:val="0"/>
              <w:spacing w:after="60" w:line="216" w:lineRule="auto"/>
              <w:ind w:left="-172" w:right="-144"/>
              <w:jc w:val="center"/>
              <w:rPr>
                <w:b/>
                <w:sz w:val="17"/>
                <w:szCs w:val="17"/>
                <w:u w:val="single"/>
              </w:rPr>
            </w:pPr>
          </w:p>
        </w:tc>
      </w:tr>
      <w:tr w:rsidR="00381196" w14:paraId="3F37FF40" w14:textId="77777777" w:rsidTr="00381196">
        <w:trPr>
          <w:trHeight w:val="20"/>
          <w:jc w:val="center"/>
        </w:trPr>
        <w:tc>
          <w:tcPr>
            <w:tcW w:w="3930" w:type="dxa"/>
            <w:hideMark/>
          </w:tcPr>
          <w:p w14:paraId="2B18FF4E" w14:textId="77777777" w:rsidR="00381196" w:rsidRDefault="00381196" w:rsidP="00C634FA">
            <w:pPr>
              <w:keepNext/>
              <w:ind w:left="168" w:right="-45"/>
              <w:rPr>
                <w:color w:val="000000"/>
                <w:sz w:val="17"/>
                <w:szCs w:val="17"/>
                <w:vertAlign w:val="superscript"/>
              </w:rPr>
            </w:pPr>
            <w:r>
              <w:rPr>
                <w:color w:val="000000"/>
                <w:sz w:val="17"/>
                <w:szCs w:val="17"/>
              </w:rPr>
              <w:t xml:space="preserve">Cash and Cash Equivalents </w:t>
            </w:r>
          </w:p>
        </w:tc>
        <w:tc>
          <w:tcPr>
            <w:tcW w:w="1245" w:type="dxa"/>
          </w:tcPr>
          <w:p w14:paraId="0AA4A6D2" w14:textId="77777777" w:rsidR="00381196" w:rsidRDefault="00381196" w:rsidP="00C634FA">
            <w:pPr>
              <w:jc w:val="right"/>
              <w:rPr>
                <w:color w:val="000000"/>
                <w:sz w:val="17"/>
                <w:szCs w:val="17"/>
              </w:rPr>
            </w:pPr>
          </w:p>
        </w:tc>
        <w:tc>
          <w:tcPr>
            <w:tcW w:w="1245" w:type="dxa"/>
            <w:vAlign w:val="center"/>
          </w:tcPr>
          <w:p w14:paraId="79072501" w14:textId="3F0E46B8" w:rsidR="00381196" w:rsidRDefault="00381196" w:rsidP="00C634FA">
            <w:pPr>
              <w:jc w:val="right"/>
              <w:rPr>
                <w:color w:val="000000"/>
                <w:sz w:val="17"/>
                <w:szCs w:val="17"/>
              </w:rPr>
            </w:pPr>
          </w:p>
        </w:tc>
        <w:tc>
          <w:tcPr>
            <w:tcW w:w="1245" w:type="dxa"/>
            <w:vAlign w:val="center"/>
          </w:tcPr>
          <w:p w14:paraId="2223971E" w14:textId="7561ABF2" w:rsidR="00381196" w:rsidRDefault="00381196" w:rsidP="00C634FA">
            <w:pPr>
              <w:jc w:val="right"/>
              <w:rPr>
                <w:color w:val="000000"/>
                <w:sz w:val="17"/>
                <w:szCs w:val="17"/>
              </w:rPr>
            </w:pPr>
          </w:p>
        </w:tc>
        <w:tc>
          <w:tcPr>
            <w:tcW w:w="1245" w:type="dxa"/>
            <w:vAlign w:val="center"/>
          </w:tcPr>
          <w:p w14:paraId="4A692833" w14:textId="54EF24C0" w:rsidR="00381196" w:rsidRDefault="00381196" w:rsidP="00C634FA">
            <w:pPr>
              <w:jc w:val="right"/>
              <w:rPr>
                <w:color w:val="000000"/>
                <w:sz w:val="17"/>
                <w:szCs w:val="17"/>
              </w:rPr>
            </w:pPr>
          </w:p>
        </w:tc>
      </w:tr>
      <w:tr w:rsidR="00381196" w14:paraId="5CDAEDC9" w14:textId="77777777" w:rsidTr="00381196">
        <w:trPr>
          <w:trHeight w:val="20"/>
          <w:jc w:val="center"/>
        </w:trPr>
        <w:tc>
          <w:tcPr>
            <w:tcW w:w="3930" w:type="dxa"/>
            <w:hideMark/>
          </w:tcPr>
          <w:p w14:paraId="6248021B" w14:textId="77777777" w:rsidR="00381196" w:rsidRDefault="00381196" w:rsidP="00C634FA">
            <w:pPr>
              <w:keepNext/>
              <w:ind w:left="168" w:right="-45"/>
              <w:rPr>
                <w:color w:val="000000"/>
                <w:sz w:val="17"/>
                <w:szCs w:val="17"/>
                <w:vertAlign w:val="superscript"/>
              </w:rPr>
            </w:pPr>
            <w:r>
              <w:rPr>
                <w:color w:val="000000"/>
                <w:sz w:val="17"/>
                <w:szCs w:val="17"/>
              </w:rPr>
              <w:t>Accounts receivable – Federal and State</w:t>
            </w:r>
          </w:p>
        </w:tc>
        <w:tc>
          <w:tcPr>
            <w:tcW w:w="1245" w:type="dxa"/>
          </w:tcPr>
          <w:p w14:paraId="4ABCF946" w14:textId="77777777" w:rsidR="00381196" w:rsidRDefault="00381196" w:rsidP="00C634FA">
            <w:pPr>
              <w:jc w:val="right"/>
              <w:rPr>
                <w:color w:val="000000"/>
                <w:sz w:val="17"/>
                <w:szCs w:val="17"/>
              </w:rPr>
            </w:pPr>
          </w:p>
        </w:tc>
        <w:tc>
          <w:tcPr>
            <w:tcW w:w="1245" w:type="dxa"/>
            <w:vAlign w:val="center"/>
          </w:tcPr>
          <w:p w14:paraId="7F85A710" w14:textId="06A3DE57" w:rsidR="00381196" w:rsidRDefault="00381196" w:rsidP="00C634FA">
            <w:pPr>
              <w:jc w:val="right"/>
              <w:rPr>
                <w:color w:val="000000"/>
                <w:sz w:val="17"/>
                <w:szCs w:val="17"/>
              </w:rPr>
            </w:pPr>
          </w:p>
        </w:tc>
        <w:tc>
          <w:tcPr>
            <w:tcW w:w="1245" w:type="dxa"/>
            <w:vAlign w:val="center"/>
          </w:tcPr>
          <w:p w14:paraId="4567082C" w14:textId="3E70C0DE" w:rsidR="00381196" w:rsidRDefault="00381196" w:rsidP="00C634FA">
            <w:pPr>
              <w:jc w:val="right"/>
              <w:rPr>
                <w:color w:val="000000"/>
                <w:sz w:val="17"/>
                <w:szCs w:val="17"/>
              </w:rPr>
            </w:pPr>
          </w:p>
        </w:tc>
        <w:tc>
          <w:tcPr>
            <w:tcW w:w="1245" w:type="dxa"/>
            <w:vAlign w:val="center"/>
          </w:tcPr>
          <w:p w14:paraId="1CB16776" w14:textId="21BBD896" w:rsidR="00381196" w:rsidRDefault="00381196" w:rsidP="00C634FA">
            <w:pPr>
              <w:jc w:val="right"/>
              <w:rPr>
                <w:color w:val="000000"/>
                <w:sz w:val="17"/>
                <w:szCs w:val="17"/>
              </w:rPr>
            </w:pPr>
          </w:p>
        </w:tc>
      </w:tr>
      <w:tr w:rsidR="00381196" w14:paraId="617FD9F6" w14:textId="77777777" w:rsidTr="00381196">
        <w:trPr>
          <w:trHeight w:val="20"/>
          <w:jc w:val="center"/>
        </w:trPr>
        <w:tc>
          <w:tcPr>
            <w:tcW w:w="3930" w:type="dxa"/>
          </w:tcPr>
          <w:p w14:paraId="55E122A4" w14:textId="77777777" w:rsidR="00381196" w:rsidRDefault="00381196" w:rsidP="00C634FA">
            <w:pPr>
              <w:keepNext/>
              <w:ind w:left="168" w:right="-45"/>
              <w:rPr>
                <w:color w:val="000000"/>
                <w:sz w:val="17"/>
                <w:szCs w:val="17"/>
                <w:vertAlign w:val="superscript"/>
              </w:rPr>
            </w:pPr>
            <w:r>
              <w:rPr>
                <w:color w:val="000000"/>
                <w:sz w:val="17"/>
                <w:szCs w:val="17"/>
              </w:rPr>
              <w:t>Accounts receivable – Other</w:t>
            </w:r>
          </w:p>
        </w:tc>
        <w:tc>
          <w:tcPr>
            <w:tcW w:w="1245" w:type="dxa"/>
          </w:tcPr>
          <w:p w14:paraId="6345BE03" w14:textId="77777777" w:rsidR="00381196" w:rsidRDefault="00381196" w:rsidP="00C634FA">
            <w:pPr>
              <w:jc w:val="right"/>
              <w:rPr>
                <w:color w:val="000000"/>
                <w:sz w:val="17"/>
                <w:szCs w:val="17"/>
              </w:rPr>
            </w:pPr>
          </w:p>
        </w:tc>
        <w:tc>
          <w:tcPr>
            <w:tcW w:w="1245" w:type="dxa"/>
            <w:vAlign w:val="center"/>
          </w:tcPr>
          <w:p w14:paraId="38FAD9A0" w14:textId="33A09BA3" w:rsidR="00381196" w:rsidRDefault="00381196" w:rsidP="00C634FA">
            <w:pPr>
              <w:jc w:val="right"/>
              <w:rPr>
                <w:color w:val="000000"/>
                <w:sz w:val="17"/>
                <w:szCs w:val="17"/>
              </w:rPr>
            </w:pPr>
          </w:p>
        </w:tc>
        <w:tc>
          <w:tcPr>
            <w:tcW w:w="1245" w:type="dxa"/>
            <w:vAlign w:val="center"/>
          </w:tcPr>
          <w:p w14:paraId="0A7BA61F" w14:textId="1B76B23D" w:rsidR="00381196" w:rsidRDefault="00381196" w:rsidP="00C634FA">
            <w:pPr>
              <w:jc w:val="right"/>
              <w:rPr>
                <w:color w:val="000000"/>
                <w:sz w:val="17"/>
                <w:szCs w:val="17"/>
              </w:rPr>
            </w:pPr>
          </w:p>
        </w:tc>
        <w:tc>
          <w:tcPr>
            <w:tcW w:w="1245" w:type="dxa"/>
            <w:vAlign w:val="center"/>
          </w:tcPr>
          <w:p w14:paraId="44A0A251" w14:textId="57957357" w:rsidR="00381196" w:rsidRDefault="00381196" w:rsidP="00C634FA">
            <w:pPr>
              <w:jc w:val="right"/>
              <w:rPr>
                <w:color w:val="000000"/>
                <w:sz w:val="17"/>
                <w:szCs w:val="17"/>
              </w:rPr>
            </w:pPr>
          </w:p>
        </w:tc>
      </w:tr>
      <w:tr w:rsidR="00381196" w14:paraId="471D63CD" w14:textId="77777777" w:rsidTr="00381196">
        <w:trPr>
          <w:trHeight w:val="20"/>
          <w:jc w:val="center"/>
        </w:trPr>
        <w:tc>
          <w:tcPr>
            <w:tcW w:w="3930" w:type="dxa"/>
          </w:tcPr>
          <w:p w14:paraId="00D998B9" w14:textId="77777777" w:rsidR="00381196" w:rsidRDefault="00381196" w:rsidP="00C634FA">
            <w:pPr>
              <w:keepNext/>
              <w:ind w:left="168" w:right="-45"/>
              <w:rPr>
                <w:color w:val="000000"/>
                <w:sz w:val="17"/>
                <w:szCs w:val="17"/>
              </w:rPr>
            </w:pPr>
            <w:r>
              <w:rPr>
                <w:color w:val="000000"/>
                <w:sz w:val="17"/>
                <w:szCs w:val="17"/>
              </w:rPr>
              <w:t>Prepaid Expenses and Other Assets</w:t>
            </w:r>
          </w:p>
        </w:tc>
        <w:tc>
          <w:tcPr>
            <w:tcW w:w="1245" w:type="dxa"/>
          </w:tcPr>
          <w:p w14:paraId="1BA56B7F" w14:textId="77777777" w:rsidR="00381196" w:rsidRDefault="00381196" w:rsidP="00C634FA">
            <w:pPr>
              <w:pBdr>
                <w:bottom w:val="single" w:sz="4" w:space="1" w:color="auto"/>
              </w:pBdr>
              <w:jc w:val="right"/>
              <w:rPr>
                <w:color w:val="000000"/>
                <w:sz w:val="17"/>
                <w:szCs w:val="17"/>
              </w:rPr>
            </w:pPr>
          </w:p>
        </w:tc>
        <w:tc>
          <w:tcPr>
            <w:tcW w:w="1245" w:type="dxa"/>
            <w:vAlign w:val="center"/>
          </w:tcPr>
          <w:p w14:paraId="36C4A954" w14:textId="3360D225" w:rsidR="00381196" w:rsidRDefault="00381196" w:rsidP="00C634FA">
            <w:pPr>
              <w:pBdr>
                <w:bottom w:val="single" w:sz="4" w:space="1" w:color="auto"/>
              </w:pBdr>
              <w:jc w:val="right"/>
              <w:rPr>
                <w:color w:val="000000"/>
                <w:sz w:val="17"/>
                <w:szCs w:val="17"/>
              </w:rPr>
            </w:pPr>
          </w:p>
        </w:tc>
        <w:tc>
          <w:tcPr>
            <w:tcW w:w="1245" w:type="dxa"/>
            <w:vAlign w:val="center"/>
          </w:tcPr>
          <w:p w14:paraId="31A0D73B" w14:textId="3F9E34EA" w:rsidR="00381196" w:rsidRDefault="00381196" w:rsidP="00C634FA">
            <w:pPr>
              <w:pBdr>
                <w:bottom w:val="single" w:sz="4" w:space="1" w:color="auto"/>
              </w:pBdr>
              <w:jc w:val="right"/>
              <w:rPr>
                <w:color w:val="000000"/>
                <w:sz w:val="17"/>
                <w:szCs w:val="17"/>
              </w:rPr>
            </w:pPr>
          </w:p>
        </w:tc>
        <w:tc>
          <w:tcPr>
            <w:tcW w:w="1245" w:type="dxa"/>
            <w:vAlign w:val="center"/>
          </w:tcPr>
          <w:p w14:paraId="026DBDF7" w14:textId="337F8F03" w:rsidR="00381196" w:rsidRDefault="00381196" w:rsidP="00C634FA">
            <w:pPr>
              <w:pBdr>
                <w:bottom w:val="single" w:sz="4" w:space="1" w:color="auto"/>
              </w:pBdr>
              <w:jc w:val="right"/>
              <w:rPr>
                <w:color w:val="000000"/>
                <w:sz w:val="17"/>
                <w:szCs w:val="17"/>
              </w:rPr>
            </w:pPr>
          </w:p>
        </w:tc>
      </w:tr>
      <w:tr w:rsidR="00381196" w14:paraId="26EBABD5" w14:textId="77777777" w:rsidTr="00381196">
        <w:trPr>
          <w:trHeight w:val="20"/>
          <w:jc w:val="center"/>
        </w:trPr>
        <w:tc>
          <w:tcPr>
            <w:tcW w:w="3930" w:type="dxa"/>
            <w:hideMark/>
          </w:tcPr>
          <w:p w14:paraId="4D8A9CB8" w14:textId="77777777" w:rsidR="00381196" w:rsidRPr="002C787B" w:rsidRDefault="00381196" w:rsidP="00C634FA">
            <w:pPr>
              <w:keepNext/>
              <w:ind w:left="348" w:right="-45"/>
              <w:rPr>
                <w:color w:val="000000"/>
                <w:sz w:val="17"/>
                <w:szCs w:val="17"/>
                <w:vertAlign w:val="superscript"/>
              </w:rPr>
            </w:pPr>
            <w:r>
              <w:rPr>
                <w:color w:val="000000"/>
                <w:sz w:val="17"/>
                <w:szCs w:val="17"/>
              </w:rPr>
              <w:t>Total current assets</w:t>
            </w:r>
          </w:p>
        </w:tc>
        <w:tc>
          <w:tcPr>
            <w:tcW w:w="1245" w:type="dxa"/>
          </w:tcPr>
          <w:p w14:paraId="547E5404" w14:textId="77777777" w:rsidR="00381196" w:rsidRDefault="00381196" w:rsidP="00C634FA">
            <w:pPr>
              <w:jc w:val="right"/>
              <w:rPr>
                <w:color w:val="000000"/>
                <w:sz w:val="17"/>
                <w:szCs w:val="17"/>
              </w:rPr>
            </w:pPr>
          </w:p>
        </w:tc>
        <w:tc>
          <w:tcPr>
            <w:tcW w:w="1245" w:type="dxa"/>
            <w:vAlign w:val="center"/>
          </w:tcPr>
          <w:p w14:paraId="59AB293E" w14:textId="32A396C3" w:rsidR="00381196" w:rsidRDefault="00381196" w:rsidP="00C634FA">
            <w:pPr>
              <w:jc w:val="right"/>
              <w:rPr>
                <w:color w:val="000000"/>
                <w:sz w:val="17"/>
                <w:szCs w:val="17"/>
              </w:rPr>
            </w:pPr>
          </w:p>
        </w:tc>
        <w:tc>
          <w:tcPr>
            <w:tcW w:w="1245" w:type="dxa"/>
            <w:vAlign w:val="center"/>
          </w:tcPr>
          <w:p w14:paraId="165A06AB" w14:textId="2A8E5D72" w:rsidR="00381196" w:rsidRDefault="00381196" w:rsidP="00C634FA">
            <w:pPr>
              <w:jc w:val="right"/>
              <w:rPr>
                <w:color w:val="000000"/>
                <w:sz w:val="17"/>
                <w:szCs w:val="17"/>
              </w:rPr>
            </w:pPr>
          </w:p>
        </w:tc>
        <w:tc>
          <w:tcPr>
            <w:tcW w:w="1245" w:type="dxa"/>
            <w:vAlign w:val="center"/>
          </w:tcPr>
          <w:p w14:paraId="16BE8B1E" w14:textId="246AA6D1" w:rsidR="00381196" w:rsidRDefault="00381196" w:rsidP="00C634FA">
            <w:pPr>
              <w:jc w:val="right"/>
              <w:rPr>
                <w:color w:val="000000"/>
                <w:sz w:val="17"/>
                <w:szCs w:val="17"/>
              </w:rPr>
            </w:pPr>
          </w:p>
        </w:tc>
      </w:tr>
      <w:tr w:rsidR="00381196" w14:paraId="7D8253E0" w14:textId="77777777" w:rsidTr="00381196">
        <w:trPr>
          <w:trHeight w:val="20"/>
          <w:jc w:val="center"/>
        </w:trPr>
        <w:tc>
          <w:tcPr>
            <w:tcW w:w="3930" w:type="dxa"/>
          </w:tcPr>
          <w:p w14:paraId="3A2BCB1E" w14:textId="77777777" w:rsidR="00381196" w:rsidRDefault="00381196" w:rsidP="00C634FA">
            <w:pPr>
              <w:keepNext/>
              <w:ind w:left="168" w:right="-45"/>
              <w:rPr>
                <w:color w:val="000000"/>
                <w:sz w:val="17"/>
                <w:szCs w:val="17"/>
                <w:vertAlign w:val="superscript"/>
              </w:rPr>
            </w:pPr>
          </w:p>
        </w:tc>
        <w:tc>
          <w:tcPr>
            <w:tcW w:w="1245" w:type="dxa"/>
          </w:tcPr>
          <w:p w14:paraId="39685A11" w14:textId="77777777" w:rsidR="00381196" w:rsidRDefault="00381196" w:rsidP="00C634FA">
            <w:pPr>
              <w:jc w:val="right"/>
              <w:rPr>
                <w:color w:val="000000"/>
                <w:sz w:val="17"/>
                <w:szCs w:val="17"/>
              </w:rPr>
            </w:pPr>
          </w:p>
        </w:tc>
        <w:tc>
          <w:tcPr>
            <w:tcW w:w="1245" w:type="dxa"/>
            <w:vAlign w:val="center"/>
          </w:tcPr>
          <w:p w14:paraId="3D1C1557" w14:textId="0D6A1305" w:rsidR="00381196" w:rsidRDefault="00381196" w:rsidP="00C634FA">
            <w:pPr>
              <w:jc w:val="right"/>
              <w:rPr>
                <w:color w:val="000000"/>
                <w:sz w:val="17"/>
                <w:szCs w:val="17"/>
              </w:rPr>
            </w:pPr>
          </w:p>
        </w:tc>
        <w:tc>
          <w:tcPr>
            <w:tcW w:w="1245" w:type="dxa"/>
            <w:vAlign w:val="center"/>
          </w:tcPr>
          <w:p w14:paraId="796B8378" w14:textId="77777777" w:rsidR="00381196" w:rsidRDefault="00381196" w:rsidP="00C634FA">
            <w:pPr>
              <w:jc w:val="right"/>
              <w:rPr>
                <w:color w:val="000000"/>
                <w:sz w:val="17"/>
                <w:szCs w:val="17"/>
              </w:rPr>
            </w:pPr>
          </w:p>
        </w:tc>
        <w:tc>
          <w:tcPr>
            <w:tcW w:w="1245" w:type="dxa"/>
            <w:vAlign w:val="center"/>
          </w:tcPr>
          <w:p w14:paraId="2C9F7CC5" w14:textId="77777777" w:rsidR="00381196" w:rsidRDefault="00381196" w:rsidP="00C634FA">
            <w:pPr>
              <w:jc w:val="right"/>
              <w:rPr>
                <w:color w:val="000000"/>
                <w:sz w:val="17"/>
                <w:szCs w:val="17"/>
              </w:rPr>
            </w:pPr>
          </w:p>
        </w:tc>
      </w:tr>
      <w:tr w:rsidR="00381196" w14:paraId="713BB3A9" w14:textId="77777777" w:rsidTr="00381196">
        <w:trPr>
          <w:trHeight w:val="20"/>
          <w:jc w:val="center"/>
        </w:trPr>
        <w:tc>
          <w:tcPr>
            <w:tcW w:w="3930" w:type="dxa"/>
          </w:tcPr>
          <w:p w14:paraId="0BD8AF11" w14:textId="77777777" w:rsidR="00381196" w:rsidRPr="002C787B" w:rsidRDefault="00381196" w:rsidP="00C634FA">
            <w:pPr>
              <w:keepNext/>
              <w:ind w:left="348" w:right="-45"/>
              <w:rPr>
                <w:color w:val="000000"/>
                <w:sz w:val="17"/>
                <w:szCs w:val="17"/>
                <w:vertAlign w:val="superscript"/>
              </w:rPr>
            </w:pPr>
            <w:r>
              <w:rPr>
                <w:color w:val="000000"/>
                <w:sz w:val="17"/>
                <w:szCs w:val="17"/>
              </w:rPr>
              <w:t>Total assets</w:t>
            </w:r>
          </w:p>
        </w:tc>
        <w:tc>
          <w:tcPr>
            <w:tcW w:w="1245" w:type="dxa"/>
          </w:tcPr>
          <w:p w14:paraId="7D8E9316" w14:textId="77777777" w:rsidR="00381196" w:rsidRDefault="00381196" w:rsidP="00C634FA">
            <w:pPr>
              <w:jc w:val="right"/>
              <w:rPr>
                <w:color w:val="000000"/>
                <w:sz w:val="17"/>
                <w:szCs w:val="17"/>
              </w:rPr>
            </w:pPr>
          </w:p>
        </w:tc>
        <w:tc>
          <w:tcPr>
            <w:tcW w:w="1245" w:type="dxa"/>
            <w:vAlign w:val="center"/>
          </w:tcPr>
          <w:p w14:paraId="12C0C7DD" w14:textId="7354214E" w:rsidR="00381196" w:rsidRDefault="00381196" w:rsidP="00C634FA">
            <w:pPr>
              <w:jc w:val="right"/>
              <w:rPr>
                <w:color w:val="000000"/>
                <w:sz w:val="17"/>
                <w:szCs w:val="17"/>
              </w:rPr>
            </w:pPr>
          </w:p>
        </w:tc>
        <w:tc>
          <w:tcPr>
            <w:tcW w:w="1245" w:type="dxa"/>
            <w:vAlign w:val="center"/>
          </w:tcPr>
          <w:p w14:paraId="08C034F7" w14:textId="77777777" w:rsidR="00381196" w:rsidRDefault="00381196" w:rsidP="00C634FA">
            <w:pPr>
              <w:jc w:val="right"/>
              <w:rPr>
                <w:color w:val="000000"/>
                <w:sz w:val="17"/>
                <w:szCs w:val="17"/>
              </w:rPr>
            </w:pPr>
          </w:p>
        </w:tc>
        <w:tc>
          <w:tcPr>
            <w:tcW w:w="1245" w:type="dxa"/>
            <w:vAlign w:val="center"/>
          </w:tcPr>
          <w:p w14:paraId="50BCACBD" w14:textId="77777777" w:rsidR="00381196" w:rsidRDefault="00381196" w:rsidP="00C634FA">
            <w:pPr>
              <w:jc w:val="right"/>
              <w:rPr>
                <w:color w:val="000000"/>
                <w:sz w:val="17"/>
                <w:szCs w:val="17"/>
              </w:rPr>
            </w:pPr>
          </w:p>
        </w:tc>
      </w:tr>
      <w:tr w:rsidR="00381196" w14:paraId="2F2634D8" w14:textId="77777777" w:rsidTr="00381196">
        <w:trPr>
          <w:trHeight w:val="20"/>
          <w:jc w:val="center"/>
        </w:trPr>
        <w:tc>
          <w:tcPr>
            <w:tcW w:w="3930" w:type="dxa"/>
          </w:tcPr>
          <w:p w14:paraId="1A6854E8" w14:textId="77777777" w:rsidR="00381196" w:rsidRPr="002C787B" w:rsidRDefault="00381196" w:rsidP="00C634FA">
            <w:pPr>
              <w:keepNext/>
              <w:ind w:left="348" w:right="-45"/>
              <w:rPr>
                <w:color w:val="000000"/>
                <w:sz w:val="17"/>
                <w:szCs w:val="17"/>
                <w:vertAlign w:val="superscript"/>
              </w:rPr>
            </w:pPr>
          </w:p>
        </w:tc>
        <w:tc>
          <w:tcPr>
            <w:tcW w:w="1245" w:type="dxa"/>
          </w:tcPr>
          <w:p w14:paraId="5DDD6CA3" w14:textId="77777777" w:rsidR="00381196" w:rsidRDefault="00381196" w:rsidP="00C634FA">
            <w:pPr>
              <w:jc w:val="right"/>
              <w:rPr>
                <w:color w:val="000000"/>
                <w:sz w:val="17"/>
                <w:szCs w:val="17"/>
              </w:rPr>
            </w:pPr>
          </w:p>
        </w:tc>
        <w:tc>
          <w:tcPr>
            <w:tcW w:w="1245" w:type="dxa"/>
            <w:vAlign w:val="center"/>
          </w:tcPr>
          <w:p w14:paraId="2F8DFB29" w14:textId="61ADA69B" w:rsidR="00381196" w:rsidRDefault="00381196" w:rsidP="00C634FA">
            <w:pPr>
              <w:jc w:val="right"/>
              <w:rPr>
                <w:color w:val="000000"/>
                <w:sz w:val="17"/>
                <w:szCs w:val="17"/>
              </w:rPr>
            </w:pPr>
          </w:p>
        </w:tc>
        <w:tc>
          <w:tcPr>
            <w:tcW w:w="1245" w:type="dxa"/>
            <w:vAlign w:val="center"/>
          </w:tcPr>
          <w:p w14:paraId="74E9142E" w14:textId="77777777" w:rsidR="00381196" w:rsidRDefault="00381196" w:rsidP="00C634FA">
            <w:pPr>
              <w:jc w:val="right"/>
              <w:rPr>
                <w:color w:val="000000"/>
                <w:sz w:val="17"/>
                <w:szCs w:val="17"/>
              </w:rPr>
            </w:pPr>
          </w:p>
        </w:tc>
        <w:tc>
          <w:tcPr>
            <w:tcW w:w="1245" w:type="dxa"/>
            <w:vAlign w:val="center"/>
          </w:tcPr>
          <w:p w14:paraId="2CB82312" w14:textId="77777777" w:rsidR="00381196" w:rsidRDefault="00381196" w:rsidP="00C634FA">
            <w:pPr>
              <w:jc w:val="right"/>
              <w:rPr>
                <w:color w:val="000000"/>
                <w:sz w:val="17"/>
                <w:szCs w:val="17"/>
              </w:rPr>
            </w:pPr>
          </w:p>
        </w:tc>
      </w:tr>
      <w:tr w:rsidR="00381196" w14:paraId="2CB2DDF5" w14:textId="77777777" w:rsidTr="00381196">
        <w:trPr>
          <w:trHeight w:val="20"/>
          <w:jc w:val="center"/>
        </w:trPr>
        <w:tc>
          <w:tcPr>
            <w:tcW w:w="3930" w:type="dxa"/>
            <w:hideMark/>
          </w:tcPr>
          <w:p w14:paraId="67C60AFF" w14:textId="77777777" w:rsidR="00381196" w:rsidRPr="000B00EF" w:rsidRDefault="00381196" w:rsidP="00C634FA">
            <w:pPr>
              <w:keepNext/>
              <w:ind w:right="-45"/>
              <w:rPr>
                <w:b/>
                <w:bCs/>
                <w:color w:val="000000"/>
                <w:sz w:val="17"/>
                <w:szCs w:val="17"/>
                <w:u w:val="single"/>
              </w:rPr>
            </w:pPr>
            <w:r>
              <w:rPr>
                <w:b/>
                <w:bCs/>
                <w:color w:val="000000"/>
                <w:sz w:val="17"/>
                <w:szCs w:val="17"/>
                <w:u w:val="single"/>
              </w:rPr>
              <w:t>CURRENT LIABILITIES</w:t>
            </w:r>
          </w:p>
        </w:tc>
        <w:tc>
          <w:tcPr>
            <w:tcW w:w="1245" w:type="dxa"/>
          </w:tcPr>
          <w:p w14:paraId="40F89367" w14:textId="77777777" w:rsidR="00381196" w:rsidRDefault="00381196" w:rsidP="00C634FA">
            <w:pPr>
              <w:jc w:val="right"/>
              <w:rPr>
                <w:color w:val="000000"/>
                <w:sz w:val="17"/>
                <w:szCs w:val="17"/>
              </w:rPr>
            </w:pPr>
          </w:p>
        </w:tc>
        <w:tc>
          <w:tcPr>
            <w:tcW w:w="1245" w:type="dxa"/>
            <w:vAlign w:val="center"/>
          </w:tcPr>
          <w:p w14:paraId="33A0D23F" w14:textId="129D8B60" w:rsidR="00381196" w:rsidRDefault="00381196" w:rsidP="00C634FA">
            <w:pPr>
              <w:jc w:val="right"/>
              <w:rPr>
                <w:color w:val="000000"/>
                <w:sz w:val="17"/>
                <w:szCs w:val="17"/>
              </w:rPr>
            </w:pPr>
          </w:p>
        </w:tc>
        <w:tc>
          <w:tcPr>
            <w:tcW w:w="1245" w:type="dxa"/>
            <w:vAlign w:val="center"/>
          </w:tcPr>
          <w:p w14:paraId="3BAE8D29" w14:textId="77777777" w:rsidR="00381196" w:rsidRDefault="00381196" w:rsidP="00C634FA">
            <w:pPr>
              <w:jc w:val="right"/>
              <w:rPr>
                <w:color w:val="000000"/>
                <w:sz w:val="17"/>
                <w:szCs w:val="17"/>
              </w:rPr>
            </w:pPr>
          </w:p>
        </w:tc>
        <w:tc>
          <w:tcPr>
            <w:tcW w:w="1245" w:type="dxa"/>
            <w:vAlign w:val="center"/>
          </w:tcPr>
          <w:p w14:paraId="326A224E" w14:textId="77777777" w:rsidR="00381196" w:rsidRDefault="00381196" w:rsidP="00C634FA">
            <w:pPr>
              <w:jc w:val="right"/>
              <w:rPr>
                <w:color w:val="000000"/>
                <w:sz w:val="17"/>
                <w:szCs w:val="17"/>
              </w:rPr>
            </w:pPr>
          </w:p>
        </w:tc>
      </w:tr>
      <w:tr w:rsidR="00381196" w14:paraId="28F88D6F" w14:textId="77777777" w:rsidTr="00381196">
        <w:trPr>
          <w:trHeight w:val="20"/>
          <w:jc w:val="center"/>
        </w:trPr>
        <w:tc>
          <w:tcPr>
            <w:tcW w:w="3930" w:type="dxa"/>
            <w:hideMark/>
          </w:tcPr>
          <w:p w14:paraId="64F9CEC0" w14:textId="77777777" w:rsidR="00381196" w:rsidRDefault="00381196" w:rsidP="00C634FA">
            <w:pPr>
              <w:keepNext/>
              <w:ind w:left="168" w:right="-45"/>
              <w:rPr>
                <w:color w:val="000000"/>
                <w:sz w:val="17"/>
                <w:szCs w:val="17"/>
                <w:vertAlign w:val="superscript"/>
              </w:rPr>
            </w:pPr>
            <w:r>
              <w:rPr>
                <w:color w:val="000000"/>
                <w:sz w:val="17"/>
                <w:szCs w:val="17"/>
              </w:rPr>
              <w:t>Accounts Payable and Accrued Liabilities</w:t>
            </w:r>
          </w:p>
        </w:tc>
        <w:tc>
          <w:tcPr>
            <w:tcW w:w="1245" w:type="dxa"/>
          </w:tcPr>
          <w:p w14:paraId="5C448161" w14:textId="77777777" w:rsidR="00381196" w:rsidRDefault="00381196" w:rsidP="00C634FA">
            <w:pPr>
              <w:jc w:val="right"/>
              <w:rPr>
                <w:color w:val="000000"/>
                <w:sz w:val="17"/>
                <w:szCs w:val="17"/>
              </w:rPr>
            </w:pPr>
          </w:p>
        </w:tc>
        <w:tc>
          <w:tcPr>
            <w:tcW w:w="1245" w:type="dxa"/>
            <w:vAlign w:val="center"/>
          </w:tcPr>
          <w:p w14:paraId="5E7D9847" w14:textId="62A5923B" w:rsidR="00381196" w:rsidRDefault="00381196" w:rsidP="00C634FA">
            <w:pPr>
              <w:jc w:val="right"/>
              <w:rPr>
                <w:color w:val="000000"/>
                <w:sz w:val="17"/>
                <w:szCs w:val="17"/>
              </w:rPr>
            </w:pPr>
          </w:p>
        </w:tc>
        <w:tc>
          <w:tcPr>
            <w:tcW w:w="1245" w:type="dxa"/>
            <w:vAlign w:val="center"/>
          </w:tcPr>
          <w:p w14:paraId="1347D7A7" w14:textId="27F44FC9" w:rsidR="00381196" w:rsidRDefault="00381196" w:rsidP="00C634FA">
            <w:pPr>
              <w:jc w:val="right"/>
              <w:rPr>
                <w:color w:val="000000"/>
                <w:sz w:val="17"/>
                <w:szCs w:val="17"/>
              </w:rPr>
            </w:pPr>
          </w:p>
        </w:tc>
        <w:tc>
          <w:tcPr>
            <w:tcW w:w="1245" w:type="dxa"/>
            <w:vAlign w:val="center"/>
          </w:tcPr>
          <w:p w14:paraId="4628DECF" w14:textId="48DB8118" w:rsidR="00381196" w:rsidRDefault="00381196" w:rsidP="00C634FA">
            <w:pPr>
              <w:jc w:val="right"/>
              <w:rPr>
                <w:color w:val="000000"/>
                <w:sz w:val="17"/>
                <w:szCs w:val="17"/>
              </w:rPr>
            </w:pPr>
          </w:p>
        </w:tc>
      </w:tr>
      <w:tr w:rsidR="00381196" w14:paraId="70ABBCC8" w14:textId="77777777" w:rsidTr="00381196">
        <w:trPr>
          <w:trHeight w:val="20"/>
          <w:jc w:val="center"/>
        </w:trPr>
        <w:tc>
          <w:tcPr>
            <w:tcW w:w="3930" w:type="dxa"/>
          </w:tcPr>
          <w:p w14:paraId="625693D2" w14:textId="77777777" w:rsidR="00381196" w:rsidRDefault="00381196" w:rsidP="00C634FA">
            <w:pPr>
              <w:keepNext/>
              <w:ind w:left="168" w:right="-45"/>
              <w:rPr>
                <w:color w:val="000000"/>
                <w:sz w:val="17"/>
                <w:szCs w:val="17"/>
              </w:rPr>
            </w:pPr>
            <w:r>
              <w:rPr>
                <w:color w:val="000000"/>
                <w:sz w:val="17"/>
                <w:szCs w:val="17"/>
              </w:rPr>
              <w:t xml:space="preserve">Deferred Revenue </w:t>
            </w:r>
          </w:p>
        </w:tc>
        <w:tc>
          <w:tcPr>
            <w:tcW w:w="1245" w:type="dxa"/>
          </w:tcPr>
          <w:p w14:paraId="4B479395" w14:textId="77777777" w:rsidR="00381196" w:rsidRDefault="00381196" w:rsidP="00C634FA">
            <w:pPr>
              <w:jc w:val="right"/>
              <w:rPr>
                <w:color w:val="000000"/>
                <w:sz w:val="17"/>
                <w:szCs w:val="17"/>
              </w:rPr>
            </w:pPr>
          </w:p>
        </w:tc>
        <w:tc>
          <w:tcPr>
            <w:tcW w:w="1245" w:type="dxa"/>
            <w:vAlign w:val="center"/>
          </w:tcPr>
          <w:p w14:paraId="2E71B77B" w14:textId="400E518D" w:rsidR="00381196" w:rsidRDefault="00381196" w:rsidP="00C634FA">
            <w:pPr>
              <w:jc w:val="right"/>
              <w:rPr>
                <w:color w:val="000000"/>
                <w:sz w:val="17"/>
                <w:szCs w:val="17"/>
              </w:rPr>
            </w:pPr>
          </w:p>
        </w:tc>
        <w:tc>
          <w:tcPr>
            <w:tcW w:w="1245" w:type="dxa"/>
            <w:vAlign w:val="center"/>
          </w:tcPr>
          <w:p w14:paraId="5B98BB81" w14:textId="4CDC7200" w:rsidR="00381196" w:rsidRDefault="00381196" w:rsidP="00C634FA">
            <w:pPr>
              <w:jc w:val="right"/>
              <w:rPr>
                <w:color w:val="000000"/>
                <w:sz w:val="17"/>
                <w:szCs w:val="17"/>
              </w:rPr>
            </w:pPr>
          </w:p>
        </w:tc>
        <w:tc>
          <w:tcPr>
            <w:tcW w:w="1245" w:type="dxa"/>
            <w:vAlign w:val="center"/>
          </w:tcPr>
          <w:p w14:paraId="0D5E2B31" w14:textId="04E7D4D4" w:rsidR="00381196" w:rsidRDefault="00381196" w:rsidP="00C634FA">
            <w:pPr>
              <w:jc w:val="right"/>
              <w:rPr>
                <w:color w:val="000000"/>
                <w:sz w:val="17"/>
                <w:szCs w:val="17"/>
              </w:rPr>
            </w:pPr>
          </w:p>
        </w:tc>
      </w:tr>
      <w:tr w:rsidR="00381196" w14:paraId="5E8D9AD4" w14:textId="77777777" w:rsidTr="00381196">
        <w:trPr>
          <w:trHeight w:val="20"/>
          <w:jc w:val="center"/>
        </w:trPr>
        <w:tc>
          <w:tcPr>
            <w:tcW w:w="3930" w:type="dxa"/>
          </w:tcPr>
          <w:p w14:paraId="07763786" w14:textId="77777777" w:rsidR="00381196" w:rsidRDefault="00381196" w:rsidP="00C634FA">
            <w:pPr>
              <w:keepNext/>
              <w:ind w:left="168" w:right="-45"/>
              <w:rPr>
                <w:color w:val="000000"/>
                <w:sz w:val="17"/>
                <w:szCs w:val="17"/>
              </w:rPr>
            </w:pPr>
            <w:r>
              <w:rPr>
                <w:color w:val="000000"/>
                <w:sz w:val="17"/>
                <w:szCs w:val="17"/>
              </w:rPr>
              <w:t>Factored Receivables Liability</w:t>
            </w:r>
          </w:p>
        </w:tc>
        <w:tc>
          <w:tcPr>
            <w:tcW w:w="1245" w:type="dxa"/>
          </w:tcPr>
          <w:p w14:paraId="4D193A05" w14:textId="77777777" w:rsidR="00381196" w:rsidRDefault="00381196" w:rsidP="00C634FA">
            <w:pPr>
              <w:jc w:val="right"/>
              <w:rPr>
                <w:color w:val="000000"/>
                <w:sz w:val="17"/>
                <w:szCs w:val="17"/>
              </w:rPr>
            </w:pPr>
          </w:p>
        </w:tc>
        <w:tc>
          <w:tcPr>
            <w:tcW w:w="1245" w:type="dxa"/>
            <w:vAlign w:val="center"/>
          </w:tcPr>
          <w:p w14:paraId="5D3CD4B0" w14:textId="1536DBE9" w:rsidR="00381196" w:rsidRDefault="00381196" w:rsidP="00C634FA">
            <w:pPr>
              <w:jc w:val="right"/>
              <w:rPr>
                <w:color w:val="000000"/>
                <w:sz w:val="17"/>
                <w:szCs w:val="17"/>
              </w:rPr>
            </w:pPr>
          </w:p>
        </w:tc>
        <w:tc>
          <w:tcPr>
            <w:tcW w:w="1245" w:type="dxa"/>
            <w:vAlign w:val="center"/>
          </w:tcPr>
          <w:p w14:paraId="01B848F2" w14:textId="4DDC3DAC" w:rsidR="00381196" w:rsidRDefault="00381196" w:rsidP="00C634FA">
            <w:pPr>
              <w:jc w:val="right"/>
              <w:rPr>
                <w:color w:val="000000"/>
                <w:sz w:val="17"/>
                <w:szCs w:val="17"/>
              </w:rPr>
            </w:pPr>
          </w:p>
        </w:tc>
        <w:tc>
          <w:tcPr>
            <w:tcW w:w="1245" w:type="dxa"/>
            <w:vAlign w:val="center"/>
          </w:tcPr>
          <w:p w14:paraId="15D319B3" w14:textId="005B691D" w:rsidR="00381196" w:rsidRDefault="00381196" w:rsidP="00C634FA">
            <w:pPr>
              <w:jc w:val="right"/>
              <w:rPr>
                <w:color w:val="000000"/>
                <w:sz w:val="17"/>
                <w:szCs w:val="17"/>
              </w:rPr>
            </w:pPr>
          </w:p>
        </w:tc>
      </w:tr>
      <w:tr w:rsidR="00381196" w14:paraId="2CE5FD72" w14:textId="77777777" w:rsidTr="00381196">
        <w:trPr>
          <w:trHeight w:val="20"/>
          <w:jc w:val="center"/>
        </w:trPr>
        <w:tc>
          <w:tcPr>
            <w:tcW w:w="3930" w:type="dxa"/>
          </w:tcPr>
          <w:p w14:paraId="7979ADB3" w14:textId="77777777" w:rsidR="00381196" w:rsidRDefault="00381196" w:rsidP="00C634FA">
            <w:pPr>
              <w:keepNext/>
              <w:ind w:left="168" w:right="-45"/>
              <w:rPr>
                <w:color w:val="000000"/>
                <w:sz w:val="17"/>
                <w:szCs w:val="17"/>
              </w:rPr>
            </w:pPr>
            <w:r>
              <w:rPr>
                <w:color w:val="000000"/>
                <w:sz w:val="17"/>
                <w:szCs w:val="17"/>
              </w:rPr>
              <w:t>Notes Payable, Current Portion</w:t>
            </w:r>
          </w:p>
        </w:tc>
        <w:tc>
          <w:tcPr>
            <w:tcW w:w="1245" w:type="dxa"/>
          </w:tcPr>
          <w:p w14:paraId="613F4B48" w14:textId="77777777" w:rsidR="00381196" w:rsidRDefault="00381196" w:rsidP="00C634FA">
            <w:pPr>
              <w:pBdr>
                <w:bottom w:val="single" w:sz="4" w:space="1" w:color="auto"/>
              </w:pBdr>
              <w:jc w:val="right"/>
              <w:rPr>
                <w:color w:val="000000"/>
                <w:sz w:val="17"/>
                <w:szCs w:val="17"/>
              </w:rPr>
            </w:pPr>
          </w:p>
        </w:tc>
        <w:tc>
          <w:tcPr>
            <w:tcW w:w="1245" w:type="dxa"/>
            <w:vAlign w:val="center"/>
          </w:tcPr>
          <w:p w14:paraId="4C09A171" w14:textId="47AE1F97" w:rsidR="00381196" w:rsidRDefault="00381196" w:rsidP="00C634FA">
            <w:pPr>
              <w:pBdr>
                <w:bottom w:val="single" w:sz="4" w:space="1" w:color="auto"/>
              </w:pBdr>
              <w:jc w:val="right"/>
              <w:rPr>
                <w:color w:val="000000"/>
                <w:sz w:val="17"/>
                <w:szCs w:val="17"/>
              </w:rPr>
            </w:pPr>
          </w:p>
        </w:tc>
        <w:tc>
          <w:tcPr>
            <w:tcW w:w="1245" w:type="dxa"/>
            <w:vAlign w:val="center"/>
          </w:tcPr>
          <w:p w14:paraId="288337CE" w14:textId="1AC66219" w:rsidR="00381196" w:rsidRDefault="00381196" w:rsidP="00C634FA">
            <w:pPr>
              <w:pBdr>
                <w:bottom w:val="single" w:sz="4" w:space="1" w:color="auto"/>
              </w:pBdr>
              <w:jc w:val="right"/>
              <w:rPr>
                <w:color w:val="000000"/>
                <w:sz w:val="17"/>
                <w:szCs w:val="17"/>
              </w:rPr>
            </w:pPr>
          </w:p>
        </w:tc>
        <w:tc>
          <w:tcPr>
            <w:tcW w:w="1245" w:type="dxa"/>
            <w:vAlign w:val="center"/>
          </w:tcPr>
          <w:p w14:paraId="4D00A5D0" w14:textId="749F3522" w:rsidR="00381196" w:rsidRDefault="00381196" w:rsidP="00C634FA">
            <w:pPr>
              <w:pBdr>
                <w:bottom w:val="single" w:sz="4" w:space="1" w:color="auto"/>
              </w:pBdr>
              <w:jc w:val="right"/>
              <w:rPr>
                <w:color w:val="000000"/>
                <w:sz w:val="17"/>
                <w:szCs w:val="17"/>
              </w:rPr>
            </w:pPr>
          </w:p>
        </w:tc>
      </w:tr>
      <w:tr w:rsidR="00381196" w14:paraId="05C34792" w14:textId="77777777" w:rsidTr="00381196">
        <w:trPr>
          <w:trHeight w:val="20"/>
          <w:jc w:val="center"/>
        </w:trPr>
        <w:tc>
          <w:tcPr>
            <w:tcW w:w="3930" w:type="dxa"/>
          </w:tcPr>
          <w:p w14:paraId="0E38D2F0" w14:textId="77777777" w:rsidR="00381196" w:rsidRPr="002C787B" w:rsidRDefault="00381196" w:rsidP="00C634FA">
            <w:pPr>
              <w:keepNext/>
              <w:ind w:left="348" w:right="-45"/>
              <w:rPr>
                <w:color w:val="000000"/>
                <w:sz w:val="17"/>
                <w:szCs w:val="17"/>
                <w:vertAlign w:val="superscript"/>
              </w:rPr>
            </w:pPr>
            <w:r>
              <w:rPr>
                <w:color w:val="000000"/>
                <w:sz w:val="17"/>
                <w:szCs w:val="17"/>
              </w:rPr>
              <w:t>Total Current Liabilities</w:t>
            </w:r>
          </w:p>
        </w:tc>
        <w:tc>
          <w:tcPr>
            <w:tcW w:w="1245" w:type="dxa"/>
          </w:tcPr>
          <w:p w14:paraId="0095F098" w14:textId="77777777" w:rsidR="00381196" w:rsidRDefault="00381196" w:rsidP="00C634FA">
            <w:pPr>
              <w:jc w:val="right"/>
              <w:rPr>
                <w:color w:val="000000"/>
                <w:sz w:val="17"/>
                <w:szCs w:val="17"/>
              </w:rPr>
            </w:pPr>
          </w:p>
        </w:tc>
        <w:tc>
          <w:tcPr>
            <w:tcW w:w="1245" w:type="dxa"/>
            <w:vAlign w:val="center"/>
          </w:tcPr>
          <w:p w14:paraId="3500F078" w14:textId="09F7C5F9" w:rsidR="00381196" w:rsidRDefault="00381196" w:rsidP="00C634FA">
            <w:pPr>
              <w:jc w:val="right"/>
              <w:rPr>
                <w:color w:val="000000"/>
                <w:sz w:val="17"/>
                <w:szCs w:val="17"/>
              </w:rPr>
            </w:pPr>
          </w:p>
        </w:tc>
        <w:tc>
          <w:tcPr>
            <w:tcW w:w="1245" w:type="dxa"/>
            <w:vAlign w:val="center"/>
          </w:tcPr>
          <w:p w14:paraId="0015F6AD" w14:textId="30500C62" w:rsidR="00381196" w:rsidRDefault="00381196" w:rsidP="00C634FA">
            <w:pPr>
              <w:jc w:val="right"/>
              <w:rPr>
                <w:color w:val="000000"/>
                <w:sz w:val="17"/>
                <w:szCs w:val="17"/>
              </w:rPr>
            </w:pPr>
          </w:p>
        </w:tc>
        <w:tc>
          <w:tcPr>
            <w:tcW w:w="1245" w:type="dxa"/>
            <w:vAlign w:val="center"/>
          </w:tcPr>
          <w:p w14:paraId="65A4FE79" w14:textId="7DFEBAC5" w:rsidR="00381196" w:rsidRDefault="00381196" w:rsidP="00C634FA">
            <w:pPr>
              <w:jc w:val="right"/>
              <w:rPr>
                <w:color w:val="000000"/>
                <w:sz w:val="17"/>
                <w:szCs w:val="17"/>
              </w:rPr>
            </w:pPr>
          </w:p>
        </w:tc>
      </w:tr>
      <w:tr w:rsidR="00381196" w14:paraId="1934EBD2" w14:textId="77777777" w:rsidTr="00381196">
        <w:trPr>
          <w:trHeight w:val="20"/>
          <w:jc w:val="center"/>
        </w:trPr>
        <w:tc>
          <w:tcPr>
            <w:tcW w:w="3930" w:type="dxa"/>
          </w:tcPr>
          <w:p w14:paraId="2F9D6476" w14:textId="77777777" w:rsidR="00381196" w:rsidRDefault="00381196" w:rsidP="00C634FA">
            <w:pPr>
              <w:keepNext/>
              <w:ind w:left="348" w:right="-45"/>
              <w:rPr>
                <w:color w:val="000000"/>
                <w:sz w:val="17"/>
                <w:szCs w:val="17"/>
              </w:rPr>
            </w:pPr>
          </w:p>
        </w:tc>
        <w:tc>
          <w:tcPr>
            <w:tcW w:w="1245" w:type="dxa"/>
          </w:tcPr>
          <w:p w14:paraId="749FCE5C" w14:textId="77777777" w:rsidR="00381196" w:rsidRDefault="00381196" w:rsidP="00C634FA">
            <w:pPr>
              <w:jc w:val="right"/>
              <w:rPr>
                <w:color w:val="000000"/>
                <w:sz w:val="17"/>
                <w:szCs w:val="17"/>
              </w:rPr>
            </w:pPr>
          </w:p>
        </w:tc>
        <w:tc>
          <w:tcPr>
            <w:tcW w:w="1245" w:type="dxa"/>
            <w:vAlign w:val="center"/>
          </w:tcPr>
          <w:p w14:paraId="4423D417" w14:textId="133BB51D" w:rsidR="00381196" w:rsidRDefault="00381196" w:rsidP="00C634FA">
            <w:pPr>
              <w:jc w:val="right"/>
              <w:rPr>
                <w:color w:val="000000"/>
                <w:sz w:val="17"/>
                <w:szCs w:val="17"/>
              </w:rPr>
            </w:pPr>
          </w:p>
        </w:tc>
        <w:tc>
          <w:tcPr>
            <w:tcW w:w="1245" w:type="dxa"/>
            <w:vAlign w:val="center"/>
          </w:tcPr>
          <w:p w14:paraId="2D8C4C4D" w14:textId="77777777" w:rsidR="00381196" w:rsidRDefault="00381196" w:rsidP="00C634FA">
            <w:pPr>
              <w:jc w:val="right"/>
              <w:rPr>
                <w:color w:val="000000"/>
                <w:sz w:val="17"/>
                <w:szCs w:val="17"/>
              </w:rPr>
            </w:pPr>
          </w:p>
        </w:tc>
        <w:tc>
          <w:tcPr>
            <w:tcW w:w="1245" w:type="dxa"/>
            <w:vAlign w:val="center"/>
          </w:tcPr>
          <w:p w14:paraId="7A57E68F" w14:textId="77777777" w:rsidR="00381196" w:rsidRDefault="00381196" w:rsidP="00C634FA">
            <w:pPr>
              <w:jc w:val="right"/>
              <w:rPr>
                <w:color w:val="000000"/>
                <w:sz w:val="17"/>
                <w:szCs w:val="17"/>
              </w:rPr>
            </w:pPr>
          </w:p>
        </w:tc>
      </w:tr>
      <w:tr w:rsidR="00381196" w14:paraId="45A3E6E0" w14:textId="77777777" w:rsidTr="00381196">
        <w:trPr>
          <w:trHeight w:val="20"/>
          <w:jc w:val="center"/>
        </w:trPr>
        <w:tc>
          <w:tcPr>
            <w:tcW w:w="3930" w:type="dxa"/>
            <w:hideMark/>
          </w:tcPr>
          <w:p w14:paraId="1E47921C" w14:textId="77777777" w:rsidR="00381196" w:rsidRPr="0011724C" w:rsidRDefault="00381196" w:rsidP="00C634FA">
            <w:pPr>
              <w:keepNext/>
              <w:ind w:left="-12" w:right="-45"/>
              <w:rPr>
                <w:b/>
                <w:color w:val="000000"/>
                <w:sz w:val="17"/>
                <w:szCs w:val="17"/>
                <w:u w:val="single"/>
                <w:vertAlign w:val="superscript"/>
              </w:rPr>
            </w:pPr>
            <w:r w:rsidRPr="0011724C">
              <w:rPr>
                <w:b/>
                <w:color w:val="000000"/>
                <w:sz w:val="17"/>
                <w:szCs w:val="17"/>
                <w:u w:val="single"/>
              </w:rPr>
              <w:t>LONG-TERM LIABILITIES</w:t>
            </w:r>
          </w:p>
        </w:tc>
        <w:tc>
          <w:tcPr>
            <w:tcW w:w="1245" w:type="dxa"/>
          </w:tcPr>
          <w:p w14:paraId="28916973" w14:textId="77777777" w:rsidR="00381196" w:rsidRDefault="00381196" w:rsidP="00C634FA">
            <w:pPr>
              <w:jc w:val="right"/>
              <w:rPr>
                <w:color w:val="000000"/>
                <w:sz w:val="17"/>
                <w:szCs w:val="17"/>
              </w:rPr>
            </w:pPr>
          </w:p>
        </w:tc>
        <w:tc>
          <w:tcPr>
            <w:tcW w:w="1245" w:type="dxa"/>
            <w:vAlign w:val="center"/>
          </w:tcPr>
          <w:p w14:paraId="3ABD0634" w14:textId="31BC86F0" w:rsidR="00381196" w:rsidRDefault="00381196" w:rsidP="00C634FA">
            <w:pPr>
              <w:jc w:val="right"/>
              <w:rPr>
                <w:color w:val="000000"/>
                <w:sz w:val="17"/>
                <w:szCs w:val="17"/>
              </w:rPr>
            </w:pPr>
          </w:p>
        </w:tc>
        <w:tc>
          <w:tcPr>
            <w:tcW w:w="1245" w:type="dxa"/>
            <w:vAlign w:val="center"/>
          </w:tcPr>
          <w:p w14:paraId="00A3BE0E" w14:textId="77777777" w:rsidR="00381196" w:rsidRDefault="00381196" w:rsidP="00C634FA">
            <w:pPr>
              <w:jc w:val="right"/>
              <w:rPr>
                <w:color w:val="000000"/>
                <w:sz w:val="17"/>
                <w:szCs w:val="17"/>
              </w:rPr>
            </w:pPr>
          </w:p>
        </w:tc>
        <w:tc>
          <w:tcPr>
            <w:tcW w:w="1245" w:type="dxa"/>
            <w:vAlign w:val="center"/>
          </w:tcPr>
          <w:p w14:paraId="24BEC54D" w14:textId="77777777" w:rsidR="00381196" w:rsidRDefault="00381196" w:rsidP="00C634FA">
            <w:pPr>
              <w:jc w:val="right"/>
              <w:rPr>
                <w:color w:val="000000"/>
                <w:sz w:val="17"/>
                <w:szCs w:val="17"/>
              </w:rPr>
            </w:pPr>
          </w:p>
        </w:tc>
      </w:tr>
      <w:tr w:rsidR="00381196" w14:paraId="10CCB803" w14:textId="77777777" w:rsidTr="00381196">
        <w:trPr>
          <w:trHeight w:val="20"/>
          <w:jc w:val="center"/>
        </w:trPr>
        <w:tc>
          <w:tcPr>
            <w:tcW w:w="3930" w:type="dxa"/>
          </w:tcPr>
          <w:p w14:paraId="3BDD04CB" w14:textId="77777777" w:rsidR="00381196" w:rsidRDefault="00381196" w:rsidP="00C634FA">
            <w:pPr>
              <w:keepNext/>
              <w:ind w:left="168" w:right="-45"/>
              <w:rPr>
                <w:color w:val="000000"/>
                <w:sz w:val="17"/>
                <w:szCs w:val="17"/>
              </w:rPr>
            </w:pPr>
            <w:r>
              <w:rPr>
                <w:color w:val="000000"/>
                <w:sz w:val="17"/>
                <w:szCs w:val="17"/>
              </w:rPr>
              <w:t>Notes Payable</w:t>
            </w:r>
          </w:p>
        </w:tc>
        <w:tc>
          <w:tcPr>
            <w:tcW w:w="1245" w:type="dxa"/>
          </w:tcPr>
          <w:p w14:paraId="74DB53DB" w14:textId="77777777" w:rsidR="00381196" w:rsidRDefault="00381196" w:rsidP="00C634FA">
            <w:pPr>
              <w:pBdr>
                <w:bottom w:val="single" w:sz="4" w:space="1" w:color="auto"/>
              </w:pBdr>
              <w:jc w:val="right"/>
              <w:rPr>
                <w:color w:val="000000"/>
                <w:sz w:val="17"/>
                <w:szCs w:val="17"/>
              </w:rPr>
            </w:pPr>
          </w:p>
        </w:tc>
        <w:tc>
          <w:tcPr>
            <w:tcW w:w="1245" w:type="dxa"/>
            <w:vAlign w:val="center"/>
          </w:tcPr>
          <w:p w14:paraId="290DA0A3" w14:textId="323469A6" w:rsidR="00381196" w:rsidRDefault="00381196" w:rsidP="00C634FA">
            <w:pPr>
              <w:pBdr>
                <w:bottom w:val="single" w:sz="4" w:space="1" w:color="auto"/>
              </w:pBdr>
              <w:jc w:val="right"/>
              <w:rPr>
                <w:color w:val="000000"/>
                <w:sz w:val="17"/>
                <w:szCs w:val="17"/>
              </w:rPr>
            </w:pPr>
          </w:p>
        </w:tc>
        <w:tc>
          <w:tcPr>
            <w:tcW w:w="1245" w:type="dxa"/>
            <w:vAlign w:val="center"/>
          </w:tcPr>
          <w:p w14:paraId="0AD84C3C" w14:textId="26A56585" w:rsidR="00381196" w:rsidRDefault="00381196" w:rsidP="00C634FA">
            <w:pPr>
              <w:pBdr>
                <w:bottom w:val="single" w:sz="4" w:space="1" w:color="auto"/>
              </w:pBdr>
              <w:jc w:val="right"/>
              <w:rPr>
                <w:color w:val="000000"/>
                <w:sz w:val="17"/>
                <w:szCs w:val="17"/>
              </w:rPr>
            </w:pPr>
          </w:p>
        </w:tc>
        <w:tc>
          <w:tcPr>
            <w:tcW w:w="1245" w:type="dxa"/>
            <w:vAlign w:val="center"/>
          </w:tcPr>
          <w:p w14:paraId="26F1440F" w14:textId="0172A80B" w:rsidR="00381196" w:rsidRDefault="00381196" w:rsidP="00C634FA">
            <w:pPr>
              <w:pBdr>
                <w:bottom w:val="single" w:sz="4" w:space="1" w:color="auto"/>
              </w:pBdr>
              <w:jc w:val="right"/>
              <w:rPr>
                <w:color w:val="000000"/>
                <w:sz w:val="17"/>
                <w:szCs w:val="17"/>
              </w:rPr>
            </w:pPr>
          </w:p>
        </w:tc>
      </w:tr>
      <w:tr w:rsidR="00381196" w14:paraId="52922F78" w14:textId="77777777" w:rsidTr="00381196">
        <w:trPr>
          <w:trHeight w:val="20"/>
          <w:jc w:val="center"/>
        </w:trPr>
        <w:tc>
          <w:tcPr>
            <w:tcW w:w="3930" w:type="dxa"/>
          </w:tcPr>
          <w:p w14:paraId="18BC0649" w14:textId="77777777" w:rsidR="00381196" w:rsidRPr="002C787B" w:rsidRDefault="00381196" w:rsidP="00C634FA">
            <w:pPr>
              <w:keepNext/>
              <w:ind w:left="348" w:right="-45"/>
              <w:rPr>
                <w:color w:val="000000"/>
                <w:sz w:val="17"/>
                <w:szCs w:val="17"/>
                <w:vertAlign w:val="superscript"/>
              </w:rPr>
            </w:pPr>
            <w:r>
              <w:rPr>
                <w:color w:val="000000"/>
                <w:sz w:val="17"/>
                <w:szCs w:val="17"/>
              </w:rPr>
              <w:t>Total Liabilities</w:t>
            </w:r>
          </w:p>
        </w:tc>
        <w:tc>
          <w:tcPr>
            <w:tcW w:w="1245" w:type="dxa"/>
          </w:tcPr>
          <w:p w14:paraId="60A96A16" w14:textId="77777777" w:rsidR="00381196" w:rsidRDefault="00381196" w:rsidP="00C634FA">
            <w:pPr>
              <w:jc w:val="right"/>
              <w:rPr>
                <w:color w:val="000000"/>
                <w:sz w:val="17"/>
                <w:szCs w:val="17"/>
              </w:rPr>
            </w:pPr>
          </w:p>
        </w:tc>
        <w:tc>
          <w:tcPr>
            <w:tcW w:w="1245" w:type="dxa"/>
            <w:vAlign w:val="center"/>
          </w:tcPr>
          <w:p w14:paraId="0049E508" w14:textId="00567DA1" w:rsidR="00381196" w:rsidRDefault="00381196" w:rsidP="00C634FA">
            <w:pPr>
              <w:jc w:val="right"/>
              <w:rPr>
                <w:color w:val="000000"/>
                <w:sz w:val="17"/>
                <w:szCs w:val="17"/>
              </w:rPr>
            </w:pPr>
          </w:p>
        </w:tc>
        <w:tc>
          <w:tcPr>
            <w:tcW w:w="1245" w:type="dxa"/>
            <w:vAlign w:val="center"/>
          </w:tcPr>
          <w:p w14:paraId="2DE41476" w14:textId="021BD211" w:rsidR="00381196" w:rsidRDefault="00381196" w:rsidP="00C634FA">
            <w:pPr>
              <w:jc w:val="right"/>
              <w:rPr>
                <w:color w:val="000000"/>
                <w:sz w:val="17"/>
                <w:szCs w:val="17"/>
              </w:rPr>
            </w:pPr>
          </w:p>
        </w:tc>
        <w:tc>
          <w:tcPr>
            <w:tcW w:w="1245" w:type="dxa"/>
            <w:vAlign w:val="center"/>
          </w:tcPr>
          <w:p w14:paraId="21F1C152" w14:textId="1FC5CB7A" w:rsidR="00381196" w:rsidRDefault="00381196" w:rsidP="00C634FA">
            <w:pPr>
              <w:jc w:val="right"/>
              <w:rPr>
                <w:color w:val="000000"/>
                <w:sz w:val="17"/>
                <w:szCs w:val="17"/>
              </w:rPr>
            </w:pPr>
          </w:p>
        </w:tc>
      </w:tr>
      <w:tr w:rsidR="00381196" w14:paraId="412C2C7B" w14:textId="77777777" w:rsidTr="00381196">
        <w:trPr>
          <w:trHeight w:val="20"/>
          <w:jc w:val="center"/>
        </w:trPr>
        <w:tc>
          <w:tcPr>
            <w:tcW w:w="3930" w:type="dxa"/>
          </w:tcPr>
          <w:p w14:paraId="4D33EFC6" w14:textId="77777777" w:rsidR="00381196" w:rsidRDefault="00381196" w:rsidP="00C634FA">
            <w:pPr>
              <w:keepNext/>
              <w:ind w:left="348" w:right="-45"/>
              <w:rPr>
                <w:color w:val="000000"/>
                <w:sz w:val="17"/>
                <w:szCs w:val="17"/>
              </w:rPr>
            </w:pPr>
          </w:p>
        </w:tc>
        <w:tc>
          <w:tcPr>
            <w:tcW w:w="1245" w:type="dxa"/>
          </w:tcPr>
          <w:p w14:paraId="661BAD89" w14:textId="77777777" w:rsidR="00381196" w:rsidRDefault="00381196" w:rsidP="00C634FA">
            <w:pPr>
              <w:jc w:val="right"/>
              <w:rPr>
                <w:color w:val="000000"/>
                <w:sz w:val="17"/>
                <w:szCs w:val="17"/>
              </w:rPr>
            </w:pPr>
          </w:p>
        </w:tc>
        <w:tc>
          <w:tcPr>
            <w:tcW w:w="1245" w:type="dxa"/>
            <w:vAlign w:val="center"/>
          </w:tcPr>
          <w:p w14:paraId="5C826F52" w14:textId="5E57B731" w:rsidR="00381196" w:rsidRDefault="00381196" w:rsidP="00C634FA">
            <w:pPr>
              <w:jc w:val="right"/>
              <w:rPr>
                <w:color w:val="000000"/>
                <w:sz w:val="17"/>
                <w:szCs w:val="17"/>
              </w:rPr>
            </w:pPr>
          </w:p>
        </w:tc>
        <w:tc>
          <w:tcPr>
            <w:tcW w:w="1245" w:type="dxa"/>
            <w:vAlign w:val="center"/>
          </w:tcPr>
          <w:p w14:paraId="12F58850" w14:textId="77777777" w:rsidR="00381196" w:rsidRDefault="00381196" w:rsidP="00C634FA">
            <w:pPr>
              <w:jc w:val="right"/>
              <w:rPr>
                <w:color w:val="000000"/>
                <w:sz w:val="17"/>
                <w:szCs w:val="17"/>
              </w:rPr>
            </w:pPr>
          </w:p>
        </w:tc>
        <w:tc>
          <w:tcPr>
            <w:tcW w:w="1245" w:type="dxa"/>
            <w:vAlign w:val="center"/>
          </w:tcPr>
          <w:p w14:paraId="707B31A3" w14:textId="77777777" w:rsidR="00381196" w:rsidRDefault="00381196" w:rsidP="00C634FA">
            <w:pPr>
              <w:jc w:val="right"/>
              <w:rPr>
                <w:color w:val="000000"/>
                <w:sz w:val="17"/>
                <w:szCs w:val="17"/>
              </w:rPr>
            </w:pPr>
          </w:p>
        </w:tc>
      </w:tr>
      <w:tr w:rsidR="00381196" w14:paraId="7A42D8D5" w14:textId="77777777" w:rsidTr="00381196">
        <w:trPr>
          <w:trHeight w:val="270"/>
          <w:jc w:val="center"/>
        </w:trPr>
        <w:tc>
          <w:tcPr>
            <w:tcW w:w="3930" w:type="dxa"/>
            <w:hideMark/>
          </w:tcPr>
          <w:p w14:paraId="56B344AC" w14:textId="77777777" w:rsidR="00381196" w:rsidRPr="000B00EF" w:rsidRDefault="00381196" w:rsidP="00C634FA">
            <w:pPr>
              <w:keepNext/>
              <w:ind w:left="-12" w:right="-45"/>
              <w:rPr>
                <w:b/>
                <w:color w:val="000000"/>
                <w:sz w:val="17"/>
                <w:szCs w:val="17"/>
                <w:vertAlign w:val="superscript"/>
              </w:rPr>
            </w:pPr>
            <w:r>
              <w:rPr>
                <w:b/>
                <w:color w:val="000000"/>
                <w:sz w:val="17"/>
                <w:szCs w:val="17"/>
              </w:rPr>
              <w:t>NET ASSETS:</w:t>
            </w:r>
          </w:p>
        </w:tc>
        <w:tc>
          <w:tcPr>
            <w:tcW w:w="1245" w:type="dxa"/>
          </w:tcPr>
          <w:p w14:paraId="1DAD2454" w14:textId="77777777" w:rsidR="00381196" w:rsidRDefault="00381196" w:rsidP="00C634FA">
            <w:pPr>
              <w:jc w:val="right"/>
              <w:rPr>
                <w:color w:val="000000"/>
                <w:sz w:val="17"/>
                <w:szCs w:val="17"/>
              </w:rPr>
            </w:pPr>
          </w:p>
        </w:tc>
        <w:tc>
          <w:tcPr>
            <w:tcW w:w="1245" w:type="dxa"/>
            <w:vAlign w:val="center"/>
          </w:tcPr>
          <w:p w14:paraId="365E5A18" w14:textId="4EDD5FB3" w:rsidR="00381196" w:rsidRDefault="00381196" w:rsidP="00C634FA">
            <w:pPr>
              <w:jc w:val="right"/>
              <w:rPr>
                <w:color w:val="000000"/>
                <w:sz w:val="17"/>
                <w:szCs w:val="17"/>
              </w:rPr>
            </w:pPr>
          </w:p>
        </w:tc>
        <w:tc>
          <w:tcPr>
            <w:tcW w:w="1245" w:type="dxa"/>
            <w:vAlign w:val="center"/>
          </w:tcPr>
          <w:p w14:paraId="5CB31BDD" w14:textId="77777777" w:rsidR="00381196" w:rsidRDefault="00381196" w:rsidP="00C634FA">
            <w:pPr>
              <w:jc w:val="right"/>
              <w:rPr>
                <w:color w:val="000000"/>
                <w:sz w:val="17"/>
                <w:szCs w:val="17"/>
              </w:rPr>
            </w:pPr>
          </w:p>
        </w:tc>
        <w:tc>
          <w:tcPr>
            <w:tcW w:w="1245" w:type="dxa"/>
            <w:vAlign w:val="center"/>
          </w:tcPr>
          <w:p w14:paraId="5E40E29F" w14:textId="77777777" w:rsidR="00381196" w:rsidRDefault="00381196" w:rsidP="00C634FA">
            <w:pPr>
              <w:jc w:val="right"/>
              <w:rPr>
                <w:color w:val="000000"/>
                <w:sz w:val="17"/>
                <w:szCs w:val="17"/>
              </w:rPr>
            </w:pPr>
          </w:p>
        </w:tc>
      </w:tr>
      <w:tr w:rsidR="00381196" w14:paraId="56965CF2" w14:textId="77777777" w:rsidTr="00381196">
        <w:trPr>
          <w:trHeight w:val="20"/>
          <w:jc w:val="center"/>
        </w:trPr>
        <w:tc>
          <w:tcPr>
            <w:tcW w:w="3930" w:type="dxa"/>
          </w:tcPr>
          <w:p w14:paraId="718552DF" w14:textId="77777777" w:rsidR="00381196" w:rsidRDefault="00381196" w:rsidP="00C634FA">
            <w:pPr>
              <w:keepNext/>
              <w:ind w:left="168" w:right="-45"/>
              <w:rPr>
                <w:color w:val="000000"/>
                <w:sz w:val="17"/>
                <w:szCs w:val="17"/>
              </w:rPr>
            </w:pPr>
            <w:r>
              <w:rPr>
                <w:color w:val="000000"/>
                <w:sz w:val="17"/>
                <w:szCs w:val="17"/>
              </w:rPr>
              <w:t>Without donor restriction</w:t>
            </w:r>
          </w:p>
        </w:tc>
        <w:tc>
          <w:tcPr>
            <w:tcW w:w="1245" w:type="dxa"/>
          </w:tcPr>
          <w:p w14:paraId="356C5504" w14:textId="77777777" w:rsidR="00381196" w:rsidRDefault="00381196" w:rsidP="00C634FA">
            <w:pPr>
              <w:jc w:val="right"/>
              <w:rPr>
                <w:color w:val="000000"/>
                <w:sz w:val="17"/>
                <w:szCs w:val="17"/>
              </w:rPr>
            </w:pPr>
          </w:p>
        </w:tc>
        <w:tc>
          <w:tcPr>
            <w:tcW w:w="1245" w:type="dxa"/>
            <w:vAlign w:val="center"/>
          </w:tcPr>
          <w:p w14:paraId="22C919A4" w14:textId="6E275CFD" w:rsidR="00381196" w:rsidRDefault="00381196" w:rsidP="00C634FA">
            <w:pPr>
              <w:jc w:val="right"/>
              <w:rPr>
                <w:color w:val="000000"/>
                <w:sz w:val="17"/>
                <w:szCs w:val="17"/>
              </w:rPr>
            </w:pPr>
          </w:p>
        </w:tc>
        <w:tc>
          <w:tcPr>
            <w:tcW w:w="1245" w:type="dxa"/>
            <w:vAlign w:val="center"/>
          </w:tcPr>
          <w:p w14:paraId="17E98052" w14:textId="50DA9F8A" w:rsidR="00381196" w:rsidRDefault="00381196" w:rsidP="00C634FA">
            <w:pPr>
              <w:jc w:val="right"/>
              <w:rPr>
                <w:color w:val="000000"/>
                <w:sz w:val="17"/>
                <w:szCs w:val="17"/>
              </w:rPr>
            </w:pPr>
          </w:p>
        </w:tc>
        <w:tc>
          <w:tcPr>
            <w:tcW w:w="1245" w:type="dxa"/>
            <w:vAlign w:val="center"/>
          </w:tcPr>
          <w:p w14:paraId="73EC9829" w14:textId="111E421A" w:rsidR="00381196" w:rsidRDefault="00381196" w:rsidP="00C634FA">
            <w:pPr>
              <w:jc w:val="right"/>
              <w:rPr>
                <w:color w:val="000000"/>
                <w:sz w:val="17"/>
                <w:szCs w:val="17"/>
              </w:rPr>
            </w:pPr>
          </w:p>
        </w:tc>
      </w:tr>
      <w:tr w:rsidR="00381196" w14:paraId="08C0D2B5" w14:textId="77777777" w:rsidTr="00381196">
        <w:trPr>
          <w:trHeight w:val="20"/>
          <w:jc w:val="center"/>
        </w:trPr>
        <w:tc>
          <w:tcPr>
            <w:tcW w:w="3930" w:type="dxa"/>
          </w:tcPr>
          <w:p w14:paraId="61789A16" w14:textId="77777777" w:rsidR="00381196" w:rsidRPr="00C85486" w:rsidRDefault="00381196" w:rsidP="00C634FA">
            <w:pPr>
              <w:keepNext/>
              <w:ind w:left="168" w:right="-45"/>
              <w:rPr>
                <w:color w:val="000000"/>
                <w:sz w:val="17"/>
                <w:szCs w:val="17"/>
              </w:rPr>
            </w:pPr>
            <w:r>
              <w:rPr>
                <w:color w:val="000000"/>
                <w:sz w:val="17"/>
                <w:szCs w:val="17"/>
              </w:rPr>
              <w:t>With donor restrictions</w:t>
            </w:r>
          </w:p>
        </w:tc>
        <w:tc>
          <w:tcPr>
            <w:tcW w:w="1245" w:type="dxa"/>
          </w:tcPr>
          <w:p w14:paraId="46F9261D" w14:textId="77777777" w:rsidR="00381196" w:rsidRDefault="00381196" w:rsidP="00C634FA">
            <w:pPr>
              <w:pBdr>
                <w:bottom w:val="single" w:sz="4" w:space="1" w:color="auto"/>
              </w:pBdr>
              <w:jc w:val="right"/>
              <w:rPr>
                <w:color w:val="000000"/>
                <w:sz w:val="17"/>
                <w:szCs w:val="17"/>
              </w:rPr>
            </w:pPr>
          </w:p>
        </w:tc>
        <w:tc>
          <w:tcPr>
            <w:tcW w:w="1245" w:type="dxa"/>
            <w:vAlign w:val="center"/>
          </w:tcPr>
          <w:p w14:paraId="6ABC2697" w14:textId="48CD5E5C" w:rsidR="00381196" w:rsidRDefault="00381196" w:rsidP="00C634FA">
            <w:pPr>
              <w:pBdr>
                <w:bottom w:val="single" w:sz="4" w:space="1" w:color="auto"/>
              </w:pBdr>
              <w:jc w:val="right"/>
              <w:rPr>
                <w:color w:val="000000"/>
                <w:sz w:val="17"/>
                <w:szCs w:val="17"/>
              </w:rPr>
            </w:pPr>
          </w:p>
        </w:tc>
        <w:tc>
          <w:tcPr>
            <w:tcW w:w="1245" w:type="dxa"/>
            <w:vAlign w:val="center"/>
          </w:tcPr>
          <w:p w14:paraId="4F215E93" w14:textId="3AF44A26" w:rsidR="00381196" w:rsidRDefault="00381196" w:rsidP="00C634FA">
            <w:pPr>
              <w:pBdr>
                <w:bottom w:val="single" w:sz="4" w:space="1" w:color="auto"/>
              </w:pBdr>
              <w:jc w:val="right"/>
              <w:rPr>
                <w:color w:val="000000"/>
                <w:sz w:val="17"/>
                <w:szCs w:val="17"/>
              </w:rPr>
            </w:pPr>
          </w:p>
        </w:tc>
        <w:tc>
          <w:tcPr>
            <w:tcW w:w="1245" w:type="dxa"/>
            <w:vAlign w:val="center"/>
          </w:tcPr>
          <w:p w14:paraId="4E360092" w14:textId="772754FC" w:rsidR="00381196" w:rsidRDefault="00381196" w:rsidP="00C634FA">
            <w:pPr>
              <w:pBdr>
                <w:bottom w:val="single" w:sz="4" w:space="1" w:color="auto"/>
              </w:pBdr>
              <w:jc w:val="right"/>
              <w:rPr>
                <w:color w:val="000000"/>
                <w:sz w:val="17"/>
                <w:szCs w:val="17"/>
              </w:rPr>
            </w:pPr>
          </w:p>
        </w:tc>
      </w:tr>
      <w:tr w:rsidR="00381196" w14:paraId="15FB4F8E" w14:textId="77777777" w:rsidTr="00381196">
        <w:trPr>
          <w:trHeight w:val="20"/>
          <w:jc w:val="center"/>
        </w:trPr>
        <w:tc>
          <w:tcPr>
            <w:tcW w:w="3930" w:type="dxa"/>
          </w:tcPr>
          <w:p w14:paraId="68603248" w14:textId="77777777" w:rsidR="00381196" w:rsidRPr="002C787B" w:rsidRDefault="00381196" w:rsidP="00C634FA">
            <w:pPr>
              <w:keepNext/>
              <w:ind w:left="348" w:right="-45"/>
              <w:rPr>
                <w:color w:val="000000"/>
                <w:sz w:val="17"/>
                <w:szCs w:val="17"/>
                <w:vertAlign w:val="superscript"/>
              </w:rPr>
            </w:pPr>
            <w:r>
              <w:rPr>
                <w:color w:val="000000"/>
                <w:sz w:val="17"/>
                <w:szCs w:val="17"/>
              </w:rPr>
              <w:t>Total net assets</w:t>
            </w:r>
          </w:p>
        </w:tc>
        <w:tc>
          <w:tcPr>
            <w:tcW w:w="1245" w:type="dxa"/>
          </w:tcPr>
          <w:p w14:paraId="047B7D25" w14:textId="77777777" w:rsidR="00381196" w:rsidRDefault="00381196" w:rsidP="00C634FA">
            <w:pPr>
              <w:jc w:val="right"/>
              <w:rPr>
                <w:color w:val="000000"/>
                <w:sz w:val="17"/>
                <w:szCs w:val="17"/>
              </w:rPr>
            </w:pPr>
          </w:p>
        </w:tc>
        <w:tc>
          <w:tcPr>
            <w:tcW w:w="1245" w:type="dxa"/>
            <w:vAlign w:val="center"/>
          </w:tcPr>
          <w:p w14:paraId="4D75EDC4" w14:textId="3A085E76" w:rsidR="00381196" w:rsidRDefault="00381196" w:rsidP="00C634FA">
            <w:pPr>
              <w:jc w:val="right"/>
              <w:rPr>
                <w:color w:val="000000"/>
                <w:sz w:val="17"/>
                <w:szCs w:val="17"/>
              </w:rPr>
            </w:pPr>
          </w:p>
        </w:tc>
        <w:tc>
          <w:tcPr>
            <w:tcW w:w="1245" w:type="dxa"/>
            <w:vAlign w:val="center"/>
          </w:tcPr>
          <w:p w14:paraId="402F4A7A" w14:textId="501112BB" w:rsidR="00381196" w:rsidRDefault="00381196" w:rsidP="00C634FA">
            <w:pPr>
              <w:jc w:val="right"/>
              <w:rPr>
                <w:color w:val="000000"/>
                <w:sz w:val="17"/>
                <w:szCs w:val="17"/>
              </w:rPr>
            </w:pPr>
          </w:p>
        </w:tc>
        <w:tc>
          <w:tcPr>
            <w:tcW w:w="1245" w:type="dxa"/>
            <w:vAlign w:val="center"/>
          </w:tcPr>
          <w:p w14:paraId="7148EEBA" w14:textId="09A9BF00" w:rsidR="00381196" w:rsidRDefault="00381196" w:rsidP="00C634FA">
            <w:pPr>
              <w:jc w:val="right"/>
              <w:rPr>
                <w:color w:val="000000"/>
                <w:sz w:val="17"/>
                <w:szCs w:val="17"/>
              </w:rPr>
            </w:pPr>
          </w:p>
        </w:tc>
      </w:tr>
      <w:tr w:rsidR="00381196" w14:paraId="63741413" w14:textId="77777777" w:rsidTr="00381196">
        <w:trPr>
          <w:trHeight w:val="20"/>
          <w:jc w:val="center"/>
        </w:trPr>
        <w:tc>
          <w:tcPr>
            <w:tcW w:w="3930" w:type="dxa"/>
          </w:tcPr>
          <w:p w14:paraId="6527C955" w14:textId="77777777" w:rsidR="00381196" w:rsidRDefault="00381196" w:rsidP="00C634FA">
            <w:pPr>
              <w:keepNext/>
              <w:ind w:left="348" w:right="-45"/>
              <w:rPr>
                <w:color w:val="000000"/>
                <w:sz w:val="17"/>
                <w:szCs w:val="17"/>
              </w:rPr>
            </w:pPr>
          </w:p>
        </w:tc>
        <w:tc>
          <w:tcPr>
            <w:tcW w:w="1245" w:type="dxa"/>
          </w:tcPr>
          <w:p w14:paraId="16A4F22E" w14:textId="77777777" w:rsidR="00381196" w:rsidRDefault="00381196" w:rsidP="00C634FA">
            <w:pPr>
              <w:jc w:val="right"/>
              <w:rPr>
                <w:color w:val="000000"/>
                <w:sz w:val="17"/>
                <w:szCs w:val="17"/>
              </w:rPr>
            </w:pPr>
          </w:p>
        </w:tc>
        <w:tc>
          <w:tcPr>
            <w:tcW w:w="1245" w:type="dxa"/>
            <w:vAlign w:val="center"/>
          </w:tcPr>
          <w:p w14:paraId="4263BE69" w14:textId="107C9676" w:rsidR="00381196" w:rsidRDefault="00381196" w:rsidP="00C634FA">
            <w:pPr>
              <w:jc w:val="right"/>
              <w:rPr>
                <w:color w:val="000000"/>
                <w:sz w:val="17"/>
                <w:szCs w:val="17"/>
              </w:rPr>
            </w:pPr>
          </w:p>
        </w:tc>
        <w:tc>
          <w:tcPr>
            <w:tcW w:w="1245" w:type="dxa"/>
            <w:vAlign w:val="center"/>
          </w:tcPr>
          <w:p w14:paraId="078C97A4" w14:textId="77777777" w:rsidR="00381196" w:rsidRDefault="00381196" w:rsidP="00C634FA">
            <w:pPr>
              <w:jc w:val="right"/>
              <w:rPr>
                <w:color w:val="000000"/>
                <w:sz w:val="17"/>
                <w:szCs w:val="17"/>
              </w:rPr>
            </w:pPr>
          </w:p>
        </w:tc>
        <w:tc>
          <w:tcPr>
            <w:tcW w:w="1245" w:type="dxa"/>
            <w:vAlign w:val="center"/>
          </w:tcPr>
          <w:p w14:paraId="37A22BB8" w14:textId="77777777" w:rsidR="00381196" w:rsidRDefault="00381196" w:rsidP="00C634FA">
            <w:pPr>
              <w:jc w:val="right"/>
              <w:rPr>
                <w:color w:val="000000"/>
                <w:sz w:val="17"/>
                <w:szCs w:val="17"/>
              </w:rPr>
            </w:pPr>
          </w:p>
        </w:tc>
      </w:tr>
      <w:tr w:rsidR="00381196" w14:paraId="2357D94D" w14:textId="77777777" w:rsidTr="00381196">
        <w:trPr>
          <w:trHeight w:val="20"/>
          <w:jc w:val="center"/>
        </w:trPr>
        <w:tc>
          <w:tcPr>
            <w:tcW w:w="3930" w:type="dxa"/>
          </w:tcPr>
          <w:p w14:paraId="7732FBC2" w14:textId="77777777" w:rsidR="00381196" w:rsidRPr="002C787B" w:rsidRDefault="00381196" w:rsidP="00C634FA">
            <w:pPr>
              <w:keepNext/>
              <w:ind w:left="348" w:right="-45"/>
              <w:rPr>
                <w:color w:val="000000"/>
                <w:sz w:val="17"/>
                <w:szCs w:val="17"/>
                <w:vertAlign w:val="superscript"/>
              </w:rPr>
            </w:pPr>
            <w:r>
              <w:rPr>
                <w:color w:val="000000"/>
                <w:sz w:val="17"/>
                <w:szCs w:val="17"/>
              </w:rPr>
              <w:t>Total liabilities and net assets</w:t>
            </w:r>
          </w:p>
        </w:tc>
        <w:tc>
          <w:tcPr>
            <w:tcW w:w="1245" w:type="dxa"/>
          </w:tcPr>
          <w:p w14:paraId="76081BF1" w14:textId="77777777" w:rsidR="00381196" w:rsidRDefault="00381196" w:rsidP="00C634FA">
            <w:pPr>
              <w:jc w:val="right"/>
              <w:rPr>
                <w:color w:val="000000"/>
                <w:sz w:val="17"/>
                <w:szCs w:val="17"/>
              </w:rPr>
            </w:pPr>
          </w:p>
        </w:tc>
        <w:tc>
          <w:tcPr>
            <w:tcW w:w="1245" w:type="dxa"/>
            <w:vAlign w:val="center"/>
          </w:tcPr>
          <w:p w14:paraId="79F14007" w14:textId="0F28AE01" w:rsidR="00381196" w:rsidRDefault="00381196" w:rsidP="00C634FA">
            <w:pPr>
              <w:jc w:val="right"/>
              <w:rPr>
                <w:color w:val="000000"/>
                <w:sz w:val="17"/>
                <w:szCs w:val="17"/>
              </w:rPr>
            </w:pPr>
          </w:p>
        </w:tc>
        <w:tc>
          <w:tcPr>
            <w:tcW w:w="1245" w:type="dxa"/>
            <w:vAlign w:val="center"/>
          </w:tcPr>
          <w:p w14:paraId="373244CE" w14:textId="59B851D8" w:rsidR="00381196" w:rsidRDefault="00381196" w:rsidP="00C634FA">
            <w:pPr>
              <w:jc w:val="right"/>
              <w:rPr>
                <w:color w:val="000000"/>
                <w:sz w:val="17"/>
                <w:szCs w:val="17"/>
              </w:rPr>
            </w:pPr>
          </w:p>
        </w:tc>
        <w:tc>
          <w:tcPr>
            <w:tcW w:w="1245" w:type="dxa"/>
            <w:vAlign w:val="center"/>
          </w:tcPr>
          <w:p w14:paraId="1E865AD8" w14:textId="6E1C9621" w:rsidR="00381196" w:rsidRDefault="00381196" w:rsidP="00C634FA">
            <w:pPr>
              <w:jc w:val="right"/>
              <w:rPr>
                <w:color w:val="000000"/>
                <w:sz w:val="17"/>
                <w:szCs w:val="17"/>
              </w:rPr>
            </w:pPr>
          </w:p>
        </w:tc>
      </w:tr>
      <w:tr w:rsidR="00381196" w14:paraId="2063642A" w14:textId="77777777" w:rsidTr="00381196">
        <w:trPr>
          <w:trHeight w:val="20"/>
          <w:jc w:val="center"/>
        </w:trPr>
        <w:tc>
          <w:tcPr>
            <w:tcW w:w="3930" w:type="dxa"/>
          </w:tcPr>
          <w:p w14:paraId="7C3827BA" w14:textId="77777777" w:rsidR="00381196" w:rsidRPr="002C787B" w:rsidRDefault="00381196" w:rsidP="00C634FA">
            <w:pPr>
              <w:keepNext/>
              <w:ind w:left="348" w:right="-45"/>
              <w:rPr>
                <w:color w:val="000000"/>
                <w:sz w:val="17"/>
                <w:szCs w:val="17"/>
                <w:vertAlign w:val="superscript"/>
              </w:rPr>
            </w:pPr>
          </w:p>
        </w:tc>
        <w:tc>
          <w:tcPr>
            <w:tcW w:w="1245" w:type="dxa"/>
          </w:tcPr>
          <w:p w14:paraId="13BB1884" w14:textId="77777777" w:rsidR="00381196" w:rsidRPr="00C843A1" w:rsidRDefault="00381196" w:rsidP="00C634FA">
            <w:pPr>
              <w:keepNext/>
              <w:tabs>
                <w:tab w:val="decimal" w:pos="888"/>
              </w:tabs>
              <w:ind w:left="-142"/>
              <w:rPr>
                <w:color w:val="000000"/>
                <w:sz w:val="17"/>
                <w:szCs w:val="17"/>
              </w:rPr>
            </w:pPr>
          </w:p>
        </w:tc>
        <w:tc>
          <w:tcPr>
            <w:tcW w:w="1245" w:type="dxa"/>
          </w:tcPr>
          <w:p w14:paraId="1158F2B9" w14:textId="3024ED94" w:rsidR="00381196" w:rsidRPr="00C843A1" w:rsidRDefault="00381196" w:rsidP="00C634FA">
            <w:pPr>
              <w:keepNext/>
              <w:tabs>
                <w:tab w:val="decimal" w:pos="888"/>
              </w:tabs>
              <w:ind w:left="-142"/>
              <w:rPr>
                <w:color w:val="000000"/>
                <w:sz w:val="17"/>
                <w:szCs w:val="17"/>
              </w:rPr>
            </w:pPr>
          </w:p>
        </w:tc>
        <w:tc>
          <w:tcPr>
            <w:tcW w:w="1245" w:type="dxa"/>
          </w:tcPr>
          <w:p w14:paraId="1C646944" w14:textId="77777777" w:rsidR="00381196" w:rsidRDefault="00381196" w:rsidP="00C634FA">
            <w:pPr>
              <w:keepNext/>
              <w:tabs>
                <w:tab w:val="decimal" w:pos="888"/>
              </w:tabs>
              <w:ind w:left="-142"/>
              <w:rPr>
                <w:color w:val="000000"/>
                <w:sz w:val="17"/>
                <w:szCs w:val="17"/>
              </w:rPr>
            </w:pPr>
          </w:p>
        </w:tc>
        <w:tc>
          <w:tcPr>
            <w:tcW w:w="1245" w:type="dxa"/>
          </w:tcPr>
          <w:p w14:paraId="5327292C" w14:textId="77777777" w:rsidR="00381196" w:rsidRDefault="00381196" w:rsidP="00C634FA">
            <w:pPr>
              <w:keepNext/>
              <w:tabs>
                <w:tab w:val="decimal" w:pos="888"/>
              </w:tabs>
              <w:ind w:left="-142"/>
              <w:rPr>
                <w:color w:val="000000"/>
                <w:sz w:val="17"/>
                <w:szCs w:val="17"/>
              </w:rPr>
            </w:pPr>
          </w:p>
        </w:tc>
      </w:tr>
    </w:tbl>
    <w:p w14:paraId="2006574E" w14:textId="77777777" w:rsidR="00381196" w:rsidRDefault="00381196" w:rsidP="00381196">
      <w:pPr>
        <w:pStyle w:val="BodyText"/>
        <w:keepNext/>
        <w:spacing w:after="0"/>
        <w:ind w:firstLine="0"/>
        <w:rPr>
          <w:sz w:val="16"/>
          <w:szCs w:val="18"/>
        </w:rPr>
      </w:pPr>
      <w:r>
        <w:rPr>
          <w:sz w:val="16"/>
          <w:szCs w:val="18"/>
          <w:u w:val="single"/>
        </w:rPr>
        <w:tab/>
      </w:r>
      <w:r>
        <w:rPr>
          <w:sz w:val="16"/>
          <w:szCs w:val="18"/>
          <w:u w:val="single"/>
        </w:rPr>
        <w:tab/>
      </w:r>
    </w:p>
    <w:p w14:paraId="2E502015" w14:textId="6B21145C" w:rsidR="00381196" w:rsidRDefault="00381196" w:rsidP="00381196">
      <w:pPr>
        <w:pStyle w:val="BodyText"/>
        <w:ind w:firstLine="0"/>
        <w:rPr>
          <w:i/>
          <w:sz w:val="16"/>
          <w:szCs w:val="18"/>
        </w:rPr>
      </w:pPr>
      <w:r>
        <w:rPr>
          <w:i/>
          <w:sz w:val="16"/>
          <w:szCs w:val="18"/>
        </w:rPr>
        <w:t>Source:  Encore; Audited Financial Reports for Fiscal Years 2017-18 through 2020-21.</w:t>
      </w:r>
    </w:p>
    <w:p w14:paraId="601E8E58" w14:textId="77777777" w:rsidR="00381196" w:rsidRDefault="00381196" w:rsidP="00381196">
      <w:pPr>
        <w:pStyle w:val="Heading2"/>
      </w:pPr>
      <w:bookmarkStart w:id="21" w:name="_Toc97152710"/>
      <w:bookmarkStart w:id="22" w:name="_Toc101330553"/>
      <w:bookmarkEnd w:id="19"/>
      <w:r>
        <w:t>Financial Statements</w:t>
      </w:r>
      <w:bookmarkEnd w:id="20"/>
      <w:bookmarkEnd w:id="21"/>
      <w:bookmarkEnd w:id="22"/>
    </w:p>
    <w:p w14:paraId="0F47A608" w14:textId="301FFA0C" w:rsidR="00381196" w:rsidRDefault="00381196" w:rsidP="00381196">
      <w:pPr>
        <w:pStyle w:val="BodyText"/>
      </w:pPr>
      <w:r>
        <w:t xml:space="preserve">The audited financial statements of </w:t>
      </w:r>
      <w:r w:rsidR="00F4009D">
        <w:t>Encore</w:t>
      </w:r>
      <w:r>
        <w:t xml:space="preserve"> for the year ended June 30, 2021 (the “2020-21 Audit”) are set forth in “APPENDIX B – AUDITED FINANCIAL STATEMENTS OF </w:t>
      </w:r>
      <w:r w:rsidR="00F4009D">
        <w:t xml:space="preserve">ENCORE </w:t>
      </w:r>
      <w:r>
        <w:t>FOR THE YEAR ENDED JUNE</w:t>
      </w:r>
      <w:r w:rsidRPr="006350BD">
        <w:t> </w:t>
      </w:r>
      <w:r>
        <w:t xml:space="preserve">30, 2021” attached to this </w:t>
      </w:r>
      <w:r w:rsidR="00F4009D">
        <w:t xml:space="preserve">Private Placement </w:t>
      </w:r>
      <w:r w:rsidR="00F4009D" w:rsidRPr="009F68CC">
        <w:t>Memorandum</w:t>
      </w:r>
      <w:r>
        <w:t xml:space="preserve">.  </w:t>
      </w:r>
    </w:p>
    <w:p w14:paraId="4AB92F23" w14:textId="256A518B" w:rsidR="00381196" w:rsidRDefault="00F4009D" w:rsidP="00381196">
      <w:pPr>
        <w:spacing w:after="240"/>
        <w:ind w:firstLine="720"/>
        <w:jc w:val="both"/>
      </w:pPr>
      <w:bookmarkStart w:id="23" w:name="_Toc496176159"/>
      <w:r>
        <w:t>Nigro &amp; Nigro PC</w:t>
      </w:r>
      <w:r w:rsidR="00381196" w:rsidRPr="009F68CC">
        <w:t xml:space="preserve">, </w:t>
      </w:r>
      <w:r>
        <w:t xml:space="preserve">Encore’s </w:t>
      </w:r>
      <w:r w:rsidR="00381196" w:rsidRPr="009F68CC">
        <w:t xml:space="preserve">auditor for the fiscal year ending </w:t>
      </w:r>
      <w:r w:rsidR="00381196">
        <w:t>June 20, 2021</w:t>
      </w:r>
      <w:r>
        <w:t xml:space="preserve"> (the “Auditor’)</w:t>
      </w:r>
      <w:r w:rsidR="00381196">
        <w:t>,</w:t>
      </w:r>
      <w:r w:rsidR="00381196" w:rsidRPr="009F68CC">
        <w:t xml:space="preserve"> has not been engaged to perform and has not performed, since the date of the 20</w:t>
      </w:r>
      <w:r w:rsidR="00381196">
        <w:t xml:space="preserve">20-21 </w:t>
      </w:r>
      <w:r w:rsidR="00381196" w:rsidRPr="009F68CC">
        <w:t>Audit, any procedures on the financial statements addressed in the 20</w:t>
      </w:r>
      <w:r w:rsidR="00381196">
        <w:t xml:space="preserve">20-21 </w:t>
      </w:r>
      <w:r w:rsidR="00381196" w:rsidRPr="009F68CC">
        <w:t xml:space="preserve">Audit.  </w:t>
      </w:r>
      <w:r>
        <w:t xml:space="preserve">The Auditor </w:t>
      </w:r>
      <w:r w:rsidR="00381196" w:rsidRPr="009F68CC">
        <w:t xml:space="preserve">also has not performed any procedures relating to this </w:t>
      </w:r>
      <w:r>
        <w:t xml:space="preserve">Private Placement </w:t>
      </w:r>
      <w:r w:rsidR="00381196" w:rsidRPr="009F68CC">
        <w:t>Memorandum.</w:t>
      </w:r>
    </w:p>
    <w:p w14:paraId="499063E4" w14:textId="7B02A935" w:rsidR="00F4009D" w:rsidRPr="009F68CC" w:rsidRDefault="00F4009D" w:rsidP="00381196">
      <w:pPr>
        <w:spacing w:after="240"/>
        <w:ind w:firstLine="720"/>
        <w:jc w:val="both"/>
      </w:pPr>
      <w:r>
        <w:t xml:space="preserve">The Auditor identifies various material weaknesses and significant deficiencies relating to Encore’s financial reporting, and several findings of noncompliance </w:t>
      </w:r>
      <w:r w:rsidR="00A1482D">
        <w:t xml:space="preserve">with State program rules and regulations.  See the 2020-21 Audit set forth in </w:t>
      </w:r>
      <w:r w:rsidR="00A1482D" w:rsidRPr="00A1482D">
        <w:t>“APPENDIX B – AUDITED FINANCIAL STATEMENTS OF ENCORE FOR THE YEAR ENDED JUNE 30, 2021” attached to this Private Placement Memorandum.</w:t>
      </w:r>
      <w:r w:rsidR="00A1482D">
        <w:t xml:space="preserve">  </w:t>
      </w:r>
    </w:p>
    <w:p w14:paraId="67BE256B" w14:textId="01268F6F" w:rsidR="00935552" w:rsidRDefault="00935552" w:rsidP="00935552">
      <w:pPr>
        <w:pStyle w:val="Heading2"/>
      </w:pPr>
      <w:bookmarkStart w:id="24" w:name="_Toc101330554"/>
      <w:bookmarkStart w:id="25" w:name="_Toc97152711"/>
      <w:r>
        <w:lastRenderedPageBreak/>
        <w:t>Management Discussion and Analysis; 2020-21 and 2021-22 Fiscal Years</w:t>
      </w:r>
      <w:bookmarkEnd w:id="24"/>
    </w:p>
    <w:p w14:paraId="2F07BC34" w14:textId="728FC3ED" w:rsidR="00935552" w:rsidRDefault="00935552" w:rsidP="00935552">
      <w:pPr>
        <w:spacing w:after="240"/>
        <w:ind w:firstLine="720"/>
        <w:jc w:val="both"/>
      </w:pPr>
      <w:r>
        <w:t>[TO COME]</w:t>
      </w:r>
    </w:p>
    <w:p w14:paraId="3D522E54" w14:textId="4BFEC69A" w:rsidR="00381196" w:rsidRDefault="00381196" w:rsidP="00935552">
      <w:pPr>
        <w:pStyle w:val="Heading2"/>
      </w:pPr>
      <w:bookmarkStart w:id="26" w:name="_Toc101330555"/>
      <w:r>
        <w:t>Retirement Program</w:t>
      </w:r>
      <w:bookmarkEnd w:id="23"/>
      <w:r>
        <w:t>s</w:t>
      </w:r>
      <w:bookmarkEnd w:id="25"/>
      <w:bookmarkEnd w:id="26"/>
    </w:p>
    <w:p w14:paraId="1DD28005" w14:textId="03FDC50A" w:rsidR="00F4009D" w:rsidRPr="00F4009D" w:rsidRDefault="00F4009D" w:rsidP="00F4009D">
      <w:pPr>
        <w:spacing w:after="240"/>
        <w:ind w:firstLine="720"/>
        <w:jc w:val="both"/>
      </w:pPr>
      <w:r w:rsidRPr="00F4009D">
        <w:t xml:space="preserve">Qualified </w:t>
      </w:r>
      <w:r>
        <w:t>Encore</w:t>
      </w:r>
      <w:r w:rsidRPr="00F4009D">
        <w:t xml:space="preserve"> employees are covered under multiple-employer defined benefit pension plans.  Classified employees are members of the California Public Employees’ Retirement System (“PERS”), and certificated employees are members of the California State Teachers’ Retirement System (“STRS”). See “CERTAIN RISK FACTORS – Specific Risks of Charter Schools – State Retirement Systems” in the forepart of this Limited Offering Memorandum.</w:t>
      </w:r>
    </w:p>
    <w:p w14:paraId="41C4CB0E" w14:textId="1FCEA8EE" w:rsidR="00F4009D" w:rsidRPr="00F4009D" w:rsidRDefault="00F4009D" w:rsidP="00F4009D">
      <w:pPr>
        <w:spacing w:after="240"/>
        <w:ind w:firstLine="720"/>
        <w:jc w:val="both"/>
      </w:pPr>
      <w:r w:rsidRPr="00F4009D">
        <w:rPr>
          <w:b/>
          <w:i/>
        </w:rPr>
        <w:t>STRS.</w:t>
      </w:r>
      <w:r w:rsidRPr="00F4009D">
        <w:t xml:space="preserve">  </w:t>
      </w:r>
      <w:r>
        <w:t xml:space="preserve">Encore’s </w:t>
      </w:r>
      <w:r w:rsidRPr="00F4009D">
        <w:t>full-time certificated teachers are members of the State Teachers’ Retirement System.  STRS provides retirement, disability and survivor benefits to plan members and beneficiaries under a defined benefit program (the “STRS Defined Benefit Program”).  The STRS Defined Benefit Program is funded through a combination of investment earnings and statutorily set contributions from three sources: employees, employers, and the State.  Benefit provisions and contribution amounts are established by State statutes, as legislatively amended from time to time.</w:t>
      </w:r>
    </w:p>
    <w:p w14:paraId="35AEB094" w14:textId="77777777" w:rsidR="00F4009D" w:rsidRPr="00F4009D" w:rsidRDefault="00F4009D" w:rsidP="00F4009D">
      <w:pPr>
        <w:spacing w:after="220"/>
        <w:ind w:firstLine="720"/>
        <w:jc w:val="both"/>
      </w:pPr>
      <w:r w:rsidRPr="00F4009D">
        <w:t>Prior to fiscal year 2014-15, and unlike typical defined benefit programs, none of the employee, employer nor State contribution rates to the STRS Defined Benefit Program varied annually to make up funding shortfalls or assess credits for actuarial surpluses.  In recent years, the combined employer, employee and State contributions to the STRS Defined Benefit Program have not been sufficient to pay actuarially required amounts.  As a result, and due to significant investment losses, the unfunded actuarial liability of the STRS Defined Benefit Program has increased significantly in recent fiscal years.  In September 2013, STRS projected that the STRS Defined Benefit Program would be depleted in 31 years assuming existing contribution rates continued, and other significant actuarial assumptions were realized.  In an effort to reduce the unfunded actuarial liability of the STRS Defined Benefit Program, the State passed the legislation described below to increase contribution rates.</w:t>
      </w:r>
    </w:p>
    <w:p w14:paraId="09B8E51A" w14:textId="77777777" w:rsidR="00F4009D" w:rsidRPr="00F4009D" w:rsidRDefault="00F4009D" w:rsidP="00F4009D">
      <w:pPr>
        <w:spacing w:after="220"/>
        <w:ind w:firstLine="720"/>
        <w:jc w:val="both"/>
      </w:pPr>
      <w:r w:rsidRPr="00F4009D">
        <w:t>Prior to July 1, 2014, participant employers were required by such statutes to contribute 8.25% of eligible salary expenditures, while participants contributed 8% of their respective salaries.  On June 24, 2014, the Governor signed AB 1469 (“AB 1469”) into law as a part of the State’s fiscal year 2014-15 budget.  AB 1469 seeks to fully fund the unfunded actuarial obligation with respect to service credited to members of the STRS Defined Benefit Program before July 1, 2014 (the “2014 Liability”), within 32 years, by increasing member, participant employers and State contributions to STRS.  Commencing July 1, 2014, the employee contribution rate increased over a three-year phase-in period in accordance with the following schedule:</w:t>
      </w:r>
    </w:p>
    <w:p w14:paraId="1539C6ED" w14:textId="77777777" w:rsidR="00F4009D" w:rsidRPr="00F4009D" w:rsidRDefault="00F4009D" w:rsidP="00F4009D">
      <w:pPr>
        <w:keepNext/>
        <w:keepLines/>
        <w:jc w:val="center"/>
        <w:rPr>
          <w:b/>
          <w:color w:val="000000"/>
          <w:sz w:val="20"/>
        </w:rPr>
      </w:pPr>
      <w:r w:rsidRPr="00F4009D">
        <w:rPr>
          <w:b/>
          <w:color w:val="000000"/>
          <w:sz w:val="20"/>
        </w:rPr>
        <w:t>MEMBER CONTRIBUTION RATES</w:t>
      </w:r>
    </w:p>
    <w:p w14:paraId="64913994" w14:textId="77777777" w:rsidR="00F4009D" w:rsidRPr="00F4009D" w:rsidRDefault="00F4009D" w:rsidP="00F4009D">
      <w:pPr>
        <w:keepNext/>
        <w:keepLines/>
        <w:spacing w:after="240"/>
        <w:jc w:val="center"/>
        <w:rPr>
          <w:b/>
          <w:color w:val="000000"/>
          <w:sz w:val="20"/>
        </w:rPr>
      </w:pPr>
      <w:r w:rsidRPr="00F4009D">
        <w:rPr>
          <w:b/>
          <w:color w:val="000000"/>
          <w:sz w:val="20"/>
        </w:rPr>
        <w:t>STRS (Defined Benefit Program)</w:t>
      </w:r>
    </w:p>
    <w:tbl>
      <w:tblPr>
        <w:tblW w:w="0" w:type="auto"/>
        <w:jc w:val="center"/>
        <w:tblLayout w:type="fixed"/>
        <w:tblLook w:val="0000" w:firstRow="0" w:lastRow="0" w:firstColumn="0" w:lastColumn="0" w:noHBand="0" w:noVBand="0"/>
      </w:tblPr>
      <w:tblGrid>
        <w:gridCol w:w="2705"/>
        <w:gridCol w:w="3318"/>
        <w:gridCol w:w="2575"/>
      </w:tblGrid>
      <w:tr w:rsidR="00F4009D" w:rsidRPr="00F4009D" w14:paraId="74904C94" w14:textId="77777777" w:rsidTr="00C634FA">
        <w:trPr>
          <w:trHeight w:val="378"/>
          <w:jc w:val="center"/>
        </w:trPr>
        <w:tc>
          <w:tcPr>
            <w:tcW w:w="2705" w:type="dxa"/>
          </w:tcPr>
          <w:p w14:paraId="325AC78C" w14:textId="77777777" w:rsidR="00F4009D" w:rsidRPr="00F4009D" w:rsidRDefault="00F4009D" w:rsidP="00F4009D">
            <w:pPr>
              <w:keepNext/>
              <w:keepLines/>
              <w:jc w:val="center"/>
              <w:rPr>
                <w:b/>
                <w:color w:val="000000"/>
                <w:sz w:val="20"/>
                <w:szCs w:val="20"/>
                <w:u w:val="single"/>
              </w:rPr>
            </w:pPr>
          </w:p>
          <w:p w14:paraId="5FA60519" w14:textId="77777777" w:rsidR="00F4009D" w:rsidRPr="00F4009D" w:rsidRDefault="00F4009D" w:rsidP="00F4009D">
            <w:pPr>
              <w:keepNext/>
              <w:keepLines/>
              <w:widowControl w:val="0"/>
              <w:autoSpaceDE w:val="0"/>
              <w:autoSpaceDN w:val="0"/>
              <w:adjustRightInd w:val="0"/>
              <w:jc w:val="center"/>
              <w:rPr>
                <w:b/>
                <w:color w:val="000000"/>
                <w:sz w:val="20"/>
                <w:szCs w:val="20"/>
                <w:u w:val="single"/>
              </w:rPr>
            </w:pPr>
            <w:r w:rsidRPr="00F4009D">
              <w:rPr>
                <w:b/>
                <w:color w:val="000000"/>
                <w:sz w:val="20"/>
                <w:szCs w:val="20"/>
                <w:u w:val="single"/>
              </w:rPr>
              <w:t>Effective Date</w:t>
            </w:r>
          </w:p>
        </w:tc>
        <w:tc>
          <w:tcPr>
            <w:tcW w:w="3318" w:type="dxa"/>
          </w:tcPr>
          <w:p w14:paraId="7F1E759B" w14:textId="77777777" w:rsidR="00F4009D" w:rsidRPr="00F4009D" w:rsidRDefault="00F4009D" w:rsidP="00F4009D">
            <w:pPr>
              <w:keepNext/>
              <w:keepLines/>
              <w:widowControl w:val="0"/>
              <w:autoSpaceDE w:val="0"/>
              <w:autoSpaceDN w:val="0"/>
              <w:adjustRightInd w:val="0"/>
              <w:jc w:val="center"/>
              <w:rPr>
                <w:b/>
                <w:color w:val="000000"/>
                <w:sz w:val="20"/>
                <w:szCs w:val="20"/>
                <w:u w:val="single"/>
              </w:rPr>
            </w:pPr>
            <w:r w:rsidRPr="00F4009D">
              <w:rPr>
                <w:b/>
                <w:color w:val="000000"/>
                <w:sz w:val="20"/>
                <w:szCs w:val="20"/>
              </w:rPr>
              <w:t xml:space="preserve">STRS Members Hired Prior to </w:t>
            </w:r>
            <w:r w:rsidRPr="00F4009D">
              <w:rPr>
                <w:b/>
                <w:color w:val="000000"/>
                <w:sz w:val="20"/>
                <w:szCs w:val="20"/>
                <w:u w:val="single"/>
              </w:rPr>
              <w:t>January 1, 2013</w:t>
            </w:r>
          </w:p>
        </w:tc>
        <w:tc>
          <w:tcPr>
            <w:tcW w:w="2575" w:type="dxa"/>
          </w:tcPr>
          <w:p w14:paraId="4E92C03B" w14:textId="77777777" w:rsidR="00F4009D" w:rsidRPr="00F4009D" w:rsidRDefault="00F4009D" w:rsidP="00F4009D">
            <w:pPr>
              <w:keepNext/>
              <w:keepLines/>
              <w:jc w:val="center"/>
              <w:rPr>
                <w:b/>
                <w:color w:val="000000"/>
                <w:sz w:val="20"/>
                <w:szCs w:val="20"/>
              </w:rPr>
            </w:pPr>
            <w:r w:rsidRPr="00F4009D">
              <w:rPr>
                <w:b/>
                <w:color w:val="000000"/>
                <w:sz w:val="20"/>
                <w:szCs w:val="20"/>
              </w:rPr>
              <w:t xml:space="preserve">STRS Members Hired </w:t>
            </w:r>
          </w:p>
          <w:p w14:paraId="6EE57A43" w14:textId="77777777" w:rsidR="00F4009D" w:rsidRPr="00F4009D" w:rsidRDefault="00F4009D" w:rsidP="00F4009D">
            <w:pPr>
              <w:keepNext/>
              <w:keepLines/>
              <w:jc w:val="center"/>
              <w:rPr>
                <w:b/>
                <w:color w:val="000000"/>
                <w:sz w:val="20"/>
                <w:szCs w:val="20"/>
              </w:rPr>
            </w:pPr>
            <w:r w:rsidRPr="00F4009D">
              <w:rPr>
                <w:b/>
                <w:color w:val="000000"/>
                <w:sz w:val="20"/>
                <w:szCs w:val="20"/>
                <w:u w:val="single"/>
              </w:rPr>
              <w:t>After January 1, 2013</w:t>
            </w:r>
          </w:p>
        </w:tc>
      </w:tr>
      <w:tr w:rsidR="00F4009D" w:rsidRPr="00F4009D" w14:paraId="2F57A208" w14:textId="77777777" w:rsidTr="00C634FA">
        <w:trPr>
          <w:jc w:val="center"/>
        </w:trPr>
        <w:tc>
          <w:tcPr>
            <w:tcW w:w="2705" w:type="dxa"/>
          </w:tcPr>
          <w:p w14:paraId="5ED6CDDD" w14:textId="77777777" w:rsidR="00F4009D" w:rsidRPr="00F4009D" w:rsidRDefault="00F4009D" w:rsidP="00F4009D">
            <w:pPr>
              <w:keepNext/>
              <w:keepLines/>
              <w:widowControl w:val="0"/>
              <w:autoSpaceDE w:val="0"/>
              <w:autoSpaceDN w:val="0"/>
              <w:adjustRightInd w:val="0"/>
              <w:ind w:right="8"/>
              <w:jc w:val="center"/>
              <w:rPr>
                <w:color w:val="000000"/>
                <w:sz w:val="20"/>
                <w:szCs w:val="20"/>
                <w:vertAlign w:val="superscript"/>
              </w:rPr>
            </w:pPr>
            <w:r w:rsidRPr="00F4009D">
              <w:rPr>
                <w:color w:val="000000"/>
                <w:sz w:val="20"/>
                <w:szCs w:val="20"/>
              </w:rPr>
              <w:t>July 1, 2014</w:t>
            </w:r>
          </w:p>
        </w:tc>
        <w:tc>
          <w:tcPr>
            <w:tcW w:w="3318" w:type="dxa"/>
            <w:vAlign w:val="bottom"/>
          </w:tcPr>
          <w:p w14:paraId="71A47A1D" w14:textId="77777777" w:rsidR="00F4009D" w:rsidRPr="00F4009D" w:rsidRDefault="00F4009D" w:rsidP="00F4009D">
            <w:pPr>
              <w:keepNext/>
              <w:keepLines/>
              <w:tabs>
                <w:tab w:val="decimal" w:pos="1381"/>
              </w:tabs>
              <w:rPr>
                <w:sz w:val="20"/>
                <w:szCs w:val="20"/>
              </w:rPr>
            </w:pPr>
            <w:r w:rsidRPr="00F4009D">
              <w:rPr>
                <w:sz w:val="20"/>
                <w:szCs w:val="20"/>
              </w:rPr>
              <w:t>8.150%</w:t>
            </w:r>
          </w:p>
        </w:tc>
        <w:tc>
          <w:tcPr>
            <w:tcW w:w="2575" w:type="dxa"/>
            <w:vAlign w:val="bottom"/>
          </w:tcPr>
          <w:p w14:paraId="4DED9AC7" w14:textId="77777777" w:rsidR="00F4009D" w:rsidRPr="00F4009D" w:rsidRDefault="00F4009D" w:rsidP="00F4009D">
            <w:pPr>
              <w:keepNext/>
              <w:keepLines/>
              <w:tabs>
                <w:tab w:val="decimal" w:pos="1138"/>
              </w:tabs>
              <w:rPr>
                <w:sz w:val="20"/>
                <w:szCs w:val="20"/>
              </w:rPr>
            </w:pPr>
            <w:r w:rsidRPr="00F4009D">
              <w:rPr>
                <w:sz w:val="20"/>
                <w:szCs w:val="20"/>
              </w:rPr>
              <w:t>8.150%</w:t>
            </w:r>
          </w:p>
        </w:tc>
      </w:tr>
      <w:tr w:rsidR="00F4009D" w:rsidRPr="00F4009D" w14:paraId="6567D5A4" w14:textId="77777777" w:rsidTr="00C634FA">
        <w:trPr>
          <w:jc w:val="center"/>
        </w:trPr>
        <w:tc>
          <w:tcPr>
            <w:tcW w:w="2705" w:type="dxa"/>
          </w:tcPr>
          <w:p w14:paraId="4FEFC94C" w14:textId="77777777" w:rsidR="00F4009D" w:rsidRPr="00F4009D" w:rsidRDefault="00F4009D" w:rsidP="00F4009D">
            <w:pPr>
              <w:keepNext/>
              <w:keepLines/>
              <w:widowControl w:val="0"/>
              <w:autoSpaceDE w:val="0"/>
              <w:autoSpaceDN w:val="0"/>
              <w:adjustRightInd w:val="0"/>
              <w:ind w:right="8"/>
              <w:jc w:val="center"/>
              <w:rPr>
                <w:color w:val="000000"/>
                <w:sz w:val="20"/>
                <w:szCs w:val="20"/>
              </w:rPr>
            </w:pPr>
            <w:r w:rsidRPr="00F4009D">
              <w:rPr>
                <w:color w:val="000000"/>
                <w:sz w:val="20"/>
                <w:szCs w:val="20"/>
              </w:rPr>
              <w:t>July 1, 2015</w:t>
            </w:r>
          </w:p>
        </w:tc>
        <w:tc>
          <w:tcPr>
            <w:tcW w:w="3318" w:type="dxa"/>
            <w:vAlign w:val="bottom"/>
          </w:tcPr>
          <w:p w14:paraId="3D0A51E2" w14:textId="77777777" w:rsidR="00F4009D" w:rsidRPr="00F4009D" w:rsidRDefault="00F4009D" w:rsidP="00F4009D">
            <w:pPr>
              <w:keepNext/>
              <w:keepLines/>
              <w:tabs>
                <w:tab w:val="decimal" w:pos="1381"/>
              </w:tabs>
              <w:rPr>
                <w:sz w:val="20"/>
                <w:szCs w:val="20"/>
              </w:rPr>
            </w:pPr>
            <w:r w:rsidRPr="00F4009D">
              <w:rPr>
                <w:sz w:val="20"/>
                <w:szCs w:val="20"/>
              </w:rPr>
              <w:t>9.200</w:t>
            </w:r>
          </w:p>
        </w:tc>
        <w:tc>
          <w:tcPr>
            <w:tcW w:w="2575" w:type="dxa"/>
            <w:vAlign w:val="bottom"/>
          </w:tcPr>
          <w:p w14:paraId="4FF42CCF" w14:textId="77777777" w:rsidR="00F4009D" w:rsidRPr="00F4009D" w:rsidRDefault="00F4009D" w:rsidP="00F4009D">
            <w:pPr>
              <w:keepNext/>
              <w:keepLines/>
              <w:tabs>
                <w:tab w:val="decimal" w:pos="1138"/>
              </w:tabs>
              <w:rPr>
                <w:sz w:val="20"/>
                <w:szCs w:val="20"/>
              </w:rPr>
            </w:pPr>
            <w:r w:rsidRPr="00F4009D">
              <w:rPr>
                <w:sz w:val="20"/>
                <w:szCs w:val="20"/>
              </w:rPr>
              <w:t>8.560</w:t>
            </w:r>
          </w:p>
        </w:tc>
      </w:tr>
      <w:tr w:rsidR="00F4009D" w:rsidRPr="00F4009D" w14:paraId="2C42954C" w14:textId="77777777" w:rsidTr="00C634FA">
        <w:trPr>
          <w:jc w:val="center"/>
        </w:trPr>
        <w:tc>
          <w:tcPr>
            <w:tcW w:w="2705" w:type="dxa"/>
          </w:tcPr>
          <w:p w14:paraId="5B7BE99D" w14:textId="77777777" w:rsidR="00F4009D" w:rsidRPr="00F4009D" w:rsidRDefault="00F4009D" w:rsidP="00F4009D">
            <w:pPr>
              <w:keepNext/>
              <w:keepLines/>
              <w:widowControl w:val="0"/>
              <w:autoSpaceDE w:val="0"/>
              <w:autoSpaceDN w:val="0"/>
              <w:adjustRightInd w:val="0"/>
              <w:ind w:right="8"/>
              <w:jc w:val="center"/>
              <w:rPr>
                <w:color w:val="000000"/>
                <w:sz w:val="20"/>
                <w:szCs w:val="20"/>
              </w:rPr>
            </w:pPr>
            <w:r w:rsidRPr="00F4009D">
              <w:rPr>
                <w:color w:val="000000"/>
                <w:sz w:val="20"/>
                <w:szCs w:val="20"/>
              </w:rPr>
              <w:t>July 1, 2016</w:t>
            </w:r>
          </w:p>
        </w:tc>
        <w:tc>
          <w:tcPr>
            <w:tcW w:w="3318" w:type="dxa"/>
            <w:vAlign w:val="bottom"/>
          </w:tcPr>
          <w:p w14:paraId="3BBE2199" w14:textId="77777777" w:rsidR="00F4009D" w:rsidRPr="00F4009D" w:rsidRDefault="00F4009D" w:rsidP="00F4009D">
            <w:pPr>
              <w:keepNext/>
              <w:keepLines/>
              <w:tabs>
                <w:tab w:val="decimal" w:pos="1381"/>
              </w:tabs>
              <w:rPr>
                <w:sz w:val="20"/>
                <w:szCs w:val="20"/>
              </w:rPr>
            </w:pPr>
            <w:r w:rsidRPr="00F4009D">
              <w:rPr>
                <w:sz w:val="20"/>
                <w:szCs w:val="20"/>
              </w:rPr>
              <w:t>10.250</w:t>
            </w:r>
          </w:p>
        </w:tc>
        <w:tc>
          <w:tcPr>
            <w:tcW w:w="2575" w:type="dxa"/>
            <w:vAlign w:val="bottom"/>
          </w:tcPr>
          <w:p w14:paraId="081BC433" w14:textId="77777777" w:rsidR="00F4009D" w:rsidRPr="00F4009D" w:rsidRDefault="00F4009D" w:rsidP="00F4009D">
            <w:pPr>
              <w:keepNext/>
              <w:keepLines/>
              <w:tabs>
                <w:tab w:val="decimal" w:pos="1138"/>
              </w:tabs>
              <w:rPr>
                <w:sz w:val="20"/>
                <w:szCs w:val="20"/>
              </w:rPr>
            </w:pPr>
            <w:r w:rsidRPr="00F4009D">
              <w:rPr>
                <w:sz w:val="20"/>
                <w:szCs w:val="20"/>
              </w:rPr>
              <w:t>9.205</w:t>
            </w:r>
          </w:p>
        </w:tc>
      </w:tr>
    </w:tbl>
    <w:p w14:paraId="11664400" w14:textId="77777777" w:rsidR="00F4009D" w:rsidRPr="00F4009D" w:rsidRDefault="00F4009D" w:rsidP="00F4009D">
      <w:pPr>
        <w:keepNext/>
        <w:keepLines/>
        <w:jc w:val="both"/>
        <w:rPr>
          <w:color w:val="000000"/>
          <w:szCs w:val="22"/>
          <w:u w:val="single"/>
        </w:rPr>
      </w:pPr>
      <w:r w:rsidRPr="00F4009D">
        <w:rPr>
          <w:color w:val="000000"/>
          <w:u w:val="single"/>
        </w:rPr>
        <w:tab/>
      </w:r>
      <w:r w:rsidRPr="00F4009D">
        <w:rPr>
          <w:color w:val="000000"/>
          <w:u w:val="single"/>
        </w:rPr>
        <w:tab/>
      </w:r>
    </w:p>
    <w:p w14:paraId="1B4B811B" w14:textId="77777777" w:rsidR="00F4009D" w:rsidRPr="00F4009D" w:rsidRDefault="00F4009D" w:rsidP="00F4009D">
      <w:pPr>
        <w:jc w:val="both"/>
        <w:rPr>
          <w:i/>
          <w:color w:val="000000"/>
          <w:sz w:val="18"/>
        </w:rPr>
      </w:pPr>
      <w:r w:rsidRPr="00F4009D">
        <w:rPr>
          <w:i/>
          <w:color w:val="000000"/>
          <w:sz w:val="18"/>
        </w:rPr>
        <w:t>Source: AB 1469.</w:t>
      </w:r>
    </w:p>
    <w:p w14:paraId="3AA498C3" w14:textId="77777777" w:rsidR="00F4009D" w:rsidRPr="00F4009D" w:rsidRDefault="00F4009D" w:rsidP="00F4009D">
      <w:pPr>
        <w:spacing w:before="240"/>
        <w:ind w:firstLine="720"/>
        <w:jc w:val="both"/>
      </w:pPr>
      <w:r w:rsidRPr="00F4009D">
        <w:t xml:space="preserve">Pursuant to the Reform Act (defined below), the contribution rates for members hired after the Implementation Date (defined below) will be adjusted if the normal cost increases by more than 1% since the last time the member contribution was set.  The contribution rate for employees hired after the Implementation Date (defined below) increased from 9.205% of creditable compensation for fiscal year commencing July 1, 2017 to 10.205% of creditable compensation effective July 1, 2018.  For fiscal year commencing July 1, 2021, </w:t>
      </w:r>
      <w:r w:rsidRPr="00F4009D">
        <w:lastRenderedPageBreak/>
        <w:t>the contribution rate is 10.250% for employees hired before the Implementation Date and 10.205% for employees hired after the Implementation Date, which remain unchanged the past two fiscal years.</w:t>
      </w:r>
    </w:p>
    <w:p w14:paraId="57855445" w14:textId="77777777" w:rsidR="00F4009D" w:rsidRPr="00F4009D" w:rsidRDefault="00F4009D" w:rsidP="00F4009D">
      <w:pPr>
        <w:keepNext/>
        <w:keepLines/>
        <w:spacing w:before="240" w:after="220"/>
        <w:ind w:firstLine="720"/>
        <w:jc w:val="both"/>
      </w:pPr>
      <w:r w:rsidRPr="00F4009D">
        <w:t xml:space="preserve">Pursuant to AB 1469, participant employers’ contribution rate will increase over a seven-year phase-in period in accordance with the following schedule: </w:t>
      </w:r>
    </w:p>
    <w:p w14:paraId="30FEB655" w14:textId="77777777" w:rsidR="00F4009D" w:rsidRPr="00F4009D" w:rsidRDefault="00F4009D" w:rsidP="00F4009D">
      <w:pPr>
        <w:keepNext/>
        <w:keepLines/>
        <w:jc w:val="center"/>
        <w:rPr>
          <w:b/>
          <w:color w:val="000000"/>
          <w:sz w:val="20"/>
        </w:rPr>
      </w:pPr>
      <w:r w:rsidRPr="00F4009D">
        <w:rPr>
          <w:b/>
          <w:color w:val="000000"/>
          <w:sz w:val="20"/>
        </w:rPr>
        <w:t>PARTICIPANT EMPLOYER CONTRIBUTION RATES</w:t>
      </w:r>
    </w:p>
    <w:p w14:paraId="36A5977F" w14:textId="77777777" w:rsidR="00F4009D" w:rsidRPr="00F4009D" w:rsidRDefault="00F4009D" w:rsidP="00F4009D">
      <w:pPr>
        <w:keepNext/>
        <w:keepLines/>
        <w:spacing w:after="240"/>
        <w:jc w:val="center"/>
        <w:rPr>
          <w:b/>
          <w:color w:val="000000"/>
          <w:sz w:val="20"/>
        </w:rPr>
      </w:pPr>
      <w:r w:rsidRPr="00F4009D">
        <w:rPr>
          <w:b/>
          <w:color w:val="000000"/>
          <w:sz w:val="20"/>
        </w:rPr>
        <w:t>STRS (Defined Benefit Program)</w:t>
      </w:r>
    </w:p>
    <w:tbl>
      <w:tblPr>
        <w:tblW w:w="0" w:type="auto"/>
        <w:jc w:val="center"/>
        <w:tblLayout w:type="fixed"/>
        <w:tblLook w:val="0000" w:firstRow="0" w:lastRow="0" w:firstColumn="0" w:lastColumn="0" w:noHBand="0" w:noVBand="0"/>
      </w:tblPr>
      <w:tblGrid>
        <w:gridCol w:w="2705"/>
        <w:gridCol w:w="3457"/>
      </w:tblGrid>
      <w:tr w:rsidR="00F4009D" w:rsidRPr="00F4009D" w14:paraId="69FF541D" w14:textId="77777777" w:rsidTr="00C634FA">
        <w:trPr>
          <w:trHeight w:val="378"/>
          <w:jc w:val="center"/>
        </w:trPr>
        <w:tc>
          <w:tcPr>
            <w:tcW w:w="2705" w:type="dxa"/>
          </w:tcPr>
          <w:p w14:paraId="09B1BAF5" w14:textId="77777777" w:rsidR="00F4009D" w:rsidRPr="00F4009D" w:rsidRDefault="00F4009D" w:rsidP="00F4009D">
            <w:pPr>
              <w:keepNext/>
              <w:keepLines/>
              <w:widowControl w:val="0"/>
              <w:autoSpaceDE w:val="0"/>
              <w:autoSpaceDN w:val="0"/>
              <w:adjustRightInd w:val="0"/>
              <w:jc w:val="center"/>
              <w:rPr>
                <w:b/>
                <w:color w:val="000000"/>
                <w:sz w:val="20"/>
                <w:szCs w:val="20"/>
                <w:u w:val="single"/>
              </w:rPr>
            </w:pPr>
            <w:r w:rsidRPr="00F4009D">
              <w:rPr>
                <w:b/>
                <w:color w:val="000000"/>
                <w:sz w:val="20"/>
                <w:szCs w:val="20"/>
                <w:u w:val="single"/>
              </w:rPr>
              <w:t>Effective Date</w:t>
            </w:r>
          </w:p>
        </w:tc>
        <w:tc>
          <w:tcPr>
            <w:tcW w:w="3457" w:type="dxa"/>
          </w:tcPr>
          <w:p w14:paraId="025DF7FD" w14:textId="77777777" w:rsidR="00F4009D" w:rsidRPr="00F4009D" w:rsidRDefault="00F4009D" w:rsidP="00F4009D">
            <w:pPr>
              <w:keepNext/>
              <w:keepLines/>
              <w:widowControl w:val="0"/>
              <w:autoSpaceDE w:val="0"/>
              <w:autoSpaceDN w:val="0"/>
              <w:adjustRightInd w:val="0"/>
              <w:jc w:val="center"/>
              <w:rPr>
                <w:b/>
                <w:color w:val="000000"/>
                <w:sz w:val="20"/>
                <w:szCs w:val="20"/>
                <w:u w:val="single"/>
              </w:rPr>
            </w:pPr>
            <w:r w:rsidRPr="00F4009D">
              <w:rPr>
                <w:b/>
                <w:color w:val="000000"/>
                <w:sz w:val="20"/>
                <w:szCs w:val="20"/>
                <w:u w:val="single"/>
              </w:rPr>
              <w:t>K-14 School Districts</w:t>
            </w:r>
          </w:p>
        </w:tc>
      </w:tr>
      <w:tr w:rsidR="00F4009D" w:rsidRPr="00F4009D" w14:paraId="2A44EA47" w14:textId="77777777" w:rsidTr="00C634FA">
        <w:trPr>
          <w:jc w:val="center"/>
        </w:trPr>
        <w:tc>
          <w:tcPr>
            <w:tcW w:w="2705" w:type="dxa"/>
          </w:tcPr>
          <w:p w14:paraId="034AC704" w14:textId="77777777" w:rsidR="00F4009D" w:rsidRPr="00F4009D" w:rsidRDefault="00F4009D" w:rsidP="00F4009D">
            <w:pPr>
              <w:keepNext/>
              <w:keepLines/>
              <w:widowControl w:val="0"/>
              <w:autoSpaceDE w:val="0"/>
              <w:autoSpaceDN w:val="0"/>
              <w:adjustRightInd w:val="0"/>
              <w:ind w:right="35"/>
              <w:jc w:val="center"/>
              <w:rPr>
                <w:color w:val="000000"/>
                <w:sz w:val="20"/>
                <w:szCs w:val="20"/>
                <w:vertAlign w:val="superscript"/>
              </w:rPr>
            </w:pPr>
            <w:r w:rsidRPr="00F4009D">
              <w:rPr>
                <w:color w:val="000000"/>
                <w:sz w:val="20"/>
                <w:szCs w:val="20"/>
              </w:rPr>
              <w:t>July 1, 2014</w:t>
            </w:r>
          </w:p>
        </w:tc>
        <w:tc>
          <w:tcPr>
            <w:tcW w:w="3457" w:type="dxa"/>
            <w:vAlign w:val="bottom"/>
          </w:tcPr>
          <w:p w14:paraId="66C18CD6" w14:textId="77777777" w:rsidR="00F4009D" w:rsidRPr="00F4009D" w:rsidRDefault="00F4009D" w:rsidP="00F4009D">
            <w:pPr>
              <w:keepNext/>
              <w:keepLines/>
              <w:tabs>
                <w:tab w:val="decimal" w:pos="1459"/>
              </w:tabs>
              <w:rPr>
                <w:sz w:val="20"/>
                <w:szCs w:val="20"/>
              </w:rPr>
            </w:pPr>
            <w:r w:rsidRPr="00F4009D">
              <w:rPr>
                <w:sz w:val="20"/>
                <w:szCs w:val="20"/>
              </w:rPr>
              <w:t>8.88%</w:t>
            </w:r>
          </w:p>
        </w:tc>
      </w:tr>
      <w:tr w:rsidR="00F4009D" w:rsidRPr="00F4009D" w14:paraId="16B693D4" w14:textId="77777777" w:rsidTr="00C634FA">
        <w:trPr>
          <w:jc w:val="center"/>
        </w:trPr>
        <w:tc>
          <w:tcPr>
            <w:tcW w:w="2705" w:type="dxa"/>
          </w:tcPr>
          <w:p w14:paraId="30DC6BED" w14:textId="77777777" w:rsidR="00F4009D" w:rsidRPr="00F4009D" w:rsidRDefault="00F4009D" w:rsidP="00F4009D">
            <w:pPr>
              <w:keepNext/>
              <w:keepLines/>
              <w:widowControl w:val="0"/>
              <w:autoSpaceDE w:val="0"/>
              <w:autoSpaceDN w:val="0"/>
              <w:adjustRightInd w:val="0"/>
              <w:ind w:right="35"/>
              <w:jc w:val="center"/>
              <w:rPr>
                <w:color w:val="000000"/>
                <w:sz w:val="20"/>
                <w:szCs w:val="20"/>
              </w:rPr>
            </w:pPr>
            <w:r w:rsidRPr="00F4009D">
              <w:rPr>
                <w:color w:val="000000"/>
                <w:sz w:val="20"/>
                <w:szCs w:val="20"/>
              </w:rPr>
              <w:t>July 1, 2015</w:t>
            </w:r>
          </w:p>
        </w:tc>
        <w:tc>
          <w:tcPr>
            <w:tcW w:w="3457" w:type="dxa"/>
            <w:vAlign w:val="bottom"/>
          </w:tcPr>
          <w:p w14:paraId="13253D8A" w14:textId="77777777" w:rsidR="00F4009D" w:rsidRPr="00F4009D" w:rsidRDefault="00F4009D" w:rsidP="00F4009D">
            <w:pPr>
              <w:keepNext/>
              <w:keepLines/>
              <w:tabs>
                <w:tab w:val="decimal" w:pos="1459"/>
              </w:tabs>
              <w:rPr>
                <w:sz w:val="20"/>
                <w:szCs w:val="20"/>
              </w:rPr>
            </w:pPr>
            <w:r w:rsidRPr="00F4009D">
              <w:rPr>
                <w:sz w:val="20"/>
                <w:szCs w:val="20"/>
              </w:rPr>
              <w:t>10.73</w:t>
            </w:r>
          </w:p>
        </w:tc>
      </w:tr>
      <w:tr w:rsidR="00F4009D" w:rsidRPr="00F4009D" w14:paraId="08465997" w14:textId="77777777" w:rsidTr="00C634FA">
        <w:trPr>
          <w:jc w:val="center"/>
        </w:trPr>
        <w:tc>
          <w:tcPr>
            <w:tcW w:w="2705" w:type="dxa"/>
          </w:tcPr>
          <w:p w14:paraId="7551E46F" w14:textId="77777777" w:rsidR="00F4009D" w:rsidRPr="00F4009D" w:rsidRDefault="00F4009D" w:rsidP="00F4009D">
            <w:pPr>
              <w:keepNext/>
              <w:keepLines/>
              <w:widowControl w:val="0"/>
              <w:autoSpaceDE w:val="0"/>
              <w:autoSpaceDN w:val="0"/>
              <w:adjustRightInd w:val="0"/>
              <w:ind w:right="35"/>
              <w:jc w:val="center"/>
              <w:rPr>
                <w:color w:val="000000"/>
                <w:sz w:val="20"/>
                <w:szCs w:val="20"/>
              </w:rPr>
            </w:pPr>
            <w:r w:rsidRPr="00F4009D">
              <w:rPr>
                <w:color w:val="000000"/>
                <w:sz w:val="20"/>
                <w:szCs w:val="20"/>
              </w:rPr>
              <w:t>July 1, 2016</w:t>
            </w:r>
          </w:p>
        </w:tc>
        <w:tc>
          <w:tcPr>
            <w:tcW w:w="3457" w:type="dxa"/>
            <w:vAlign w:val="bottom"/>
          </w:tcPr>
          <w:p w14:paraId="61B56DE8" w14:textId="77777777" w:rsidR="00F4009D" w:rsidRPr="00F4009D" w:rsidRDefault="00F4009D" w:rsidP="00F4009D">
            <w:pPr>
              <w:keepNext/>
              <w:keepLines/>
              <w:tabs>
                <w:tab w:val="decimal" w:pos="1459"/>
              </w:tabs>
              <w:rPr>
                <w:sz w:val="20"/>
                <w:szCs w:val="20"/>
              </w:rPr>
            </w:pPr>
            <w:r w:rsidRPr="00F4009D">
              <w:rPr>
                <w:sz w:val="20"/>
                <w:szCs w:val="20"/>
              </w:rPr>
              <w:t>12.58</w:t>
            </w:r>
          </w:p>
        </w:tc>
      </w:tr>
      <w:tr w:rsidR="00F4009D" w:rsidRPr="00F4009D" w14:paraId="2A49A47B" w14:textId="77777777" w:rsidTr="00C634FA">
        <w:trPr>
          <w:jc w:val="center"/>
        </w:trPr>
        <w:tc>
          <w:tcPr>
            <w:tcW w:w="2705" w:type="dxa"/>
          </w:tcPr>
          <w:p w14:paraId="0DE7B672" w14:textId="77777777" w:rsidR="00F4009D" w:rsidRPr="00F4009D" w:rsidRDefault="00F4009D" w:rsidP="00F4009D">
            <w:pPr>
              <w:keepNext/>
              <w:keepLines/>
              <w:widowControl w:val="0"/>
              <w:autoSpaceDE w:val="0"/>
              <w:autoSpaceDN w:val="0"/>
              <w:adjustRightInd w:val="0"/>
              <w:ind w:right="35"/>
              <w:jc w:val="center"/>
              <w:rPr>
                <w:color w:val="000000"/>
                <w:sz w:val="20"/>
                <w:szCs w:val="20"/>
              </w:rPr>
            </w:pPr>
            <w:r w:rsidRPr="00F4009D">
              <w:rPr>
                <w:color w:val="000000"/>
                <w:sz w:val="20"/>
                <w:szCs w:val="20"/>
              </w:rPr>
              <w:t>July 1, 2017</w:t>
            </w:r>
          </w:p>
        </w:tc>
        <w:tc>
          <w:tcPr>
            <w:tcW w:w="3457" w:type="dxa"/>
            <w:vAlign w:val="bottom"/>
          </w:tcPr>
          <w:p w14:paraId="0D4EFCEC" w14:textId="77777777" w:rsidR="00F4009D" w:rsidRPr="00F4009D" w:rsidRDefault="00F4009D" w:rsidP="00F4009D">
            <w:pPr>
              <w:keepNext/>
              <w:keepLines/>
              <w:tabs>
                <w:tab w:val="decimal" w:pos="1459"/>
              </w:tabs>
              <w:rPr>
                <w:sz w:val="20"/>
                <w:szCs w:val="20"/>
              </w:rPr>
            </w:pPr>
            <w:r w:rsidRPr="00F4009D">
              <w:rPr>
                <w:sz w:val="20"/>
                <w:szCs w:val="20"/>
              </w:rPr>
              <w:t>14.43</w:t>
            </w:r>
          </w:p>
        </w:tc>
      </w:tr>
      <w:tr w:rsidR="00F4009D" w:rsidRPr="00F4009D" w14:paraId="07DBE154" w14:textId="77777777" w:rsidTr="00C634FA">
        <w:trPr>
          <w:jc w:val="center"/>
        </w:trPr>
        <w:tc>
          <w:tcPr>
            <w:tcW w:w="2705" w:type="dxa"/>
          </w:tcPr>
          <w:p w14:paraId="6637C5BE" w14:textId="77777777" w:rsidR="00F4009D" w:rsidRPr="00F4009D" w:rsidRDefault="00F4009D" w:rsidP="00F4009D">
            <w:pPr>
              <w:keepNext/>
              <w:keepLines/>
              <w:widowControl w:val="0"/>
              <w:autoSpaceDE w:val="0"/>
              <w:autoSpaceDN w:val="0"/>
              <w:adjustRightInd w:val="0"/>
              <w:ind w:right="35"/>
              <w:jc w:val="center"/>
              <w:rPr>
                <w:color w:val="000000"/>
                <w:sz w:val="20"/>
                <w:szCs w:val="20"/>
              </w:rPr>
            </w:pPr>
            <w:r w:rsidRPr="00F4009D">
              <w:rPr>
                <w:color w:val="000000"/>
                <w:sz w:val="20"/>
                <w:szCs w:val="20"/>
              </w:rPr>
              <w:t>July 1, 2018</w:t>
            </w:r>
          </w:p>
        </w:tc>
        <w:tc>
          <w:tcPr>
            <w:tcW w:w="3457" w:type="dxa"/>
            <w:vAlign w:val="bottom"/>
          </w:tcPr>
          <w:p w14:paraId="04A9F9AC" w14:textId="77777777" w:rsidR="00F4009D" w:rsidRPr="00F4009D" w:rsidRDefault="00F4009D" w:rsidP="00F4009D">
            <w:pPr>
              <w:keepNext/>
              <w:keepLines/>
              <w:tabs>
                <w:tab w:val="decimal" w:pos="1459"/>
              </w:tabs>
              <w:rPr>
                <w:sz w:val="20"/>
                <w:szCs w:val="20"/>
              </w:rPr>
            </w:pPr>
            <w:r w:rsidRPr="00F4009D">
              <w:rPr>
                <w:sz w:val="20"/>
                <w:szCs w:val="20"/>
              </w:rPr>
              <w:t>16.28</w:t>
            </w:r>
          </w:p>
        </w:tc>
      </w:tr>
      <w:tr w:rsidR="00F4009D" w:rsidRPr="00F4009D" w14:paraId="74AA1180" w14:textId="77777777" w:rsidTr="00C634FA">
        <w:trPr>
          <w:jc w:val="center"/>
        </w:trPr>
        <w:tc>
          <w:tcPr>
            <w:tcW w:w="2705" w:type="dxa"/>
          </w:tcPr>
          <w:p w14:paraId="195FFC94" w14:textId="77777777" w:rsidR="00F4009D" w:rsidRPr="00F4009D" w:rsidRDefault="00F4009D" w:rsidP="00F4009D">
            <w:pPr>
              <w:keepNext/>
              <w:keepLines/>
              <w:widowControl w:val="0"/>
              <w:autoSpaceDE w:val="0"/>
              <w:autoSpaceDN w:val="0"/>
              <w:adjustRightInd w:val="0"/>
              <w:ind w:right="35"/>
              <w:jc w:val="center"/>
              <w:rPr>
                <w:color w:val="000000"/>
                <w:sz w:val="20"/>
                <w:szCs w:val="20"/>
              </w:rPr>
            </w:pPr>
            <w:r w:rsidRPr="00F4009D">
              <w:rPr>
                <w:color w:val="000000"/>
                <w:sz w:val="20"/>
                <w:szCs w:val="20"/>
              </w:rPr>
              <w:t>July 1, 2019</w:t>
            </w:r>
          </w:p>
        </w:tc>
        <w:tc>
          <w:tcPr>
            <w:tcW w:w="3457" w:type="dxa"/>
            <w:vAlign w:val="bottom"/>
          </w:tcPr>
          <w:p w14:paraId="126981ED" w14:textId="77777777" w:rsidR="00F4009D" w:rsidRPr="00F4009D" w:rsidRDefault="00F4009D" w:rsidP="00F4009D">
            <w:pPr>
              <w:keepNext/>
              <w:keepLines/>
              <w:tabs>
                <w:tab w:val="decimal" w:pos="1459"/>
              </w:tabs>
              <w:rPr>
                <w:sz w:val="20"/>
                <w:szCs w:val="20"/>
              </w:rPr>
            </w:pPr>
            <w:r w:rsidRPr="00F4009D">
              <w:rPr>
                <w:sz w:val="20"/>
                <w:szCs w:val="20"/>
              </w:rPr>
              <w:t>18.13</w:t>
            </w:r>
          </w:p>
        </w:tc>
      </w:tr>
      <w:tr w:rsidR="00F4009D" w:rsidRPr="00F4009D" w14:paraId="4F858207" w14:textId="77777777" w:rsidTr="00C634FA">
        <w:trPr>
          <w:jc w:val="center"/>
        </w:trPr>
        <w:tc>
          <w:tcPr>
            <w:tcW w:w="2705" w:type="dxa"/>
          </w:tcPr>
          <w:p w14:paraId="3B6E4261" w14:textId="77777777" w:rsidR="00F4009D" w:rsidRPr="00F4009D" w:rsidRDefault="00F4009D" w:rsidP="00F4009D">
            <w:pPr>
              <w:keepNext/>
              <w:keepLines/>
              <w:widowControl w:val="0"/>
              <w:autoSpaceDE w:val="0"/>
              <w:autoSpaceDN w:val="0"/>
              <w:adjustRightInd w:val="0"/>
              <w:ind w:right="35"/>
              <w:jc w:val="center"/>
              <w:rPr>
                <w:color w:val="000000"/>
                <w:sz w:val="20"/>
                <w:szCs w:val="20"/>
              </w:rPr>
            </w:pPr>
            <w:r w:rsidRPr="00F4009D">
              <w:rPr>
                <w:color w:val="000000"/>
                <w:sz w:val="20"/>
                <w:szCs w:val="20"/>
              </w:rPr>
              <w:t>July 1, 2020</w:t>
            </w:r>
          </w:p>
        </w:tc>
        <w:tc>
          <w:tcPr>
            <w:tcW w:w="3457" w:type="dxa"/>
            <w:vAlign w:val="bottom"/>
          </w:tcPr>
          <w:p w14:paraId="0FF545DA" w14:textId="77777777" w:rsidR="00F4009D" w:rsidRPr="00F4009D" w:rsidRDefault="00F4009D" w:rsidP="00F4009D">
            <w:pPr>
              <w:keepNext/>
              <w:keepLines/>
              <w:tabs>
                <w:tab w:val="decimal" w:pos="1459"/>
              </w:tabs>
              <w:rPr>
                <w:sz w:val="20"/>
                <w:szCs w:val="20"/>
              </w:rPr>
            </w:pPr>
            <w:r w:rsidRPr="00F4009D">
              <w:rPr>
                <w:sz w:val="20"/>
                <w:szCs w:val="20"/>
              </w:rPr>
              <w:t>19.10</w:t>
            </w:r>
          </w:p>
        </w:tc>
      </w:tr>
    </w:tbl>
    <w:p w14:paraId="4FDA2B79" w14:textId="77777777" w:rsidR="00F4009D" w:rsidRPr="00F4009D" w:rsidRDefault="00F4009D" w:rsidP="00F4009D">
      <w:pPr>
        <w:keepNext/>
        <w:keepLines/>
        <w:jc w:val="both"/>
        <w:rPr>
          <w:color w:val="000000"/>
          <w:szCs w:val="22"/>
          <w:u w:val="single"/>
        </w:rPr>
      </w:pPr>
      <w:r w:rsidRPr="00F4009D">
        <w:rPr>
          <w:color w:val="000000"/>
          <w:u w:val="single"/>
        </w:rPr>
        <w:tab/>
      </w:r>
      <w:r w:rsidRPr="00F4009D">
        <w:rPr>
          <w:color w:val="000000"/>
          <w:u w:val="single"/>
        </w:rPr>
        <w:tab/>
      </w:r>
    </w:p>
    <w:p w14:paraId="7FC28E21" w14:textId="77777777" w:rsidR="00F4009D" w:rsidRPr="00F4009D" w:rsidRDefault="00F4009D" w:rsidP="00F4009D">
      <w:pPr>
        <w:jc w:val="both"/>
        <w:rPr>
          <w:i/>
          <w:sz w:val="16"/>
          <w:szCs w:val="16"/>
        </w:rPr>
      </w:pPr>
      <w:r w:rsidRPr="00F4009D">
        <w:rPr>
          <w:i/>
          <w:color w:val="000000"/>
          <w:sz w:val="18"/>
        </w:rPr>
        <w:t>Source: AB 1469.</w:t>
      </w:r>
    </w:p>
    <w:p w14:paraId="65D38BA3" w14:textId="77777777" w:rsidR="00F4009D" w:rsidRPr="00F4009D" w:rsidRDefault="00F4009D" w:rsidP="00F4009D">
      <w:pPr>
        <w:spacing w:before="240" w:after="220"/>
        <w:ind w:firstLine="720"/>
        <w:jc w:val="both"/>
        <w:rPr>
          <w:szCs w:val="22"/>
        </w:rPr>
      </w:pPr>
      <w:r w:rsidRPr="00F4009D">
        <w:rPr>
          <w:szCs w:val="22"/>
        </w:rPr>
        <w:t>Based upon the recommendation from its actuary, for fiscal year 2021-22 and each fiscal year thereafter the STRS Teachers’ Retirement Board (the “STRS Board”), is required to increase or decrease the participant employers’ contribution rate to reflect the contribution required to eliminate the remaining 2014 Liability by June 30, 2046; provided that the rate cannot change in any fiscal year by more than 1% of creditable compensation upon which members’ contributions to the STRS Defined Benefit Program are based; and provided further that such contribution rate cannot exceed a maximum of 20.25%.  In addition to the increased contribution rates discussed above, AB 1469 also requires the STRS Board to report to the State Legislature every five years (commencing with a report due on or before July 1, 2019) on the fiscal health of the STRS Defined Benefit Program and the unfunded actuarial obligation with respect to service credited to members of that program before July 1, 2014.  The reports are also required to identify adjustments required in contribution rates for participant employers and the State in order to eliminate the 2014 Liability.</w:t>
      </w:r>
    </w:p>
    <w:p w14:paraId="7FA0CB98" w14:textId="77777777" w:rsidR="00F4009D" w:rsidRPr="00F4009D" w:rsidRDefault="00F4009D" w:rsidP="00F4009D">
      <w:pPr>
        <w:spacing w:after="240"/>
        <w:ind w:firstLine="720"/>
        <w:jc w:val="both"/>
        <w:rPr>
          <w:szCs w:val="22"/>
        </w:rPr>
      </w:pPr>
      <w:r w:rsidRPr="00F4009D">
        <w:rPr>
          <w:szCs w:val="22"/>
        </w:rPr>
        <w:t>On June 27, 2019, the Governor signed SB 90 (“SB 90”) into law as a part of the 2019-20 Budget.  Pursuant to SB 90, the State Legislature appropriated $2.246 billion to be transferred to the Teacher’s Retirement Fund for the STRS Defined Benefit Program to pay in advance, on behalf of employers, part of the contributions required for fiscal years 2019-20 and 2020-21, resulting in participant employers having to contribute 1.03% less in fiscal year 2019-20 and 0.70% less in fiscal year 2020-21, resulting in employer contribution rates of 17.1% in fiscal year 2019-20 and 18.4% in fiscal year 2020-21.  In addition, the State made a contribution of $1.117 billion to be allocated to reduce the employer’s share of the unfunded actuarial obligation determined by the STRS Board upon recommendation from its actuary.  This additional payment was reflected in the June 30, 2020 actuarial valuation.  Subsequently, the State’s 2020-21 Budget redirected $2.3 billion previously appropriated to STRS and PERS pursuant to SB 90 for long-term unfunded liabilities to further reduce the employer contribution rates in fiscal year 2020-21 and 2021-22.  As a result, the effective employer contribution rate was 16.15% in fiscal year 2020-21 and is 16.92% in fiscal year 2021-22.  See “STATE FUNDING OF EDUCATION – General” in the forepart of this Limited Offering Memorandum.</w:t>
      </w:r>
    </w:p>
    <w:p w14:paraId="56AF8F30" w14:textId="7688F41B" w:rsidR="00F4009D" w:rsidRPr="00F4009D" w:rsidRDefault="00F4009D" w:rsidP="00F4009D">
      <w:pPr>
        <w:spacing w:after="240"/>
        <w:ind w:firstLine="720"/>
        <w:jc w:val="both"/>
        <w:rPr>
          <w:szCs w:val="22"/>
        </w:rPr>
      </w:pPr>
      <w:r>
        <w:rPr>
          <w:szCs w:val="22"/>
        </w:rPr>
        <w:t xml:space="preserve">Encore’s </w:t>
      </w:r>
      <w:r w:rsidRPr="00F4009D">
        <w:rPr>
          <w:szCs w:val="22"/>
        </w:rPr>
        <w:t>contributions to STRS were $</w:t>
      </w:r>
      <w:r>
        <w:rPr>
          <w:szCs w:val="22"/>
        </w:rPr>
        <w:t>_________</w:t>
      </w:r>
      <w:r w:rsidRPr="00F4009D">
        <w:rPr>
          <w:szCs w:val="22"/>
        </w:rPr>
        <w:t xml:space="preserve"> for fiscal year 2016-17, $</w:t>
      </w:r>
      <w:r>
        <w:rPr>
          <w:szCs w:val="22"/>
        </w:rPr>
        <w:t>_________</w:t>
      </w:r>
      <w:r w:rsidRPr="00F4009D">
        <w:rPr>
          <w:szCs w:val="22"/>
        </w:rPr>
        <w:t xml:space="preserve"> for fiscal year 2017-18, $</w:t>
      </w:r>
      <w:r w:rsidR="00A1482D">
        <w:rPr>
          <w:szCs w:val="22"/>
        </w:rPr>
        <w:t>785,803</w:t>
      </w:r>
      <w:r>
        <w:rPr>
          <w:szCs w:val="22"/>
        </w:rPr>
        <w:t xml:space="preserve"> </w:t>
      </w:r>
      <w:r w:rsidRPr="00F4009D">
        <w:rPr>
          <w:szCs w:val="22"/>
        </w:rPr>
        <w:t>for fiscal year 2018-19, $</w:t>
      </w:r>
      <w:r w:rsidR="00A1482D">
        <w:rPr>
          <w:szCs w:val="22"/>
        </w:rPr>
        <w:t>762,477</w:t>
      </w:r>
      <w:r>
        <w:rPr>
          <w:szCs w:val="22"/>
        </w:rPr>
        <w:t xml:space="preserve"> </w:t>
      </w:r>
      <w:r w:rsidRPr="00F4009D">
        <w:rPr>
          <w:szCs w:val="22"/>
        </w:rPr>
        <w:t>for fiscal year 2019-20 and $</w:t>
      </w:r>
      <w:r w:rsidR="00A1482D">
        <w:rPr>
          <w:szCs w:val="22"/>
        </w:rPr>
        <w:t>436,634</w:t>
      </w:r>
      <w:r>
        <w:rPr>
          <w:szCs w:val="22"/>
        </w:rPr>
        <w:t xml:space="preserve"> </w:t>
      </w:r>
      <w:r w:rsidRPr="00F4009D">
        <w:rPr>
          <w:szCs w:val="22"/>
        </w:rPr>
        <w:t xml:space="preserve">for fiscal year 2020-21. </w:t>
      </w:r>
      <w:r>
        <w:rPr>
          <w:szCs w:val="22"/>
        </w:rPr>
        <w:t xml:space="preserve">Encore </w:t>
      </w:r>
      <w:r w:rsidRPr="00F4009D">
        <w:rPr>
          <w:szCs w:val="22"/>
        </w:rPr>
        <w:t>has budgeted its contribution to STRS to be $</w:t>
      </w:r>
      <w:r>
        <w:rPr>
          <w:szCs w:val="22"/>
        </w:rPr>
        <w:t xml:space="preserve">_________ </w:t>
      </w:r>
      <w:r w:rsidRPr="00F4009D">
        <w:rPr>
          <w:szCs w:val="22"/>
        </w:rPr>
        <w:t xml:space="preserve">for fiscal year 2021-22. </w:t>
      </w:r>
    </w:p>
    <w:p w14:paraId="2814FFC7" w14:textId="77777777" w:rsidR="00F4009D" w:rsidRPr="00F4009D" w:rsidRDefault="00F4009D" w:rsidP="00F4009D">
      <w:pPr>
        <w:spacing w:after="240"/>
        <w:ind w:firstLine="720"/>
        <w:jc w:val="both"/>
        <w:rPr>
          <w:szCs w:val="22"/>
        </w:rPr>
      </w:pPr>
      <w:r w:rsidRPr="00F4009D">
        <w:rPr>
          <w:szCs w:val="22"/>
        </w:rPr>
        <w:t xml:space="preserve">The State also contributes to STRS, currently in an amount equal to 8.328% for fiscal year 2021-22.  The State’s contribution reflects a base contribution rate of 2.017%, and a supplemental contribution rate that will vary from year to year based on statutory criteria.  Based upon the recommendation from its actuary, for </w:t>
      </w:r>
      <w:r w:rsidRPr="00F4009D">
        <w:rPr>
          <w:szCs w:val="22"/>
        </w:rPr>
        <w:lastRenderedPageBreak/>
        <w:t>fiscal year 2017-18 and each fiscal year thereafter, the STRS Board is required, with certain limitations, to increase or decrease the State’s contribution rates to reflect the contribution required to eliminate the unfunded actuarial accrued liability attributed to benefits in effect before July 1, 1990.  The STRS Board approved State supplemental contribution rate for fiscal year 2021-22 reflects an increase of 0.5% of payroll, the maximum allowed under current law.</w:t>
      </w:r>
    </w:p>
    <w:p w14:paraId="48A538E1" w14:textId="77777777" w:rsidR="00F4009D" w:rsidRPr="00F4009D" w:rsidRDefault="00F4009D" w:rsidP="00F4009D">
      <w:pPr>
        <w:spacing w:after="240"/>
        <w:ind w:firstLine="720"/>
        <w:jc w:val="both"/>
        <w:rPr>
          <w:szCs w:val="22"/>
        </w:rPr>
      </w:pPr>
      <w:r w:rsidRPr="00F4009D">
        <w:rPr>
          <w:szCs w:val="22"/>
        </w:rPr>
        <w:t xml:space="preserve">In addition, the State is currently required to make an annual general fund contribution up to 2.5% of the fiscal year covered STRS member payroll to the Supplemental Benefit Protection Account (the “SBPA”), which was established by statute to provide supplemental payments to beneficiaries whose purchasing power has fallen below 85% of the purchasing power of their initial allowance.  </w:t>
      </w:r>
    </w:p>
    <w:p w14:paraId="0583E370" w14:textId="77777777" w:rsidR="00F4009D" w:rsidRPr="00F4009D" w:rsidRDefault="00F4009D" w:rsidP="00F4009D">
      <w:pPr>
        <w:spacing w:after="220"/>
        <w:ind w:firstLine="720"/>
        <w:jc w:val="both"/>
        <w:rPr>
          <w:szCs w:val="22"/>
        </w:rPr>
      </w:pPr>
      <w:r w:rsidRPr="00F4009D">
        <w:rPr>
          <w:b/>
          <w:i/>
          <w:szCs w:val="22"/>
        </w:rPr>
        <w:t>PERS.</w:t>
      </w:r>
      <w:r w:rsidRPr="00F4009D">
        <w:rPr>
          <w:szCs w:val="22"/>
        </w:rPr>
        <w:t xml:space="preserve">  Classified employees working four or more hours per day are members of the California Public Employees’ Retirement System (“PERS”).  PERS provides retirement and disability benefits, annual cost-of-living adjustments, and death benefits to plan members and beneficiaries.  Benefit provisions are established by the State statutes, as legislatively amended from time to time.  PERS operates a number of retirement plans including the Public Employees Retirement Fund (“PERF”).  PERF is a multiple-employer defined benefit retirement plan.  In addition to the State, employer participants at June 30, 2019 included 1,612 public agencies and 1,319 K-14 school districts and charter schools.  PERS acts as the common investment and administrative agent for the member agencies.  The State and participant employers (for “classified employees,” which generally consist of school employees other than teachers) are required by law to participate in PERF.  Employees participating in PERF generally become fully vested in their retirement benefits earned to date after five years of credited service.  One of the plans operated by PERS is for schools throughout the State (the “Schools Pool”).</w:t>
      </w:r>
    </w:p>
    <w:p w14:paraId="2FB8EF0B" w14:textId="77777777" w:rsidR="00F4009D" w:rsidRPr="00F4009D" w:rsidRDefault="00F4009D" w:rsidP="00F4009D">
      <w:pPr>
        <w:spacing w:after="220"/>
        <w:ind w:firstLine="720"/>
        <w:jc w:val="both"/>
        <w:rPr>
          <w:szCs w:val="22"/>
        </w:rPr>
      </w:pPr>
      <w:r w:rsidRPr="00F4009D">
        <w:rPr>
          <w:szCs w:val="22"/>
        </w:rPr>
        <w:t>Contributions by employers to the Schools Pool are based upon an actuarial rate determined annually and contributions by plan members vary based upon their date of hire.  Pursuant to SB 90, the State Legislature appropriated $904 million to the Schools Pool, including transfers in fiscal years 2019-20 and 2020-21 to the Public Employees Retirement Fund to pay, in advance on behalf of K-14 school district employers, part of the contributions required for K-14 school district employers for such fiscal years, as well as additional amounts to be applied toward certain unfunded liabilities for K-14 school district employers.  In June 2020, SB 90 was amended by Assembly Bill 84/Senate Bill 111 (“AB 84”).  Under AB 84, $144 million of the State contribution under SB 90 was deemed to satisfy a portion of the State’s required contribution in fiscal year 2019-20, and the amounts previously allocated toward future liabilities were redirected such that, $430 million will satisfy a portion of the employer contribution rate in fiscal year 2020-21, and $330 million will satisfy a portion of the employer contribution rate in fiscal year 2021-22.  As a result of the payments made by the State pursuant to SB 90, as amended by AB 84, the employer contribution rate was 19.721% for fiscal year 2019-20, 20.7% in fiscal year 2020-21, and will be 22.91% in fiscal year 2021-22.  See “STATE FUNDING OF EDUCATION – General” in the forepart of this Limited Offering Memorandum.  Participants enrolled in PERS prior to January 1, 2013 contribute at a rate established by statute, which is 7% of their respective salaries in fiscal year 2020-21 and will be 7% of such salaries in fiscal year 2021-22, while participants enrolled after January 1, 2013 contribute at an actuarially determined rate, which is 7% in fiscal year 2020-21 and will be 7% in fiscal year 2021-22.  See “– California Public Employees’ Pension Reform Act of 2013” herein.</w:t>
      </w:r>
    </w:p>
    <w:p w14:paraId="6111FD2F" w14:textId="6743CC6C" w:rsidR="00F4009D" w:rsidRPr="00F4009D" w:rsidRDefault="00F4009D" w:rsidP="00F4009D">
      <w:pPr>
        <w:spacing w:after="240"/>
        <w:ind w:firstLine="720"/>
        <w:jc w:val="both"/>
        <w:rPr>
          <w:szCs w:val="22"/>
        </w:rPr>
      </w:pPr>
      <w:r>
        <w:rPr>
          <w:szCs w:val="22"/>
        </w:rPr>
        <w:t xml:space="preserve">Encore’s </w:t>
      </w:r>
      <w:r w:rsidRPr="00F4009D">
        <w:rPr>
          <w:szCs w:val="22"/>
        </w:rPr>
        <w:t xml:space="preserve">contributions to </w:t>
      </w:r>
      <w:r>
        <w:rPr>
          <w:szCs w:val="22"/>
        </w:rPr>
        <w:t>PERS</w:t>
      </w:r>
      <w:r w:rsidRPr="00F4009D">
        <w:rPr>
          <w:szCs w:val="22"/>
        </w:rPr>
        <w:t xml:space="preserve"> were $</w:t>
      </w:r>
      <w:r>
        <w:rPr>
          <w:szCs w:val="22"/>
        </w:rPr>
        <w:t>_________</w:t>
      </w:r>
      <w:r w:rsidRPr="00F4009D">
        <w:rPr>
          <w:szCs w:val="22"/>
        </w:rPr>
        <w:t xml:space="preserve"> for fiscal year 2016-17, $</w:t>
      </w:r>
      <w:r>
        <w:rPr>
          <w:szCs w:val="22"/>
        </w:rPr>
        <w:t>_________</w:t>
      </w:r>
      <w:r w:rsidRPr="00F4009D">
        <w:rPr>
          <w:szCs w:val="22"/>
        </w:rPr>
        <w:t xml:space="preserve"> for fiscal year 2017-18, $</w:t>
      </w:r>
      <w:r w:rsidR="00A1482D">
        <w:rPr>
          <w:szCs w:val="22"/>
        </w:rPr>
        <w:t>709,146</w:t>
      </w:r>
      <w:r>
        <w:rPr>
          <w:szCs w:val="22"/>
        </w:rPr>
        <w:t xml:space="preserve"> </w:t>
      </w:r>
      <w:r w:rsidRPr="00F4009D">
        <w:rPr>
          <w:szCs w:val="22"/>
        </w:rPr>
        <w:t>for fiscal year 2018-19, $</w:t>
      </w:r>
      <w:r w:rsidR="00A1482D">
        <w:rPr>
          <w:szCs w:val="22"/>
        </w:rPr>
        <w:t>718,972</w:t>
      </w:r>
      <w:r>
        <w:rPr>
          <w:szCs w:val="22"/>
        </w:rPr>
        <w:t xml:space="preserve"> </w:t>
      </w:r>
      <w:r w:rsidRPr="00F4009D">
        <w:rPr>
          <w:szCs w:val="22"/>
        </w:rPr>
        <w:t>for fiscal year 2019-20 and $</w:t>
      </w:r>
      <w:r w:rsidR="00A1482D">
        <w:rPr>
          <w:szCs w:val="22"/>
        </w:rPr>
        <w:t>409,505</w:t>
      </w:r>
      <w:r>
        <w:rPr>
          <w:szCs w:val="22"/>
        </w:rPr>
        <w:t xml:space="preserve"> </w:t>
      </w:r>
      <w:r w:rsidRPr="00F4009D">
        <w:rPr>
          <w:szCs w:val="22"/>
        </w:rPr>
        <w:t xml:space="preserve">for fiscal year 2020-21. </w:t>
      </w:r>
      <w:r>
        <w:rPr>
          <w:szCs w:val="22"/>
        </w:rPr>
        <w:t xml:space="preserve">Encore </w:t>
      </w:r>
      <w:r w:rsidRPr="00F4009D">
        <w:rPr>
          <w:szCs w:val="22"/>
        </w:rPr>
        <w:t xml:space="preserve">has budgeted its contribution to </w:t>
      </w:r>
      <w:r>
        <w:rPr>
          <w:szCs w:val="22"/>
        </w:rPr>
        <w:t xml:space="preserve">PERS </w:t>
      </w:r>
      <w:r w:rsidRPr="00F4009D">
        <w:rPr>
          <w:szCs w:val="22"/>
        </w:rPr>
        <w:t>to be $</w:t>
      </w:r>
      <w:r>
        <w:rPr>
          <w:szCs w:val="22"/>
        </w:rPr>
        <w:t xml:space="preserve">_________ </w:t>
      </w:r>
      <w:r w:rsidRPr="00F4009D">
        <w:rPr>
          <w:szCs w:val="22"/>
        </w:rPr>
        <w:t xml:space="preserve">for fiscal year 2021-22. </w:t>
      </w:r>
    </w:p>
    <w:p w14:paraId="66C6BADD" w14:textId="77777777" w:rsidR="00F4009D" w:rsidRPr="00F4009D" w:rsidRDefault="00F4009D" w:rsidP="00F4009D">
      <w:pPr>
        <w:spacing w:after="240"/>
        <w:ind w:firstLine="720"/>
        <w:jc w:val="both"/>
        <w:rPr>
          <w:szCs w:val="22"/>
        </w:rPr>
      </w:pPr>
      <w:r w:rsidRPr="00F4009D">
        <w:rPr>
          <w:b/>
          <w:i/>
          <w:szCs w:val="22"/>
        </w:rPr>
        <w:t>State Pension Trusts.</w:t>
      </w:r>
      <w:r w:rsidRPr="00F4009D">
        <w:rPr>
          <w:szCs w:val="22"/>
        </w:rPr>
        <w:t xml:space="preserve">  Each of STRS and PERS issues a separate comprehensive financial report that includes financial statements and required supplemental information.  Copies of such financial reports may be obtained from each of STRS and PERS as follows: (i) STRS, P.O. Box 15275, Sacramento, California 95851-0275; (ii) PERS, P.O. Box 942703, Sacramento, California 94229-2703.  Moreover, each of STRS and PERS maintains a website, as follows: (i) STRS: </w:t>
      </w:r>
      <w:hyperlink r:id="rId16" w:history="1">
        <w:r w:rsidRPr="00F4009D">
          <w:rPr>
            <w:color w:val="0000FF"/>
            <w:szCs w:val="22"/>
            <w:u w:val="single"/>
          </w:rPr>
          <w:t>www.calstrs.com</w:t>
        </w:r>
      </w:hyperlink>
      <w:r w:rsidRPr="00F4009D">
        <w:rPr>
          <w:szCs w:val="22"/>
        </w:rPr>
        <w:t xml:space="preserve">; (ii) PERS: </w:t>
      </w:r>
      <w:hyperlink r:id="rId17" w:history="1">
        <w:r w:rsidRPr="00F4009D">
          <w:rPr>
            <w:color w:val="0000FF"/>
            <w:szCs w:val="22"/>
            <w:u w:val="single"/>
          </w:rPr>
          <w:t>www.calpers.ca.gov</w:t>
        </w:r>
      </w:hyperlink>
      <w:r w:rsidRPr="00F4009D">
        <w:rPr>
          <w:szCs w:val="22"/>
        </w:rPr>
        <w:t xml:space="preserve">.  However, the </w:t>
      </w:r>
      <w:r w:rsidRPr="00F4009D">
        <w:rPr>
          <w:szCs w:val="22"/>
        </w:rPr>
        <w:lastRenderedPageBreak/>
        <w:t xml:space="preserve">information presented in such financial reports or on such websites is not incorporated into this Limited Offering Memorandum by any reference.  </w:t>
      </w:r>
    </w:p>
    <w:p w14:paraId="70FB9044" w14:textId="77777777" w:rsidR="00F4009D" w:rsidRPr="00F4009D" w:rsidRDefault="00F4009D" w:rsidP="00F4009D">
      <w:pPr>
        <w:spacing w:after="120"/>
        <w:ind w:firstLine="720"/>
        <w:jc w:val="both"/>
        <w:rPr>
          <w:szCs w:val="22"/>
        </w:rPr>
      </w:pPr>
      <w:r w:rsidRPr="00F4009D">
        <w:rPr>
          <w:szCs w:val="22"/>
        </w:rPr>
        <w:t>Both STRS and PERS have substantial statewide unfunded liabilities.  The amount of these unfunded liabilities will vary depending on actuarial assumptions, returns on investments, salary scales and participant contributions.  The following table summarizes information regarding the actuarially</w:t>
      </w:r>
      <w:r w:rsidRPr="00F4009D">
        <w:rPr>
          <w:szCs w:val="22"/>
        </w:rPr>
        <w:noBreakHyphen/>
        <w:t>determined accrued liability for both STRS and PERS.  Actuarial assessments are “forward-looking” information that reflect the judgment of the fiduciaries of the pension plans, and are based upon a variety of assumptions, one or more of which may not materialize or be changed in the future.  Actuarial assessments will change with the future experience of the pension plans.</w:t>
      </w:r>
    </w:p>
    <w:p w14:paraId="7DDA74B0" w14:textId="77777777" w:rsidR="00F4009D" w:rsidRPr="00F4009D" w:rsidRDefault="00F4009D" w:rsidP="00F4009D">
      <w:pPr>
        <w:spacing w:after="120"/>
        <w:jc w:val="center"/>
        <w:rPr>
          <w:b/>
          <w:color w:val="000000"/>
          <w:szCs w:val="22"/>
        </w:rPr>
      </w:pPr>
      <w:r w:rsidRPr="00F4009D">
        <w:rPr>
          <w:szCs w:val="22"/>
        </w:rPr>
        <w:t>[REMAINDER OF PAGE LEFT BLANK]</w:t>
      </w:r>
    </w:p>
    <w:p w14:paraId="40BB8B09" w14:textId="77777777" w:rsidR="00F4009D" w:rsidRPr="00F4009D" w:rsidRDefault="00F4009D" w:rsidP="00F4009D">
      <w:pPr>
        <w:keepNext/>
        <w:keepLines/>
        <w:jc w:val="center"/>
        <w:rPr>
          <w:b/>
          <w:color w:val="000000"/>
          <w:sz w:val="20"/>
        </w:rPr>
      </w:pPr>
      <w:r w:rsidRPr="00F4009D">
        <w:rPr>
          <w:b/>
          <w:color w:val="000000"/>
          <w:sz w:val="20"/>
        </w:rPr>
        <w:lastRenderedPageBreak/>
        <w:t>FUNDED STATUS</w:t>
      </w:r>
    </w:p>
    <w:p w14:paraId="75D19EED" w14:textId="77777777" w:rsidR="00F4009D" w:rsidRPr="00F4009D" w:rsidRDefault="00F4009D" w:rsidP="00F4009D">
      <w:pPr>
        <w:keepNext/>
        <w:keepLines/>
        <w:jc w:val="center"/>
        <w:rPr>
          <w:b/>
          <w:color w:val="000000"/>
          <w:sz w:val="20"/>
        </w:rPr>
      </w:pPr>
      <w:r w:rsidRPr="00F4009D">
        <w:rPr>
          <w:b/>
          <w:color w:val="000000"/>
          <w:sz w:val="20"/>
        </w:rPr>
        <w:t>STRS (Defined Benefit Program) and PERS (Schools Pool)</w:t>
      </w:r>
    </w:p>
    <w:p w14:paraId="05CACEF4" w14:textId="77777777" w:rsidR="00F4009D" w:rsidRPr="00F4009D" w:rsidRDefault="00F4009D" w:rsidP="00F4009D">
      <w:pPr>
        <w:keepNext/>
        <w:keepLines/>
        <w:spacing w:after="120"/>
        <w:jc w:val="center"/>
        <w:rPr>
          <w:b/>
          <w:color w:val="000000"/>
          <w:sz w:val="20"/>
        </w:rPr>
      </w:pPr>
      <w:r w:rsidRPr="00F4009D">
        <w:rPr>
          <w:b/>
          <w:color w:val="000000"/>
          <w:sz w:val="20"/>
        </w:rPr>
        <w:t>(Dollar Amounts in Millions)</w:t>
      </w:r>
      <w:r w:rsidRPr="00F4009D">
        <w:rPr>
          <w:color w:val="000000"/>
          <w:sz w:val="20"/>
          <w:vertAlign w:val="superscript"/>
        </w:rPr>
        <w:t xml:space="preserve"> </w:t>
      </w:r>
      <w:r w:rsidRPr="00F4009D">
        <w:rPr>
          <w:b/>
          <w:color w:val="000000"/>
          <w:sz w:val="20"/>
          <w:vertAlign w:val="superscript"/>
        </w:rPr>
        <w:t>(1)</w:t>
      </w:r>
      <w:r w:rsidRPr="00F4009D">
        <w:rPr>
          <w:b/>
          <w:color w:val="000000"/>
          <w:sz w:val="20"/>
          <w:vertAlign w:val="superscript"/>
        </w:rPr>
        <w:br/>
      </w:r>
      <w:r w:rsidRPr="00F4009D">
        <w:rPr>
          <w:b/>
          <w:color w:val="000000"/>
          <w:sz w:val="20"/>
        </w:rPr>
        <w:t>Fiscal Years 2010-11 through 2019-20</w:t>
      </w:r>
    </w:p>
    <w:tbl>
      <w:tblPr>
        <w:tblW w:w="6408" w:type="dxa"/>
        <w:jc w:val="center"/>
        <w:tblLayout w:type="fixed"/>
        <w:tblCellMar>
          <w:left w:w="36" w:type="dxa"/>
          <w:right w:w="36" w:type="dxa"/>
        </w:tblCellMar>
        <w:tblLook w:val="06A0" w:firstRow="1" w:lastRow="0" w:firstColumn="1" w:lastColumn="0" w:noHBand="1" w:noVBand="1"/>
      </w:tblPr>
      <w:tblGrid>
        <w:gridCol w:w="960"/>
        <w:gridCol w:w="1058"/>
        <w:gridCol w:w="1059"/>
        <w:gridCol w:w="1169"/>
        <w:gridCol w:w="1059"/>
        <w:gridCol w:w="1103"/>
      </w:tblGrid>
      <w:tr w:rsidR="00F4009D" w:rsidRPr="00F4009D" w14:paraId="473521FB" w14:textId="77777777" w:rsidTr="00C634FA">
        <w:trPr>
          <w:cantSplit/>
          <w:jc w:val="center"/>
        </w:trPr>
        <w:tc>
          <w:tcPr>
            <w:tcW w:w="6408" w:type="dxa"/>
            <w:gridSpan w:val="6"/>
            <w:vAlign w:val="bottom"/>
            <w:hideMark/>
          </w:tcPr>
          <w:p w14:paraId="50722CFF" w14:textId="77777777" w:rsidR="00F4009D" w:rsidRPr="00F4009D" w:rsidRDefault="00F4009D" w:rsidP="00F4009D">
            <w:pPr>
              <w:keepNext/>
              <w:keepLines/>
              <w:widowControl w:val="0"/>
              <w:suppressAutoHyphens/>
              <w:jc w:val="center"/>
              <w:rPr>
                <w:b/>
                <w:snapToGrid w:val="0"/>
                <w:sz w:val="19"/>
                <w:szCs w:val="19"/>
                <w:u w:val="single"/>
              </w:rPr>
            </w:pPr>
            <w:r w:rsidRPr="00F4009D">
              <w:rPr>
                <w:b/>
                <w:snapToGrid w:val="0"/>
                <w:sz w:val="19"/>
                <w:szCs w:val="19"/>
                <w:u w:val="single"/>
              </w:rPr>
              <w:t>STRS</w:t>
            </w:r>
          </w:p>
        </w:tc>
      </w:tr>
      <w:tr w:rsidR="00F4009D" w:rsidRPr="00F4009D" w14:paraId="7A736277" w14:textId="77777777" w:rsidTr="00C634FA">
        <w:trPr>
          <w:cantSplit/>
          <w:jc w:val="center"/>
        </w:trPr>
        <w:tc>
          <w:tcPr>
            <w:tcW w:w="960" w:type="dxa"/>
            <w:vAlign w:val="bottom"/>
            <w:hideMark/>
          </w:tcPr>
          <w:p w14:paraId="5C6570E0"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Fiscal</w:t>
            </w:r>
          </w:p>
          <w:p w14:paraId="3AA82149" w14:textId="77777777" w:rsidR="00F4009D" w:rsidRPr="00F4009D" w:rsidRDefault="00F4009D" w:rsidP="00F4009D">
            <w:pPr>
              <w:keepNext/>
              <w:keepLines/>
              <w:widowControl w:val="0"/>
              <w:suppressAutoHyphens/>
              <w:jc w:val="center"/>
              <w:rPr>
                <w:b/>
                <w:snapToGrid w:val="0"/>
                <w:sz w:val="19"/>
                <w:szCs w:val="19"/>
                <w:u w:val="single"/>
              </w:rPr>
            </w:pPr>
            <w:r w:rsidRPr="00F4009D">
              <w:rPr>
                <w:b/>
                <w:snapToGrid w:val="0"/>
                <w:sz w:val="19"/>
                <w:szCs w:val="19"/>
                <w:u w:val="single"/>
              </w:rPr>
              <w:t>Year</w:t>
            </w:r>
          </w:p>
        </w:tc>
        <w:tc>
          <w:tcPr>
            <w:tcW w:w="1058" w:type="dxa"/>
            <w:vAlign w:val="bottom"/>
            <w:hideMark/>
          </w:tcPr>
          <w:p w14:paraId="5F11B42D" w14:textId="77777777" w:rsidR="00F4009D" w:rsidRPr="00F4009D" w:rsidRDefault="00F4009D" w:rsidP="00F4009D">
            <w:pPr>
              <w:keepNext/>
              <w:keepLines/>
              <w:widowControl w:val="0"/>
              <w:suppressAutoHyphens/>
              <w:jc w:val="center"/>
              <w:rPr>
                <w:b/>
                <w:snapToGrid w:val="0"/>
                <w:sz w:val="19"/>
                <w:szCs w:val="19"/>
                <w:u w:val="single"/>
              </w:rPr>
            </w:pPr>
            <w:r w:rsidRPr="00F4009D">
              <w:rPr>
                <w:b/>
                <w:color w:val="000000"/>
                <w:sz w:val="19"/>
                <w:szCs w:val="19"/>
              </w:rPr>
              <w:t>Accrued</w:t>
            </w:r>
            <w:r w:rsidRPr="00F4009D">
              <w:rPr>
                <w:b/>
                <w:color w:val="000000"/>
                <w:sz w:val="19"/>
                <w:szCs w:val="19"/>
                <w:u w:val="single"/>
              </w:rPr>
              <w:t xml:space="preserve"> Liability</w:t>
            </w:r>
          </w:p>
        </w:tc>
        <w:tc>
          <w:tcPr>
            <w:tcW w:w="1059" w:type="dxa"/>
            <w:hideMark/>
          </w:tcPr>
          <w:p w14:paraId="453A0733" w14:textId="77777777" w:rsidR="00F4009D" w:rsidRPr="00F4009D" w:rsidRDefault="00F4009D" w:rsidP="00F4009D">
            <w:pPr>
              <w:keepNext/>
              <w:keepLines/>
              <w:spacing w:before="60"/>
              <w:jc w:val="center"/>
              <w:rPr>
                <w:b/>
                <w:sz w:val="19"/>
                <w:szCs w:val="19"/>
              </w:rPr>
            </w:pPr>
            <w:r w:rsidRPr="00F4009D">
              <w:rPr>
                <w:b/>
                <w:sz w:val="19"/>
                <w:szCs w:val="19"/>
              </w:rPr>
              <w:t>Value of Trust</w:t>
            </w:r>
          </w:p>
          <w:p w14:paraId="5E331C19" w14:textId="77777777" w:rsidR="00F4009D" w:rsidRPr="00F4009D" w:rsidRDefault="00F4009D" w:rsidP="00F4009D">
            <w:pPr>
              <w:keepNext/>
              <w:keepLines/>
              <w:widowControl w:val="0"/>
              <w:autoSpaceDE w:val="0"/>
              <w:autoSpaceDN w:val="0"/>
              <w:adjustRightInd w:val="0"/>
              <w:jc w:val="center"/>
              <w:rPr>
                <w:b/>
                <w:sz w:val="19"/>
                <w:szCs w:val="19"/>
              </w:rPr>
            </w:pPr>
            <w:r w:rsidRPr="00F4009D">
              <w:rPr>
                <w:b/>
                <w:sz w:val="19"/>
                <w:szCs w:val="19"/>
              </w:rPr>
              <w:t>Assets</w:t>
            </w:r>
          </w:p>
          <w:p w14:paraId="69C9CC7D" w14:textId="77777777" w:rsidR="00F4009D" w:rsidRPr="00F4009D" w:rsidRDefault="00F4009D" w:rsidP="00F4009D">
            <w:pPr>
              <w:keepNext/>
              <w:keepLines/>
              <w:widowControl w:val="0"/>
              <w:autoSpaceDE w:val="0"/>
              <w:autoSpaceDN w:val="0"/>
              <w:adjustRightInd w:val="0"/>
              <w:jc w:val="center"/>
              <w:rPr>
                <w:b/>
                <w:sz w:val="19"/>
                <w:szCs w:val="19"/>
              </w:rPr>
            </w:pPr>
            <w:r w:rsidRPr="00F4009D">
              <w:rPr>
                <w:b/>
                <w:sz w:val="19"/>
                <w:szCs w:val="19"/>
              </w:rPr>
              <w:t xml:space="preserve">   </w:t>
            </w:r>
            <w:r w:rsidRPr="00F4009D">
              <w:rPr>
                <w:b/>
                <w:sz w:val="19"/>
                <w:szCs w:val="19"/>
                <w:u w:val="single"/>
              </w:rPr>
              <w:t>(MVA)</w:t>
            </w:r>
            <w:r w:rsidRPr="00F4009D">
              <w:rPr>
                <w:b/>
                <w:color w:val="000000"/>
                <w:sz w:val="19"/>
                <w:szCs w:val="19"/>
                <w:vertAlign w:val="superscript"/>
              </w:rPr>
              <w:t>(2)</w:t>
            </w:r>
          </w:p>
        </w:tc>
        <w:tc>
          <w:tcPr>
            <w:tcW w:w="1169" w:type="dxa"/>
            <w:vAlign w:val="bottom"/>
            <w:hideMark/>
          </w:tcPr>
          <w:p w14:paraId="7DB6B657" w14:textId="77777777" w:rsidR="00F4009D" w:rsidRPr="00F4009D" w:rsidRDefault="00F4009D" w:rsidP="00F4009D">
            <w:pPr>
              <w:keepNext/>
              <w:keepLines/>
              <w:widowControl w:val="0"/>
              <w:suppressAutoHyphens/>
              <w:ind w:right="-36"/>
              <w:jc w:val="center"/>
              <w:rPr>
                <w:b/>
                <w:snapToGrid w:val="0"/>
                <w:sz w:val="19"/>
                <w:szCs w:val="19"/>
              </w:rPr>
            </w:pPr>
            <w:r w:rsidRPr="00F4009D">
              <w:rPr>
                <w:b/>
                <w:snapToGrid w:val="0"/>
                <w:sz w:val="19"/>
                <w:szCs w:val="19"/>
              </w:rPr>
              <w:t xml:space="preserve">Unfunded </w:t>
            </w:r>
          </w:p>
          <w:p w14:paraId="657E2D20" w14:textId="77777777" w:rsidR="00F4009D" w:rsidRPr="00F4009D" w:rsidRDefault="00F4009D" w:rsidP="00F4009D">
            <w:pPr>
              <w:keepNext/>
              <w:keepLines/>
              <w:widowControl w:val="0"/>
              <w:suppressAutoHyphens/>
              <w:ind w:right="-36"/>
              <w:jc w:val="center"/>
              <w:rPr>
                <w:b/>
                <w:snapToGrid w:val="0"/>
                <w:sz w:val="19"/>
                <w:szCs w:val="19"/>
              </w:rPr>
            </w:pPr>
            <w:r w:rsidRPr="00F4009D">
              <w:rPr>
                <w:b/>
                <w:snapToGrid w:val="0"/>
                <w:sz w:val="19"/>
                <w:szCs w:val="19"/>
              </w:rPr>
              <w:t>Liability</w:t>
            </w:r>
          </w:p>
          <w:p w14:paraId="349618D7" w14:textId="77777777" w:rsidR="00F4009D" w:rsidRPr="00F4009D" w:rsidRDefault="00F4009D" w:rsidP="00F4009D">
            <w:pPr>
              <w:keepNext/>
              <w:keepLines/>
              <w:widowControl w:val="0"/>
              <w:suppressAutoHyphens/>
              <w:ind w:right="-36"/>
              <w:jc w:val="center"/>
              <w:rPr>
                <w:b/>
                <w:snapToGrid w:val="0"/>
                <w:sz w:val="19"/>
                <w:szCs w:val="19"/>
                <w:u w:val="single"/>
              </w:rPr>
            </w:pPr>
            <w:r w:rsidRPr="00F4009D">
              <w:rPr>
                <w:b/>
                <w:snapToGrid w:val="0"/>
                <w:sz w:val="19"/>
                <w:szCs w:val="19"/>
              </w:rPr>
              <w:t xml:space="preserve">  </w:t>
            </w:r>
            <w:r w:rsidRPr="00F4009D">
              <w:rPr>
                <w:b/>
                <w:snapToGrid w:val="0"/>
                <w:sz w:val="19"/>
                <w:szCs w:val="19"/>
                <w:u w:val="single"/>
              </w:rPr>
              <w:t>(MVA)</w:t>
            </w:r>
            <w:r w:rsidRPr="00F4009D">
              <w:rPr>
                <w:b/>
                <w:color w:val="000000"/>
                <w:sz w:val="19"/>
                <w:szCs w:val="19"/>
                <w:vertAlign w:val="superscript"/>
              </w:rPr>
              <w:t>(2)</w:t>
            </w:r>
          </w:p>
        </w:tc>
        <w:tc>
          <w:tcPr>
            <w:tcW w:w="1059" w:type="dxa"/>
            <w:vAlign w:val="bottom"/>
            <w:hideMark/>
          </w:tcPr>
          <w:p w14:paraId="7D43BF60" w14:textId="77777777" w:rsidR="00F4009D" w:rsidRPr="00F4009D" w:rsidRDefault="00F4009D" w:rsidP="00F4009D">
            <w:pPr>
              <w:keepNext/>
              <w:keepLines/>
              <w:spacing w:before="60"/>
              <w:jc w:val="center"/>
              <w:rPr>
                <w:b/>
                <w:sz w:val="19"/>
                <w:szCs w:val="19"/>
              </w:rPr>
            </w:pPr>
            <w:r w:rsidRPr="00F4009D">
              <w:rPr>
                <w:b/>
                <w:sz w:val="19"/>
                <w:szCs w:val="19"/>
              </w:rPr>
              <w:t>Value of Trust</w:t>
            </w:r>
          </w:p>
          <w:p w14:paraId="2B11CCD3" w14:textId="77777777" w:rsidR="00F4009D" w:rsidRPr="00F4009D" w:rsidRDefault="00F4009D" w:rsidP="00F4009D">
            <w:pPr>
              <w:keepNext/>
              <w:keepLines/>
              <w:widowControl w:val="0"/>
              <w:autoSpaceDE w:val="0"/>
              <w:autoSpaceDN w:val="0"/>
              <w:adjustRightInd w:val="0"/>
              <w:jc w:val="center"/>
              <w:rPr>
                <w:b/>
                <w:sz w:val="19"/>
                <w:szCs w:val="19"/>
              </w:rPr>
            </w:pPr>
            <w:r w:rsidRPr="00F4009D">
              <w:rPr>
                <w:b/>
                <w:sz w:val="19"/>
                <w:szCs w:val="19"/>
              </w:rPr>
              <w:t>Assets</w:t>
            </w:r>
          </w:p>
          <w:p w14:paraId="64EB735F" w14:textId="77777777" w:rsidR="00F4009D" w:rsidRPr="00F4009D" w:rsidRDefault="00F4009D" w:rsidP="00F4009D">
            <w:pPr>
              <w:keepNext/>
              <w:keepLines/>
              <w:widowControl w:val="0"/>
              <w:suppressAutoHyphens/>
              <w:jc w:val="center"/>
              <w:rPr>
                <w:b/>
                <w:snapToGrid w:val="0"/>
                <w:sz w:val="19"/>
                <w:szCs w:val="19"/>
                <w:u w:val="single"/>
              </w:rPr>
            </w:pPr>
            <w:r w:rsidRPr="00F4009D">
              <w:rPr>
                <w:b/>
                <w:sz w:val="19"/>
                <w:szCs w:val="19"/>
              </w:rPr>
              <w:t xml:space="preserve">   </w:t>
            </w:r>
            <w:r w:rsidRPr="00F4009D">
              <w:rPr>
                <w:b/>
                <w:sz w:val="19"/>
                <w:szCs w:val="19"/>
                <w:u w:val="single"/>
              </w:rPr>
              <w:t>(AVA)</w:t>
            </w:r>
            <w:r w:rsidRPr="00F4009D">
              <w:rPr>
                <w:b/>
                <w:color w:val="000000"/>
                <w:sz w:val="19"/>
                <w:szCs w:val="19"/>
                <w:vertAlign w:val="superscript"/>
              </w:rPr>
              <w:t>(3)</w:t>
            </w:r>
          </w:p>
        </w:tc>
        <w:tc>
          <w:tcPr>
            <w:tcW w:w="1103" w:type="dxa"/>
            <w:vAlign w:val="bottom"/>
            <w:hideMark/>
          </w:tcPr>
          <w:p w14:paraId="37B5F09C"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 xml:space="preserve">Unfunded </w:t>
            </w:r>
          </w:p>
          <w:p w14:paraId="59DC5621"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Liability</w:t>
            </w:r>
          </w:p>
          <w:p w14:paraId="74E1186F" w14:textId="77777777" w:rsidR="00F4009D" w:rsidRPr="00F4009D" w:rsidRDefault="00F4009D" w:rsidP="00F4009D">
            <w:pPr>
              <w:keepNext/>
              <w:keepLines/>
              <w:widowControl w:val="0"/>
              <w:suppressAutoHyphens/>
              <w:jc w:val="center"/>
              <w:rPr>
                <w:b/>
                <w:snapToGrid w:val="0"/>
                <w:sz w:val="19"/>
                <w:szCs w:val="19"/>
                <w:u w:val="single"/>
              </w:rPr>
            </w:pPr>
            <w:r w:rsidRPr="00F4009D">
              <w:rPr>
                <w:b/>
                <w:snapToGrid w:val="0"/>
                <w:sz w:val="19"/>
                <w:szCs w:val="19"/>
              </w:rPr>
              <w:t xml:space="preserve">   </w:t>
            </w:r>
            <w:r w:rsidRPr="00F4009D">
              <w:rPr>
                <w:b/>
                <w:snapToGrid w:val="0"/>
                <w:sz w:val="19"/>
                <w:szCs w:val="19"/>
                <w:u w:val="single"/>
              </w:rPr>
              <w:t>(AVA)</w:t>
            </w:r>
            <w:r w:rsidRPr="00F4009D">
              <w:rPr>
                <w:b/>
                <w:color w:val="000000"/>
                <w:sz w:val="19"/>
                <w:szCs w:val="19"/>
                <w:vertAlign w:val="superscript"/>
              </w:rPr>
              <w:t>(3)</w:t>
            </w:r>
          </w:p>
        </w:tc>
      </w:tr>
      <w:tr w:rsidR="00F4009D" w:rsidRPr="00F4009D" w14:paraId="38D4A022" w14:textId="77777777" w:rsidTr="00C634FA">
        <w:trPr>
          <w:cantSplit/>
          <w:jc w:val="center"/>
        </w:trPr>
        <w:tc>
          <w:tcPr>
            <w:tcW w:w="960" w:type="dxa"/>
            <w:vAlign w:val="bottom"/>
            <w:hideMark/>
          </w:tcPr>
          <w:p w14:paraId="37957115" w14:textId="77777777" w:rsidR="00F4009D" w:rsidRPr="00F4009D" w:rsidRDefault="00F4009D" w:rsidP="00F4009D">
            <w:pPr>
              <w:keepNext/>
              <w:keepLines/>
              <w:widowControl w:val="0"/>
              <w:suppressAutoHyphens/>
              <w:spacing w:before="60"/>
              <w:ind w:right="-30"/>
              <w:jc w:val="center"/>
              <w:rPr>
                <w:snapToGrid w:val="0"/>
                <w:sz w:val="19"/>
                <w:szCs w:val="19"/>
              </w:rPr>
            </w:pPr>
            <w:r w:rsidRPr="00F4009D">
              <w:rPr>
                <w:snapToGrid w:val="0"/>
                <w:sz w:val="19"/>
                <w:szCs w:val="19"/>
              </w:rPr>
              <w:t>2010-11</w:t>
            </w:r>
          </w:p>
        </w:tc>
        <w:tc>
          <w:tcPr>
            <w:tcW w:w="1058" w:type="dxa"/>
            <w:hideMark/>
          </w:tcPr>
          <w:p w14:paraId="7B200439" w14:textId="77777777" w:rsidR="00F4009D" w:rsidRPr="00F4009D" w:rsidRDefault="00F4009D" w:rsidP="00F4009D">
            <w:pPr>
              <w:keepNext/>
              <w:keepLines/>
              <w:widowControl w:val="0"/>
              <w:tabs>
                <w:tab w:val="decimal" w:pos="-918"/>
              </w:tabs>
              <w:spacing w:before="60"/>
              <w:ind w:right="161"/>
              <w:jc w:val="right"/>
              <w:rPr>
                <w:snapToGrid w:val="0"/>
                <w:color w:val="000000"/>
                <w:sz w:val="19"/>
                <w:szCs w:val="19"/>
              </w:rPr>
            </w:pPr>
            <w:r w:rsidRPr="00F4009D">
              <w:rPr>
                <w:snapToGrid w:val="0"/>
                <w:color w:val="000000"/>
                <w:sz w:val="19"/>
                <w:szCs w:val="19"/>
              </w:rPr>
              <w:t>$208,405</w:t>
            </w:r>
          </w:p>
        </w:tc>
        <w:tc>
          <w:tcPr>
            <w:tcW w:w="1059" w:type="dxa"/>
            <w:hideMark/>
          </w:tcPr>
          <w:p w14:paraId="164EF77F" w14:textId="77777777" w:rsidR="00F4009D" w:rsidRPr="00F4009D" w:rsidRDefault="00F4009D" w:rsidP="00F4009D">
            <w:pPr>
              <w:keepNext/>
              <w:keepLines/>
              <w:widowControl w:val="0"/>
              <w:tabs>
                <w:tab w:val="decimal" w:pos="-896"/>
              </w:tabs>
              <w:spacing w:before="60"/>
              <w:ind w:right="161"/>
              <w:jc w:val="right"/>
              <w:rPr>
                <w:snapToGrid w:val="0"/>
                <w:color w:val="000000"/>
                <w:sz w:val="19"/>
                <w:szCs w:val="19"/>
              </w:rPr>
            </w:pPr>
            <w:r w:rsidRPr="00F4009D">
              <w:rPr>
                <w:snapToGrid w:val="0"/>
                <w:color w:val="000000"/>
                <w:sz w:val="19"/>
                <w:szCs w:val="19"/>
              </w:rPr>
              <w:t>$147,140</w:t>
            </w:r>
          </w:p>
        </w:tc>
        <w:tc>
          <w:tcPr>
            <w:tcW w:w="1169" w:type="dxa"/>
            <w:hideMark/>
          </w:tcPr>
          <w:p w14:paraId="6E796F1E" w14:textId="77777777" w:rsidR="00F4009D" w:rsidRPr="00F4009D" w:rsidRDefault="00F4009D" w:rsidP="00F4009D">
            <w:pPr>
              <w:keepNext/>
              <w:keepLines/>
              <w:widowControl w:val="0"/>
              <w:tabs>
                <w:tab w:val="decimal" w:pos="-896"/>
              </w:tabs>
              <w:spacing w:before="60"/>
              <w:ind w:left="-218" w:right="250"/>
              <w:jc w:val="right"/>
              <w:rPr>
                <w:snapToGrid w:val="0"/>
                <w:color w:val="000000"/>
                <w:sz w:val="19"/>
                <w:szCs w:val="19"/>
              </w:rPr>
            </w:pPr>
            <w:r w:rsidRPr="00F4009D">
              <w:rPr>
                <w:snapToGrid w:val="0"/>
                <w:color w:val="000000"/>
                <w:sz w:val="19"/>
                <w:szCs w:val="19"/>
              </w:rPr>
              <w:t>$68,365</w:t>
            </w:r>
          </w:p>
        </w:tc>
        <w:tc>
          <w:tcPr>
            <w:tcW w:w="1059" w:type="dxa"/>
            <w:hideMark/>
          </w:tcPr>
          <w:p w14:paraId="43A8C3A4" w14:textId="77777777" w:rsidR="00F4009D" w:rsidRPr="00F4009D" w:rsidRDefault="00F4009D" w:rsidP="00F4009D">
            <w:pPr>
              <w:keepNext/>
              <w:keepLines/>
              <w:widowControl w:val="0"/>
              <w:tabs>
                <w:tab w:val="decimal" w:pos="-896"/>
              </w:tabs>
              <w:spacing w:before="60"/>
              <w:ind w:right="161"/>
              <w:jc w:val="right"/>
              <w:rPr>
                <w:snapToGrid w:val="0"/>
                <w:color w:val="000000"/>
                <w:sz w:val="19"/>
                <w:szCs w:val="19"/>
              </w:rPr>
            </w:pPr>
            <w:r w:rsidRPr="00F4009D">
              <w:rPr>
                <w:snapToGrid w:val="0"/>
                <w:color w:val="000000"/>
                <w:sz w:val="19"/>
                <w:szCs w:val="19"/>
              </w:rPr>
              <w:t>$143,930</w:t>
            </w:r>
          </w:p>
        </w:tc>
        <w:tc>
          <w:tcPr>
            <w:tcW w:w="1103" w:type="dxa"/>
            <w:hideMark/>
          </w:tcPr>
          <w:p w14:paraId="3C663A3A" w14:textId="77777777" w:rsidR="00F4009D" w:rsidRPr="00F4009D" w:rsidRDefault="00F4009D" w:rsidP="00F4009D">
            <w:pPr>
              <w:keepNext/>
              <w:keepLines/>
              <w:widowControl w:val="0"/>
              <w:tabs>
                <w:tab w:val="decimal" w:pos="-896"/>
              </w:tabs>
              <w:spacing w:before="60"/>
              <w:ind w:right="161"/>
              <w:jc w:val="right"/>
              <w:rPr>
                <w:snapToGrid w:val="0"/>
                <w:color w:val="000000"/>
                <w:sz w:val="19"/>
                <w:szCs w:val="19"/>
              </w:rPr>
            </w:pPr>
            <w:r w:rsidRPr="00F4009D">
              <w:rPr>
                <w:snapToGrid w:val="0"/>
                <w:color w:val="000000"/>
                <w:sz w:val="19"/>
                <w:szCs w:val="19"/>
              </w:rPr>
              <w:t>$64,475</w:t>
            </w:r>
          </w:p>
        </w:tc>
      </w:tr>
      <w:tr w:rsidR="00F4009D" w:rsidRPr="00F4009D" w14:paraId="00EEFF37" w14:textId="77777777" w:rsidTr="00C634FA">
        <w:trPr>
          <w:cantSplit/>
          <w:jc w:val="center"/>
        </w:trPr>
        <w:tc>
          <w:tcPr>
            <w:tcW w:w="960" w:type="dxa"/>
            <w:vAlign w:val="bottom"/>
            <w:hideMark/>
          </w:tcPr>
          <w:p w14:paraId="501002C1"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2011-12</w:t>
            </w:r>
          </w:p>
        </w:tc>
        <w:tc>
          <w:tcPr>
            <w:tcW w:w="1058" w:type="dxa"/>
            <w:hideMark/>
          </w:tcPr>
          <w:p w14:paraId="11468E1E"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215,189</w:t>
            </w:r>
          </w:p>
        </w:tc>
        <w:tc>
          <w:tcPr>
            <w:tcW w:w="1059" w:type="dxa"/>
            <w:hideMark/>
          </w:tcPr>
          <w:p w14:paraId="5AC6CCDE"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143,118</w:t>
            </w:r>
          </w:p>
        </w:tc>
        <w:tc>
          <w:tcPr>
            <w:tcW w:w="1169" w:type="dxa"/>
            <w:hideMark/>
          </w:tcPr>
          <w:p w14:paraId="17AE54CA"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80,354</w:t>
            </w:r>
          </w:p>
        </w:tc>
        <w:tc>
          <w:tcPr>
            <w:tcW w:w="1059" w:type="dxa"/>
            <w:hideMark/>
          </w:tcPr>
          <w:p w14:paraId="15F791B1"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144,232</w:t>
            </w:r>
          </w:p>
        </w:tc>
        <w:tc>
          <w:tcPr>
            <w:tcW w:w="1103" w:type="dxa"/>
            <w:hideMark/>
          </w:tcPr>
          <w:p w14:paraId="559CF1A4"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70,957</w:t>
            </w:r>
          </w:p>
        </w:tc>
      </w:tr>
      <w:tr w:rsidR="00F4009D" w:rsidRPr="00F4009D" w14:paraId="4FEBAEBC" w14:textId="77777777" w:rsidTr="00C634FA">
        <w:trPr>
          <w:cantSplit/>
          <w:jc w:val="center"/>
        </w:trPr>
        <w:tc>
          <w:tcPr>
            <w:tcW w:w="960" w:type="dxa"/>
            <w:vAlign w:val="bottom"/>
            <w:hideMark/>
          </w:tcPr>
          <w:p w14:paraId="6BC1A444"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2012-13</w:t>
            </w:r>
          </w:p>
        </w:tc>
        <w:tc>
          <w:tcPr>
            <w:tcW w:w="1058" w:type="dxa"/>
            <w:hideMark/>
          </w:tcPr>
          <w:p w14:paraId="7EC7A2E3"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222,281</w:t>
            </w:r>
          </w:p>
        </w:tc>
        <w:tc>
          <w:tcPr>
            <w:tcW w:w="1059" w:type="dxa"/>
            <w:hideMark/>
          </w:tcPr>
          <w:p w14:paraId="4BC0D048"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157,176</w:t>
            </w:r>
          </w:p>
        </w:tc>
        <w:tc>
          <w:tcPr>
            <w:tcW w:w="1169" w:type="dxa"/>
            <w:hideMark/>
          </w:tcPr>
          <w:p w14:paraId="3F0330B3"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74,374</w:t>
            </w:r>
          </w:p>
        </w:tc>
        <w:tc>
          <w:tcPr>
            <w:tcW w:w="1059" w:type="dxa"/>
            <w:hideMark/>
          </w:tcPr>
          <w:p w14:paraId="787014FF"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148,614</w:t>
            </w:r>
          </w:p>
        </w:tc>
        <w:tc>
          <w:tcPr>
            <w:tcW w:w="1103" w:type="dxa"/>
            <w:hideMark/>
          </w:tcPr>
          <w:p w14:paraId="7EE26FE5"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73,667</w:t>
            </w:r>
          </w:p>
        </w:tc>
      </w:tr>
      <w:tr w:rsidR="00F4009D" w:rsidRPr="00F4009D" w14:paraId="4D977FE3" w14:textId="77777777" w:rsidTr="00C634FA">
        <w:trPr>
          <w:cantSplit/>
          <w:jc w:val="center"/>
        </w:trPr>
        <w:tc>
          <w:tcPr>
            <w:tcW w:w="960" w:type="dxa"/>
            <w:vAlign w:val="bottom"/>
            <w:hideMark/>
          </w:tcPr>
          <w:p w14:paraId="1F9B3698"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2013-14</w:t>
            </w:r>
          </w:p>
        </w:tc>
        <w:tc>
          <w:tcPr>
            <w:tcW w:w="1058" w:type="dxa"/>
            <w:hideMark/>
          </w:tcPr>
          <w:p w14:paraId="208A25F6"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231,213</w:t>
            </w:r>
          </w:p>
        </w:tc>
        <w:tc>
          <w:tcPr>
            <w:tcW w:w="1059" w:type="dxa"/>
            <w:hideMark/>
          </w:tcPr>
          <w:p w14:paraId="6EDEFF71"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179,749</w:t>
            </w:r>
          </w:p>
        </w:tc>
        <w:tc>
          <w:tcPr>
            <w:tcW w:w="1169" w:type="dxa"/>
            <w:hideMark/>
          </w:tcPr>
          <w:p w14:paraId="7BFA9147"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61,807</w:t>
            </w:r>
          </w:p>
        </w:tc>
        <w:tc>
          <w:tcPr>
            <w:tcW w:w="1059" w:type="dxa"/>
            <w:hideMark/>
          </w:tcPr>
          <w:p w14:paraId="56A43B1D"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158,495</w:t>
            </w:r>
          </w:p>
        </w:tc>
        <w:tc>
          <w:tcPr>
            <w:tcW w:w="1103" w:type="dxa"/>
            <w:hideMark/>
          </w:tcPr>
          <w:p w14:paraId="757CBE25"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72,718</w:t>
            </w:r>
          </w:p>
        </w:tc>
      </w:tr>
      <w:tr w:rsidR="00F4009D" w:rsidRPr="00F4009D" w14:paraId="38C3C4C1" w14:textId="77777777" w:rsidTr="00C634FA">
        <w:trPr>
          <w:cantSplit/>
          <w:jc w:val="center"/>
        </w:trPr>
        <w:tc>
          <w:tcPr>
            <w:tcW w:w="960" w:type="dxa"/>
            <w:vAlign w:val="bottom"/>
            <w:hideMark/>
          </w:tcPr>
          <w:p w14:paraId="4811F76A"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2014-15</w:t>
            </w:r>
          </w:p>
        </w:tc>
        <w:tc>
          <w:tcPr>
            <w:tcW w:w="1058" w:type="dxa"/>
            <w:hideMark/>
          </w:tcPr>
          <w:p w14:paraId="744D7013"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241,753</w:t>
            </w:r>
          </w:p>
        </w:tc>
        <w:tc>
          <w:tcPr>
            <w:tcW w:w="1059" w:type="dxa"/>
            <w:hideMark/>
          </w:tcPr>
          <w:p w14:paraId="59D18F8C"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180,633</w:t>
            </w:r>
          </w:p>
        </w:tc>
        <w:tc>
          <w:tcPr>
            <w:tcW w:w="1169" w:type="dxa"/>
            <w:hideMark/>
          </w:tcPr>
          <w:p w14:paraId="577CD76F"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72,626</w:t>
            </w:r>
          </w:p>
        </w:tc>
        <w:tc>
          <w:tcPr>
            <w:tcW w:w="1059" w:type="dxa"/>
            <w:hideMark/>
          </w:tcPr>
          <w:p w14:paraId="6B61948A"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165,553</w:t>
            </w:r>
          </w:p>
        </w:tc>
        <w:tc>
          <w:tcPr>
            <w:tcW w:w="1103" w:type="dxa"/>
            <w:hideMark/>
          </w:tcPr>
          <w:p w14:paraId="198C5C75"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76,200</w:t>
            </w:r>
          </w:p>
        </w:tc>
      </w:tr>
      <w:tr w:rsidR="00F4009D" w:rsidRPr="00F4009D" w14:paraId="191D365C" w14:textId="77777777" w:rsidTr="00C634FA">
        <w:trPr>
          <w:cantSplit/>
          <w:jc w:val="center"/>
        </w:trPr>
        <w:tc>
          <w:tcPr>
            <w:tcW w:w="960" w:type="dxa"/>
            <w:vAlign w:val="bottom"/>
            <w:hideMark/>
          </w:tcPr>
          <w:p w14:paraId="495FE832"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2015-16</w:t>
            </w:r>
          </w:p>
        </w:tc>
        <w:tc>
          <w:tcPr>
            <w:tcW w:w="1058" w:type="dxa"/>
            <w:hideMark/>
          </w:tcPr>
          <w:p w14:paraId="7F5B95F6"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266,704</w:t>
            </w:r>
          </w:p>
        </w:tc>
        <w:tc>
          <w:tcPr>
            <w:tcW w:w="1059" w:type="dxa"/>
            <w:hideMark/>
          </w:tcPr>
          <w:p w14:paraId="7794E95D"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177,914</w:t>
            </w:r>
          </w:p>
        </w:tc>
        <w:tc>
          <w:tcPr>
            <w:tcW w:w="1169" w:type="dxa"/>
            <w:hideMark/>
          </w:tcPr>
          <w:p w14:paraId="26C97D50"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101,586</w:t>
            </w:r>
          </w:p>
        </w:tc>
        <w:tc>
          <w:tcPr>
            <w:tcW w:w="1059" w:type="dxa"/>
            <w:hideMark/>
          </w:tcPr>
          <w:p w14:paraId="1AD92887"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169,976</w:t>
            </w:r>
          </w:p>
        </w:tc>
        <w:tc>
          <w:tcPr>
            <w:tcW w:w="1103" w:type="dxa"/>
            <w:hideMark/>
          </w:tcPr>
          <w:p w14:paraId="17F47AF1"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96,728</w:t>
            </w:r>
          </w:p>
        </w:tc>
      </w:tr>
      <w:tr w:rsidR="00F4009D" w:rsidRPr="00F4009D" w14:paraId="36081C8C" w14:textId="77777777" w:rsidTr="00C634FA">
        <w:trPr>
          <w:cantSplit/>
          <w:jc w:val="center"/>
        </w:trPr>
        <w:tc>
          <w:tcPr>
            <w:tcW w:w="960" w:type="dxa"/>
            <w:vAlign w:val="bottom"/>
          </w:tcPr>
          <w:p w14:paraId="10BB33DA"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2016-17</w:t>
            </w:r>
          </w:p>
        </w:tc>
        <w:tc>
          <w:tcPr>
            <w:tcW w:w="1058" w:type="dxa"/>
          </w:tcPr>
          <w:p w14:paraId="78C0F028"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286,950</w:t>
            </w:r>
          </w:p>
        </w:tc>
        <w:tc>
          <w:tcPr>
            <w:tcW w:w="1059" w:type="dxa"/>
          </w:tcPr>
          <w:p w14:paraId="1CCA370E"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197,718</w:t>
            </w:r>
          </w:p>
        </w:tc>
        <w:tc>
          <w:tcPr>
            <w:tcW w:w="1169" w:type="dxa"/>
          </w:tcPr>
          <w:p w14:paraId="14AEC5C4"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103,468</w:t>
            </w:r>
          </w:p>
        </w:tc>
        <w:tc>
          <w:tcPr>
            <w:tcW w:w="1059" w:type="dxa"/>
          </w:tcPr>
          <w:p w14:paraId="0FE5B417"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179,689</w:t>
            </w:r>
          </w:p>
        </w:tc>
        <w:tc>
          <w:tcPr>
            <w:tcW w:w="1103" w:type="dxa"/>
          </w:tcPr>
          <w:p w14:paraId="7A3A9F8F"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107,261</w:t>
            </w:r>
          </w:p>
        </w:tc>
      </w:tr>
      <w:tr w:rsidR="00F4009D" w:rsidRPr="00F4009D" w14:paraId="0DB22B7E" w14:textId="77777777" w:rsidTr="00C634FA">
        <w:trPr>
          <w:cantSplit/>
          <w:jc w:val="center"/>
        </w:trPr>
        <w:tc>
          <w:tcPr>
            <w:tcW w:w="960" w:type="dxa"/>
            <w:vAlign w:val="bottom"/>
          </w:tcPr>
          <w:p w14:paraId="703BFA67"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2017-18</w:t>
            </w:r>
          </w:p>
        </w:tc>
        <w:tc>
          <w:tcPr>
            <w:tcW w:w="1058" w:type="dxa"/>
          </w:tcPr>
          <w:p w14:paraId="48022F90"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297,603</w:t>
            </w:r>
          </w:p>
        </w:tc>
        <w:tc>
          <w:tcPr>
            <w:tcW w:w="1059" w:type="dxa"/>
          </w:tcPr>
          <w:p w14:paraId="16E781C1"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211,367</w:t>
            </w:r>
          </w:p>
        </w:tc>
        <w:tc>
          <w:tcPr>
            <w:tcW w:w="1169" w:type="dxa"/>
          </w:tcPr>
          <w:p w14:paraId="4A6985CE"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101,992</w:t>
            </w:r>
          </w:p>
        </w:tc>
        <w:tc>
          <w:tcPr>
            <w:tcW w:w="1059" w:type="dxa"/>
          </w:tcPr>
          <w:p w14:paraId="4D3F0E9F"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190,451</w:t>
            </w:r>
          </w:p>
        </w:tc>
        <w:tc>
          <w:tcPr>
            <w:tcW w:w="1103" w:type="dxa"/>
          </w:tcPr>
          <w:p w14:paraId="0720BAFD"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107,152</w:t>
            </w:r>
          </w:p>
        </w:tc>
      </w:tr>
      <w:tr w:rsidR="00F4009D" w:rsidRPr="00F4009D" w14:paraId="437E7D87" w14:textId="77777777" w:rsidTr="00C634FA">
        <w:trPr>
          <w:cantSplit/>
          <w:jc w:val="center"/>
        </w:trPr>
        <w:tc>
          <w:tcPr>
            <w:tcW w:w="960" w:type="dxa"/>
            <w:vAlign w:val="bottom"/>
          </w:tcPr>
          <w:p w14:paraId="073B415E"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2018-19</w:t>
            </w:r>
          </w:p>
        </w:tc>
        <w:tc>
          <w:tcPr>
            <w:tcW w:w="1058" w:type="dxa"/>
          </w:tcPr>
          <w:p w14:paraId="0747564B"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310,719</w:t>
            </w:r>
          </w:p>
        </w:tc>
        <w:tc>
          <w:tcPr>
            <w:tcW w:w="1059" w:type="dxa"/>
          </w:tcPr>
          <w:p w14:paraId="56C635FD"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225,466</w:t>
            </w:r>
          </w:p>
        </w:tc>
        <w:tc>
          <w:tcPr>
            <w:tcW w:w="1169" w:type="dxa"/>
          </w:tcPr>
          <w:p w14:paraId="0D121456"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102,636</w:t>
            </w:r>
          </w:p>
        </w:tc>
        <w:tc>
          <w:tcPr>
            <w:tcW w:w="1059" w:type="dxa"/>
          </w:tcPr>
          <w:p w14:paraId="09A2F087"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205,016</w:t>
            </w:r>
          </w:p>
        </w:tc>
        <w:tc>
          <w:tcPr>
            <w:tcW w:w="1103" w:type="dxa"/>
          </w:tcPr>
          <w:p w14:paraId="4AF210E2"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105,703</w:t>
            </w:r>
          </w:p>
        </w:tc>
      </w:tr>
      <w:tr w:rsidR="00F4009D" w:rsidRPr="00F4009D" w14:paraId="587F9F66" w14:textId="77777777" w:rsidTr="00C634FA">
        <w:trPr>
          <w:cantSplit/>
          <w:jc w:val="center"/>
        </w:trPr>
        <w:tc>
          <w:tcPr>
            <w:tcW w:w="960" w:type="dxa"/>
            <w:vAlign w:val="bottom"/>
          </w:tcPr>
          <w:p w14:paraId="66A26C32" w14:textId="77777777" w:rsidR="00F4009D" w:rsidRPr="00F4009D" w:rsidRDefault="00F4009D" w:rsidP="00F4009D">
            <w:pPr>
              <w:keepNext/>
              <w:keepLines/>
              <w:widowControl w:val="0"/>
              <w:suppressAutoHyphens/>
              <w:ind w:right="-30"/>
              <w:jc w:val="center"/>
              <w:rPr>
                <w:snapToGrid w:val="0"/>
                <w:sz w:val="19"/>
                <w:szCs w:val="19"/>
              </w:rPr>
            </w:pPr>
            <w:r w:rsidRPr="00F4009D">
              <w:rPr>
                <w:snapToGrid w:val="0"/>
                <w:sz w:val="19"/>
                <w:szCs w:val="19"/>
              </w:rPr>
              <w:t>2019-20</w:t>
            </w:r>
          </w:p>
        </w:tc>
        <w:tc>
          <w:tcPr>
            <w:tcW w:w="1058" w:type="dxa"/>
          </w:tcPr>
          <w:p w14:paraId="001DB74C" w14:textId="77777777" w:rsidR="00F4009D" w:rsidRPr="00F4009D" w:rsidRDefault="00F4009D" w:rsidP="00F4009D">
            <w:pPr>
              <w:keepNext/>
              <w:keepLines/>
              <w:widowControl w:val="0"/>
              <w:tabs>
                <w:tab w:val="decimal" w:pos="-918"/>
              </w:tabs>
              <w:ind w:right="161"/>
              <w:jc w:val="right"/>
              <w:rPr>
                <w:snapToGrid w:val="0"/>
                <w:color w:val="000000"/>
                <w:sz w:val="19"/>
                <w:szCs w:val="19"/>
              </w:rPr>
            </w:pPr>
            <w:r w:rsidRPr="00F4009D">
              <w:rPr>
                <w:snapToGrid w:val="0"/>
                <w:color w:val="000000"/>
                <w:sz w:val="19"/>
                <w:szCs w:val="19"/>
              </w:rPr>
              <w:t>322,127</w:t>
            </w:r>
          </w:p>
        </w:tc>
        <w:tc>
          <w:tcPr>
            <w:tcW w:w="1059" w:type="dxa"/>
          </w:tcPr>
          <w:p w14:paraId="0F0D9F20"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233,253</w:t>
            </w:r>
          </w:p>
        </w:tc>
        <w:tc>
          <w:tcPr>
            <w:tcW w:w="1169" w:type="dxa"/>
          </w:tcPr>
          <w:p w14:paraId="189E512A" w14:textId="77777777" w:rsidR="00F4009D" w:rsidRPr="00F4009D" w:rsidRDefault="00F4009D" w:rsidP="00F4009D">
            <w:pPr>
              <w:keepNext/>
              <w:keepLines/>
              <w:widowControl w:val="0"/>
              <w:tabs>
                <w:tab w:val="decimal" w:pos="-896"/>
              </w:tabs>
              <w:ind w:left="-218" w:right="250"/>
              <w:jc w:val="right"/>
              <w:rPr>
                <w:snapToGrid w:val="0"/>
                <w:color w:val="000000"/>
                <w:sz w:val="19"/>
                <w:szCs w:val="19"/>
              </w:rPr>
            </w:pPr>
            <w:r w:rsidRPr="00F4009D">
              <w:rPr>
                <w:snapToGrid w:val="0"/>
                <w:color w:val="000000"/>
                <w:sz w:val="19"/>
                <w:szCs w:val="19"/>
              </w:rPr>
              <w:t>107,999</w:t>
            </w:r>
          </w:p>
        </w:tc>
        <w:tc>
          <w:tcPr>
            <w:tcW w:w="1059" w:type="dxa"/>
          </w:tcPr>
          <w:p w14:paraId="0C9C857E"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216,252</w:t>
            </w:r>
          </w:p>
        </w:tc>
        <w:tc>
          <w:tcPr>
            <w:tcW w:w="1103" w:type="dxa"/>
          </w:tcPr>
          <w:p w14:paraId="6BB9F883" w14:textId="77777777" w:rsidR="00F4009D" w:rsidRPr="00F4009D" w:rsidRDefault="00F4009D" w:rsidP="00F4009D">
            <w:pPr>
              <w:keepNext/>
              <w:keepLines/>
              <w:widowControl w:val="0"/>
              <w:tabs>
                <w:tab w:val="decimal" w:pos="-896"/>
              </w:tabs>
              <w:ind w:right="161"/>
              <w:jc w:val="right"/>
              <w:rPr>
                <w:snapToGrid w:val="0"/>
                <w:color w:val="000000"/>
                <w:sz w:val="19"/>
                <w:szCs w:val="19"/>
              </w:rPr>
            </w:pPr>
            <w:r w:rsidRPr="00F4009D">
              <w:rPr>
                <w:snapToGrid w:val="0"/>
                <w:color w:val="000000"/>
                <w:sz w:val="19"/>
                <w:szCs w:val="19"/>
              </w:rPr>
              <w:t>105,875</w:t>
            </w:r>
          </w:p>
        </w:tc>
      </w:tr>
      <w:tr w:rsidR="00F4009D" w:rsidRPr="00F4009D" w14:paraId="775AD03D" w14:textId="77777777" w:rsidTr="00C634FA">
        <w:trPr>
          <w:cantSplit/>
          <w:jc w:val="center"/>
        </w:trPr>
        <w:tc>
          <w:tcPr>
            <w:tcW w:w="6408" w:type="dxa"/>
            <w:gridSpan w:val="6"/>
            <w:vAlign w:val="bottom"/>
            <w:hideMark/>
          </w:tcPr>
          <w:p w14:paraId="3312E7FE" w14:textId="77777777" w:rsidR="00F4009D" w:rsidRPr="00F4009D" w:rsidRDefault="00F4009D" w:rsidP="00F4009D">
            <w:pPr>
              <w:keepNext/>
              <w:keepLines/>
              <w:widowControl w:val="0"/>
              <w:tabs>
                <w:tab w:val="decimal" w:pos="-896"/>
              </w:tabs>
              <w:spacing w:before="120"/>
              <w:ind w:right="-43"/>
              <w:jc w:val="center"/>
              <w:rPr>
                <w:snapToGrid w:val="0"/>
                <w:color w:val="000000"/>
                <w:sz w:val="19"/>
                <w:szCs w:val="19"/>
              </w:rPr>
            </w:pPr>
            <w:r w:rsidRPr="00F4009D">
              <w:rPr>
                <w:b/>
                <w:snapToGrid w:val="0"/>
                <w:sz w:val="19"/>
                <w:szCs w:val="19"/>
                <w:u w:val="single"/>
              </w:rPr>
              <w:t>PERS</w:t>
            </w:r>
          </w:p>
        </w:tc>
      </w:tr>
      <w:tr w:rsidR="00F4009D" w:rsidRPr="00F4009D" w14:paraId="6C7A0D61" w14:textId="77777777" w:rsidTr="00C634FA">
        <w:trPr>
          <w:cantSplit/>
          <w:jc w:val="center"/>
        </w:trPr>
        <w:tc>
          <w:tcPr>
            <w:tcW w:w="960" w:type="dxa"/>
            <w:vAlign w:val="bottom"/>
            <w:hideMark/>
          </w:tcPr>
          <w:p w14:paraId="71F3B39C"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Fiscal</w:t>
            </w:r>
          </w:p>
          <w:p w14:paraId="2D3E66D4" w14:textId="77777777" w:rsidR="00F4009D" w:rsidRPr="00F4009D" w:rsidRDefault="00F4009D" w:rsidP="00F4009D">
            <w:pPr>
              <w:keepNext/>
              <w:keepLines/>
              <w:widowControl w:val="0"/>
              <w:suppressAutoHyphens/>
              <w:jc w:val="center"/>
              <w:rPr>
                <w:b/>
                <w:snapToGrid w:val="0"/>
                <w:sz w:val="19"/>
                <w:szCs w:val="19"/>
                <w:u w:val="single"/>
              </w:rPr>
            </w:pPr>
            <w:r w:rsidRPr="00F4009D">
              <w:rPr>
                <w:b/>
                <w:snapToGrid w:val="0"/>
                <w:sz w:val="19"/>
                <w:szCs w:val="19"/>
                <w:u w:val="single"/>
              </w:rPr>
              <w:t>Year</w:t>
            </w:r>
          </w:p>
        </w:tc>
        <w:tc>
          <w:tcPr>
            <w:tcW w:w="1058" w:type="dxa"/>
            <w:vAlign w:val="bottom"/>
          </w:tcPr>
          <w:p w14:paraId="4DFB8FEF" w14:textId="77777777" w:rsidR="00F4009D" w:rsidRPr="00F4009D" w:rsidRDefault="00F4009D" w:rsidP="00F4009D">
            <w:pPr>
              <w:keepNext/>
              <w:keepLines/>
              <w:widowControl w:val="0"/>
              <w:suppressAutoHyphens/>
              <w:jc w:val="center"/>
              <w:rPr>
                <w:b/>
                <w:snapToGrid w:val="0"/>
                <w:sz w:val="19"/>
                <w:szCs w:val="19"/>
              </w:rPr>
            </w:pPr>
          </w:p>
          <w:p w14:paraId="46CD9126" w14:textId="77777777" w:rsidR="00F4009D" w:rsidRPr="00F4009D" w:rsidRDefault="00F4009D" w:rsidP="00F4009D">
            <w:pPr>
              <w:keepNext/>
              <w:keepLines/>
              <w:widowControl w:val="0"/>
              <w:suppressAutoHyphens/>
              <w:jc w:val="center"/>
              <w:rPr>
                <w:b/>
                <w:snapToGrid w:val="0"/>
                <w:sz w:val="19"/>
                <w:szCs w:val="19"/>
              </w:rPr>
            </w:pPr>
          </w:p>
          <w:p w14:paraId="57464A07"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 xml:space="preserve">Accrued </w:t>
            </w:r>
            <w:r w:rsidRPr="00F4009D">
              <w:rPr>
                <w:b/>
                <w:snapToGrid w:val="0"/>
                <w:sz w:val="19"/>
                <w:szCs w:val="19"/>
                <w:u w:val="single"/>
              </w:rPr>
              <w:t>Liability</w:t>
            </w:r>
          </w:p>
        </w:tc>
        <w:tc>
          <w:tcPr>
            <w:tcW w:w="1059" w:type="dxa"/>
            <w:vAlign w:val="bottom"/>
            <w:hideMark/>
          </w:tcPr>
          <w:p w14:paraId="3E92C59C"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 xml:space="preserve">Value of </w:t>
            </w:r>
          </w:p>
          <w:p w14:paraId="1FB3CE10"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Trust</w:t>
            </w:r>
          </w:p>
          <w:p w14:paraId="4FF4EDDD"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Assets</w:t>
            </w:r>
          </w:p>
          <w:p w14:paraId="02561E04" w14:textId="77777777" w:rsidR="00F4009D" w:rsidRPr="00F4009D" w:rsidRDefault="00F4009D" w:rsidP="00F4009D">
            <w:pPr>
              <w:keepNext/>
              <w:keepLines/>
              <w:widowControl w:val="0"/>
              <w:suppressAutoHyphens/>
              <w:jc w:val="center"/>
              <w:rPr>
                <w:b/>
                <w:snapToGrid w:val="0"/>
                <w:sz w:val="19"/>
                <w:szCs w:val="19"/>
                <w:u w:val="single"/>
              </w:rPr>
            </w:pPr>
            <w:r w:rsidRPr="00F4009D">
              <w:rPr>
                <w:b/>
                <w:snapToGrid w:val="0"/>
                <w:sz w:val="19"/>
                <w:szCs w:val="19"/>
              </w:rPr>
              <w:t xml:space="preserve"> </w:t>
            </w:r>
            <w:r w:rsidRPr="00F4009D">
              <w:rPr>
                <w:b/>
                <w:snapToGrid w:val="0"/>
                <w:sz w:val="19"/>
                <w:szCs w:val="19"/>
                <w:u w:val="single"/>
              </w:rPr>
              <w:t>(MVA)</w:t>
            </w:r>
          </w:p>
        </w:tc>
        <w:tc>
          <w:tcPr>
            <w:tcW w:w="1169" w:type="dxa"/>
            <w:vAlign w:val="bottom"/>
          </w:tcPr>
          <w:p w14:paraId="3CCA340E" w14:textId="77777777" w:rsidR="00F4009D" w:rsidRPr="00F4009D" w:rsidRDefault="00F4009D" w:rsidP="00F4009D">
            <w:pPr>
              <w:keepNext/>
              <w:keepLines/>
              <w:widowControl w:val="0"/>
              <w:suppressAutoHyphens/>
              <w:jc w:val="center"/>
              <w:rPr>
                <w:b/>
                <w:snapToGrid w:val="0"/>
                <w:sz w:val="19"/>
                <w:szCs w:val="19"/>
              </w:rPr>
            </w:pPr>
          </w:p>
          <w:p w14:paraId="343BC432"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Unfunded</w:t>
            </w:r>
          </w:p>
          <w:p w14:paraId="73E28B1A"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Liability</w:t>
            </w:r>
          </w:p>
          <w:p w14:paraId="54FF5596" w14:textId="77777777" w:rsidR="00F4009D" w:rsidRPr="00F4009D" w:rsidRDefault="00F4009D" w:rsidP="00F4009D">
            <w:pPr>
              <w:keepNext/>
              <w:keepLines/>
              <w:widowControl w:val="0"/>
              <w:suppressAutoHyphens/>
              <w:jc w:val="center"/>
              <w:rPr>
                <w:b/>
                <w:snapToGrid w:val="0"/>
                <w:sz w:val="19"/>
                <w:szCs w:val="19"/>
                <w:u w:val="single"/>
              </w:rPr>
            </w:pPr>
            <w:r w:rsidRPr="00F4009D">
              <w:rPr>
                <w:b/>
                <w:snapToGrid w:val="0"/>
                <w:sz w:val="19"/>
                <w:szCs w:val="19"/>
                <w:u w:val="single"/>
              </w:rPr>
              <w:t>(MVA)</w:t>
            </w:r>
          </w:p>
        </w:tc>
        <w:tc>
          <w:tcPr>
            <w:tcW w:w="1059" w:type="dxa"/>
            <w:vAlign w:val="bottom"/>
            <w:hideMark/>
          </w:tcPr>
          <w:p w14:paraId="6283401E" w14:textId="77777777" w:rsidR="00F4009D" w:rsidRPr="00F4009D" w:rsidRDefault="00F4009D" w:rsidP="00F4009D">
            <w:pPr>
              <w:keepNext/>
              <w:keepLines/>
              <w:spacing w:before="60"/>
              <w:jc w:val="center"/>
              <w:rPr>
                <w:b/>
                <w:sz w:val="19"/>
                <w:szCs w:val="19"/>
              </w:rPr>
            </w:pPr>
            <w:r w:rsidRPr="00F4009D">
              <w:rPr>
                <w:b/>
                <w:sz w:val="19"/>
                <w:szCs w:val="19"/>
              </w:rPr>
              <w:t>Value of Trust</w:t>
            </w:r>
          </w:p>
          <w:p w14:paraId="603FBCED" w14:textId="77777777" w:rsidR="00F4009D" w:rsidRPr="00F4009D" w:rsidRDefault="00F4009D" w:rsidP="00F4009D">
            <w:pPr>
              <w:keepNext/>
              <w:keepLines/>
              <w:widowControl w:val="0"/>
              <w:autoSpaceDE w:val="0"/>
              <w:autoSpaceDN w:val="0"/>
              <w:adjustRightInd w:val="0"/>
              <w:jc w:val="center"/>
              <w:rPr>
                <w:b/>
                <w:sz w:val="19"/>
                <w:szCs w:val="19"/>
              </w:rPr>
            </w:pPr>
            <w:r w:rsidRPr="00F4009D">
              <w:rPr>
                <w:b/>
                <w:sz w:val="19"/>
                <w:szCs w:val="19"/>
              </w:rPr>
              <w:t>Assets</w:t>
            </w:r>
          </w:p>
          <w:p w14:paraId="083FBDDF" w14:textId="77777777" w:rsidR="00F4009D" w:rsidRPr="00F4009D" w:rsidRDefault="00F4009D" w:rsidP="00F4009D">
            <w:pPr>
              <w:keepNext/>
              <w:keepLines/>
              <w:widowControl w:val="0"/>
              <w:suppressAutoHyphens/>
              <w:jc w:val="center"/>
              <w:rPr>
                <w:b/>
                <w:snapToGrid w:val="0"/>
                <w:sz w:val="19"/>
                <w:szCs w:val="19"/>
              </w:rPr>
            </w:pPr>
            <w:r w:rsidRPr="00F4009D">
              <w:rPr>
                <w:b/>
                <w:sz w:val="19"/>
                <w:szCs w:val="19"/>
              </w:rPr>
              <w:t xml:space="preserve">   </w:t>
            </w:r>
            <w:r w:rsidRPr="00F4009D">
              <w:rPr>
                <w:b/>
                <w:sz w:val="19"/>
                <w:szCs w:val="19"/>
                <w:u w:val="single"/>
              </w:rPr>
              <w:t>(AVA)</w:t>
            </w:r>
            <w:r w:rsidRPr="00F4009D">
              <w:rPr>
                <w:b/>
                <w:color w:val="000000"/>
                <w:sz w:val="19"/>
                <w:szCs w:val="19"/>
                <w:vertAlign w:val="superscript"/>
              </w:rPr>
              <w:t>(3)</w:t>
            </w:r>
          </w:p>
        </w:tc>
        <w:tc>
          <w:tcPr>
            <w:tcW w:w="1103" w:type="dxa"/>
            <w:vAlign w:val="bottom"/>
          </w:tcPr>
          <w:p w14:paraId="1063CB76" w14:textId="77777777" w:rsidR="00F4009D" w:rsidRPr="00F4009D" w:rsidRDefault="00F4009D" w:rsidP="00F4009D">
            <w:pPr>
              <w:keepNext/>
              <w:keepLines/>
              <w:widowControl w:val="0"/>
              <w:suppressAutoHyphens/>
              <w:jc w:val="center"/>
              <w:rPr>
                <w:b/>
                <w:snapToGrid w:val="0"/>
                <w:sz w:val="19"/>
                <w:szCs w:val="19"/>
              </w:rPr>
            </w:pPr>
          </w:p>
          <w:p w14:paraId="5F81313A"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Unfunded</w:t>
            </w:r>
          </w:p>
          <w:p w14:paraId="7A4A6338"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Liability</w:t>
            </w:r>
          </w:p>
          <w:p w14:paraId="12CD63CB" w14:textId="77777777" w:rsidR="00F4009D" w:rsidRPr="00F4009D" w:rsidRDefault="00F4009D" w:rsidP="00F4009D">
            <w:pPr>
              <w:keepNext/>
              <w:keepLines/>
              <w:widowControl w:val="0"/>
              <w:suppressAutoHyphens/>
              <w:jc w:val="center"/>
              <w:rPr>
                <w:b/>
                <w:snapToGrid w:val="0"/>
                <w:sz w:val="19"/>
                <w:szCs w:val="19"/>
              </w:rPr>
            </w:pPr>
            <w:r w:rsidRPr="00F4009D">
              <w:rPr>
                <w:b/>
                <w:snapToGrid w:val="0"/>
                <w:sz w:val="19"/>
                <w:szCs w:val="19"/>
              </w:rPr>
              <w:t>   </w:t>
            </w:r>
            <w:r w:rsidRPr="00F4009D">
              <w:rPr>
                <w:b/>
                <w:snapToGrid w:val="0"/>
                <w:sz w:val="19"/>
                <w:szCs w:val="19"/>
                <w:u w:val="single"/>
              </w:rPr>
              <w:t>(AVA)</w:t>
            </w:r>
            <w:r w:rsidRPr="00F4009D">
              <w:rPr>
                <w:b/>
                <w:color w:val="000000"/>
                <w:sz w:val="19"/>
                <w:szCs w:val="19"/>
                <w:vertAlign w:val="superscript"/>
              </w:rPr>
              <w:t>(3)</w:t>
            </w:r>
          </w:p>
        </w:tc>
      </w:tr>
      <w:tr w:rsidR="00F4009D" w:rsidRPr="00F4009D" w14:paraId="792E0B4B" w14:textId="77777777" w:rsidTr="00C634FA">
        <w:trPr>
          <w:cantSplit/>
          <w:trHeight w:val="198"/>
          <w:jc w:val="center"/>
        </w:trPr>
        <w:tc>
          <w:tcPr>
            <w:tcW w:w="960" w:type="dxa"/>
            <w:vAlign w:val="bottom"/>
            <w:hideMark/>
          </w:tcPr>
          <w:p w14:paraId="216029A4" w14:textId="77777777" w:rsidR="00F4009D" w:rsidRPr="00F4009D" w:rsidRDefault="00F4009D" w:rsidP="00F4009D">
            <w:pPr>
              <w:keepNext/>
              <w:keepLines/>
              <w:widowControl w:val="0"/>
              <w:suppressAutoHyphens/>
              <w:spacing w:before="60"/>
              <w:ind w:left="97" w:right="-30"/>
              <w:rPr>
                <w:snapToGrid w:val="0"/>
                <w:sz w:val="19"/>
                <w:szCs w:val="19"/>
              </w:rPr>
            </w:pPr>
            <w:r w:rsidRPr="00F4009D">
              <w:rPr>
                <w:snapToGrid w:val="0"/>
                <w:sz w:val="19"/>
                <w:szCs w:val="19"/>
              </w:rPr>
              <w:t>2010-11</w:t>
            </w:r>
          </w:p>
        </w:tc>
        <w:tc>
          <w:tcPr>
            <w:tcW w:w="1058" w:type="dxa"/>
            <w:hideMark/>
          </w:tcPr>
          <w:p w14:paraId="012A4589" w14:textId="77777777" w:rsidR="00F4009D" w:rsidRPr="00F4009D" w:rsidRDefault="00F4009D" w:rsidP="00F4009D">
            <w:pPr>
              <w:keepNext/>
              <w:keepLines/>
              <w:widowControl w:val="0"/>
              <w:tabs>
                <w:tab w:val="decimal" w:pos="-896"/>
              </w:tabs>
              <w:spacing w:before="60"/>
              <w:ind w:right="184"/>
              <w:jc w:val="right"/>
              <w:rPr>
                <w:snapToGrid w:val="0"/>
                <w:color w:val="000000"/>
                <w:sz w:val="19"/>
                <w:szCs w:val="19"/>
              </w:rPr>
            </w:pPr>
            <w:r w:rsidRPr="00F4009D">
              <w:rPr>
                <w:snapToGrid w:val="0"/>
                <w:color w:val="000000"/>
                <w:sz w:val="19"/>
                <w:szCs w:val="19"/>
              </w:rPr>
              <w:t>$58,358</w:t>
            </w:r>
          </w:p>
        </w:tc>
        <w:tc>
          <w:tcPr>
            <w:tcW w:w="1059" w:type="dxa"/>
            <w:hideMark/>
          </w:tcPr>
          <w:p w14:paraId="4DBA3AC9" w14:textId="77777777" w:rsidR="00F4009D" w:rsidRPr="00F4009D" w:rsidRDefault="00F4009D" w:rsidP="00F4009D">
            <w:pPr>
              <w:keepNext/>
              <w:keepLines/>
              <w:widowControl w:val="0"/>
              <w:tabs>
                <w:tab w:val="decimal" w:pos="-896"/>
                <w:tab w:val="decimal" w:pos="408"/>
              </w:tabs>
              <w:spacing w:before="60"/>
              <w:ind w:right="-86"/>
              <w:jc w:val="center"/>
              <w:rPr>
                <w:snapToGrid w:val="0"/>
                <w:color w:val="000000"/>
                <w:sz w:val="19"/>
                <w:szCs w:val="19"/>
              </w:rPr>
            </w:pPr>
            <w:r w:rsidRPr="00F4009D">
              <w:rPr>
                <w:snapToGrid w:val="0"/>
                <w:color w:val="000000"/>
                <w:sz w:val="19"/>
                <w:szCs w:val="19"/>
              </w:rPr>
              <w:t>$45,901</w:t>
            </w:r>
          </w:p>
        </w:tc>
        <w:tc>
          <w:tcPr>
            <w:tcW w:w="1169" w:type="dxa"/>
            <w:hideMark/>
          </w:tcPr>
          <w:p w14:paraId="7C6E1CB0" w14:textId="77777777" w:rsidR="00F4009D" w:rsidRPr="00F4009D" w:rsidRDefault="00F4009D" w:rsidP="00F4009D">
            <w:pPr>
              <w:keepNext/>
              <w:keepLines/>
              <w:widowControl w:val="0"/>
              <w:tabs>
                <w:tab w:val="decimal" w:pos="-896"/>
                <w:tab w:val="decimal" w:pos="-144"/>
              </w:tabs>
              <w:spacing w:before="60"/>
              <w:ind w:right="250"/>
              <w:jc w:val="right"/>
              <w:rPr>
                <w:snapToGrid w:val="0"/>
                <w:color w:val="000000"/>
                <w:sz w:val="19"/>
                <w:szCs w:val="19"/>
              </w:rPr>
            </w:pPr>
            <w:r w:rsidRPr="00F4009D">
              <w:rPr>
                <w:snapToGrid w:val="0"/>
                <w:color w:val="000000"/>
                <w:sz w:val="19"/>
                <w:szCs w:val="19"/>
              </w:rPr>
              <w:t>$12,457</w:t>
            </w:r>
          </w:p>
        </w:tc>
        <w:tc>
          <w:tcPr>
            <w:tcW w:w="1059" w:type="dxa"/>
            <w:hideMark/>
          </w:tcPr>
          <w:p w14:paraId="274F9848" w14:textId="77777777" w:rsidR="00F4009D" w:rsidRPr="00F4009D" w:rsidRDefault="00F4009D" w:rsidP="00F4009D">
            <w:pPr>
              <w:keepNext/>
              <w:keepLines/>
              <w:widowControl w:val="0"/>
              <w:tabs>
                <w:tab w:val="decimal" w:pos="-896"/>
                <w:tab w:val="decimal" w:pos="-142"/>
              </w:tabs>
              <w:spacing w:before="60"/>
              <w:ind w:left="-412" w:right="228"/>
              <w:jc w:val="right"/>
              <w:rPr>
                <w:snapToGrid w:val="0"/>
                <w:color w:val="000000"/>
                <w:sz w:val="19"/>
                <w:szCs w:val="19"/>
              </w:rPr>
            </w:pPr>
            <w:r w:rsidRPr="00F4009D">
              <w:rPr>
                <w:snapToGrid w:val="0"/>
                <w:color w:val="000000"/>
                <w:sz w:val="19"/>
                <w:szCs w:val="19"/>
              </w:rPr>
              <w:t>$51,547</w:t>
            </w:r>
          </w:p>
        </w:tc>
        <w:tc>
          <w:tcPr>
            <w:tcW w:w="1103" w:type="dxa"/>
            <w:hideMark/>
          </w:tcPr>
          <w:p w14:paraId="3391BDE0" w14:textId="77777777" w:rsidR="00F4009D" w:rsidRPr="00F4009D" w:rsidRDefault="00F4009D" w:rsidP="00F4009D">
            <w:pPr>
              <w:keepNext/>
              <w:keepLines/>
              <w:widowControl w:val="0"/>
              <w:tabs>
                <w:tab w:val="decimal" w:pos="-896"/>
                <w:tab w:val="decimal" w:pos="408"/>
              </w:tabs>
              <w:spacing w:before="60"/>
              <w:ind w:right="-86"/>
              <w:jc w:val="center"/>
              <w:rPr>
                <w:snapToGrid w:val="0"/>
                <w:color w:val="000000"/>
                <w:sz w:val="19"/>
                <w:szCs w:val="19"/>
              </w:rPr>
            </w:pPr>
            <w:r w:rsidRPr="00F4009D">
              <w:rPr>
                <w:snapToGrid w:val="0"/>
                <w:color w:val="000000"/>
                <w:sz w:val="19"/>
                <w:szCs w:val="19"/>
              </w:rPr>
              <w:t>$6,811</w:t>
            </w:r>
          </w:p>
        </w:tc>
      </w:tr>
      <w:tr w:rsidR="00F4009D" w:rsidRPr="00F4009D" w14:paraId="58328758" w14:textId="77777777" w:rsidTr="00C634FA">
        <w:trPr>
          <w:cantSplit/>
          <w:jc w:val="center"/>
        </w:trPr>
        <w:tc>
          <w:tcPr>
            <w:tcW w:w="960" w:type="dxa"/>
            <w:vAlign w:val="bottom"/>
            <w:hideMark/>
          </w:tcPr>
          <w:p w14:paraId="7674430A"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2011-12</w:t>
            </w:r>
          </w:p>
        </w:tc>
        <w:tc>
          <w:tcPr>
            <w:tcW w:w="1058" w:type="dxa"/>
            <w:hideMark/>
          </w:tcPr>
          <w:p w14:paraId="653CCE24"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59,439</w:t>
            </w:r>
          </w:p>
        </w:tc>
        <w:tc>
          <w:tcPr>
            <w:tcW w:w="1059" w:type="dxa"/>
            <w:hideMark/>
          </w:tcPr>
          <w:p w14:paraId="68BD307D"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44,854</w:t>
            </w:r>
          </w:p>
        </w:tc>
        <w:tc>
          <w:tcPr>
            <w:tcW w:w="1169" w:type="dxa"/>
            <w:hideMark/>
          </w:tcPr>
          <w:p w14:paraId="3CFA1D74"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14,585</w:t>
            </w:r>
          </w:p>
        </w:tc>
        <w:tc>
          <w:tcPr>
            <w:tcW w:w="1059" w:type="dxa"/>
            <w:hideMark/>
          </w:tcPr>
          <w:p w14:paraId="6248B026"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53,791</w:t>
            </w:r>
          </w:p>
        </w:tc>
        <w:tc>
          <w:tcPr>
            <w:tcW w:w="1103" w:type="dxa"/>
            <w:hideMark/>
          </w:tcPr>
          <w:p w14:paraId="199A86D0"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5,648</w:t>
            </w:r>
          </w:p>
        </w:tc>
      </w:tr>
      <w:tr w:rsidR="00F4009D" w:rsidRPr="00F4009D" w14:paraId="05F47F13" w14:textId="77777777" w:rsidTr="00C634FA">
        <w:trPr>
          <w:cantSplit/>
          <w:jc w:val="center"/>
        </w:trPr>
        <w:tc>
          <w:tcPr>
            <w:tcW w:w="960" w:type="dxa"/>
            <w:vAlign w:val="bottom"/>
            <w:hideMark/>
          </w:tcPr>
          <w:p w14:paraId="257F1423"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2012-13</w:t>
            </w:r>
          </w:p>
        </w:tc>
        <w:tc>
          <w:tcPr>
            <w:tcW w:w="1058" w:type="dxa"/>
            <w:hideMark/>
          </w:tcPr>
          <w:p w14:paraId="17343C0A"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61,487</w:t>
            </w:r>
          </w:p>
        </w:tc>
        <w:tc>
          <w:tcPr>
            <w:tcW w:w="1059" w:type="dxa"/>
            <w:hideMark/>
          </w:tcPr>
          <w:p w14:paraId="49EFFD63"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49,482</w:t>
            </w:r>
          </w:p>
        </w:tc>
        <w:tc>
          <w:tcPr>
            <w:tcW w:w="1169" w:type="dxa"/>
            <w:hideMark/>
          </w:tcPr>
          <w:p w14:paraId="16D889D2"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12,005</w:t>
            </w:r>
          </w:p>
        </w:tc>
        <w:tc>
          <w:tcPr>
            <w:tcW w:w="1059" w:type="dxa"/>
            <w:hideMark/>
          </w:tcPr>
          <w:p w14:paraId="0C2C0260"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56,250</w:t>
            </w:r>
          </w:p>
        </w:tc>
        <w:tc>
          <w:tcPr>
            <w:tcW w:w="1103" w:type="dxa"/>
            <w:hideMark/>
          </w:tcPr>
          <w:p w14:paraId="0F63E27D"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5,237</w:t>
            </w:r>
          </w:p>
        </w:tc>
      </w:tr>
      <w:tr w:rsidR="00F4009D" w:rsidRPr="00F4009D" w14:paraId="30B7F81A" w14:textId="77777777" w:rsidTr="00C634FA">
        <w:trPr>
          <w:cantSplit/>
          <w:jc w:val="center"/>
        </w:trPr>
        <w:tc>
          <w:tcPr>
            <w:tcW w:w="960" w:type="dxa"/>
            <w:vAlign w:val="bottom"/>
            <w:hideMark/>
          </w:tcPr>
          <w:p w14:paraId="0FBBAF15"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2013-14</w:t>
            </w:r>
          </w:p>
        </w:tc>
        <w:tc>
          <w:tcPr>
            <w:tcW w:w="1058" w:type="dxa"/>
            <w:hideMark/>
          </w:tcPr>
          <w:p w14:paraId="2E386E6E"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65,600</w:t>
            </w:r>
          </w:p>
        </w:tc>
        <w:tc>
          <w:tcPr>
            <w:tcW w:w="1059" w:type="dxa"/>
            <w:hideMark/>
          </w:tcPr>
          <w:p w14:paraId="45F13579"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56,838</w:t>
            </w:r>
          </w:p>
        </w:tc>
        <w:tc>
          <w:tcPr>
            <w:tcW w:w="1169" w:type="dxa"/>
            <w:hideMark/>
          </w:tcPr>
          <w:p w14:paraId="519D2FAF"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8,761</w:t>
            </w:r>
          </w:p>
        </w:tc>
        <w:tc>
          <w:tcPr>
            <w:tcW w:w="1059" w:type="dxa"/>
            <w:hideMark/>
          </w:tcPr>
          <w:p w14:paraId="163B266B"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c>
          <w:tcPr>
            <w:tcW w:w="1103" w:type="dxa"/>
            <w:hideMark/>
          </w:tcPr>
          <w:p w14:paraId="763D822D"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r>
      <w:tr w:rsidR="00F4009D" w:rsidRPr="00F4009D" w14:paraId="32F1C697" w14:textId="77777777" w:rsidTr="00C634FA">
        <w:trPr>
          <w:cantSplit/>
          <w:jc w:val="center"/>
        </w:trPr>
        <w:tc>
          <w:tcPr>
            <w:tcW w:w="960" w:type="dxa"/>
            <w:vAlign w:val="bottom"/>
            <w:hideMark/>
          </w:tcPr>
          <w:p w14:paraId="1CB5CBBF"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2014-15</w:t>
            </w:r>
          </w:p>
        </w:tc>
        <w:tc>
          <w:tcPr>
            <w:tcW w:w="1058" w:type="dxa"/>
            <w:hideMark/>
          </w:tcPr>
          <w:p w14:paraId="0556311D"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73,325</w:t>
            </w:r>
          </w:p>
        </w:tc>
        <w:tc>
          <w:tcPr>
            <w:tcW w:w="1059" w:type="dxa"/>
            <w:hideMark/>
          </w:tcPr>
          <w:p w14:paraId="56A6C707"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56,814</w:t>
            </w:r>
          </w:p>
        </w:tc>
        <w:tc>
          <w:tcPr>
            <w:tcW w:w="1169" w:type="dxa"/>
            <w:hideMark/>
          </w:tcPr>
          <w:p w14:paraId="572E38CC"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16,511</w:t>
            </w:r>
          </w:p>
        </w:tc>
        <w:tc>
          <w:tcPr>
            <w:tcW w:w="1059" w:type="dxa"/>
            <w:hideMark/>
          </w:tcPr>
          <w:p w14:paraId="2345E179"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c>
          <w:tcPr>
            <w:tcW w:w="1103" w:type="dxa"/>
            <w:hideMark/>
          </w:tcPr>
          <w:p w14:paraId="4AE79FFF"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r>
      <w:tr w:rsidR="00F4009D" w:rsidRPr="00F4009D" w14:paraId="79BD2491" w14:textId="77777777" w:rsidTr="00C634FA">
        <w:trPr>
          <w:cantSplit/>
          <w:jc w:val="center"/>
        </w:trPr>
        <w:tc>
          <w:tcPr>
            <w:tcW w:w="960" w:type="dxa"/>
            <w:vAlign w:val="bottom"/>
            <w:hideMark/>
          </w:tcPr>
          <w:p w14:paraId="005C573E"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2015-16</w:t>
            </w:r>
          </w:p>
        </w:tc>
        <w:tc>
          <w:tcPr>
            <w:tcW w:w="1058" w:type="dxa"/>
            <w:hideMark/>
          </w:tcPr>
          <w:p w14:paraId="718B8477"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77,544</w:t>
            </w:r>
          </w:p>
        </w:tc>
        <w:tc>
          <w:tcPr>
            <w:tcW w:w="1059" w:type="dxa"/>
            <w:hideMark/>
          </w:tcPr>
          <w:p w14:paraId="1065CA1D"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55,785</w:t>
            </w:r>
          </w:p>
        </w:tc>
        <w:tc>
          <w:tcPr>
            <w:tcW w:w="1169" w:type="dxa"/>
            <w:hideMark/>
          </w:tcPr>
          <w:p w14:paraId="2C076638"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21,759</w:t>
            </w:r>
          </w:p>
        </w:tc>
        <w:tc>
          <w:tcPr>
            <w:tcW w:w="1059" w:type="dxa"/>
            <w:hideMark/>
          </w:tcPr>
          <w:p w14:paraId="32E94836"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c>
          <w:tcPr>
            <w:tcW w:w="1103" w:type="dxa"/>
            <w:hideMark/>
          </w:tcPr>
          <w:p w14:paraId="3A841F9A"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r>
      <w:tr w:rsidR="00F4009D" w:rsidRPr="00F4009D" w14:paraId="4B6E5D56" w14:textId="77777777" w:rsidTr="00C634FA">
        <w:trPr>
          <w:cantSplit/>
          <w:jc w:val="center"/>
        </w:trPr>
        <w:tc>
          <w:tcPr>
            <w:tcW w:w="960" w:type="dxa"/>
            <w:vAlign w:val="bottom"/>
          </w:tcPr>
          <w:p w14:paraId="6830D5C5"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2016-17</w:t>
            </w:r>
          </w:p>
        </w:tc>
        <w:tc>
          <w:tcPr>
            <w:tcW w:w="1058" w:type="dxa"/>
          </w:tcPr>
          <w:p w14:paraId="3485D397"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84,416</w:t>
            </w:r>
          </w:p>
        </w:tc>
        <w:tc>
          <w:tcPr>
            <w:tcW w:w="1059" w:type="dxa"/>
          </w:tcPr>
          <w:p w14:paraId="0D130659"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60,865</w:t>
            </w:r>
          </w:p>
        </w:tc>
        <w:tc>
          <w:tcPr>
            <w:tcW w:w="1169" w:type="dxa"/>
          </w:tcPr>
          <w:p w14:paraId="2DE74A8B"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23,551</w:t>
            </w:r>
          </w:p>
        </w:tc>
        <w:tc>
          <w:tcPr>
            <w:tcW w:w="1059" w:type="dxa"/>
          </w:tcPr>
          <w:p w14:paraId="1D23718B"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c>
          <w:tcPr>
            <w:tcW w:w="1103" w:type="dxa"/>
          </w:tcPr>
          <w:p w14:paraId="73C79A10"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r>
      <w:tr w:rsidR="00F4009D" w:rsidRPr="00F4009D" w14:paraId="04A91796" w14:textId="77777777" w:rsidTr="00C634FA">
        <w:trPr>
          <w:cantSplit/>
          <w:jc w:val="center"/>
        </w:trPr>
        <w:tc>
          <w:tcPr>
            <w:tcW w:w="960" w:type="dxa"/>
            <w:vAlign w:val="bottom"/>
          </w:tcPr>
          <w:p w14:paraId="63FF7A17"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2017-18</w:t>
            </w:r>
          </w:p>
        </w:tc>
        <w:tc>
          <w:tcPr>
            <w:tcW w:w="1058" w:type="dxa"/>
          </w:tcPr>
          <w:p w14:paraId="5AFBB9FE"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92,071</w:t>
            </w:r>
          </w:p>
        </w:tc>
        <w:tc>
          <w:tcPr>
            <w:tcW w:w="1059" w:type="dxa"/>
          </w:tcPr>
          <w:p w14:paraId="061B25DC"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64,846</w:t>
            </w:r>
          </w:p>
        </w:tc>
        <w:tc>
          <w:tcPr>
            <w:tcW w:w="1169" w:type="dxa"/>
          </w:tcPr>
          <w:p w14:paraId="5A882191"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27,225</w:t>
            </w:r>
          </w:p>
        </w:tc>
        <w:tc>
          <w:tcPr>
            <w:tcW w:w="1059" w:type="dxa"/>
          </w:tcPr>
          <w:p w14:paraId="337C9DCE"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c>
          <w:tcPr>
            <w:tcW w:w="1103" w:type="dxa"/>
          </w:tcPr>
          <w:p w14:paraId="4EBEB16A"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r>
      <w:tr w:rsidR="00F4009D" w:rsidRPr="00F4009D" w14:paraId="08D2C01A" w14:textId="77777777" w:rsidTr="00C634FA">
        <w:trPr>
          <w:cantSplit/>
          <w:jc w:val="center"/>
        </w:trPr>
        <w:tc>
          <w:tcPr>
            <w:tcW w:w="960" w:type="dxa"/>
            <w:vAlign w:val="bottom"/>
          </w:tcPr>
          <w:p w14:paraId="65FA946E"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2018-19</w:t>
            </w:r>
            <w:r w:rsidRPr="00F4009D">
              <w:rPr>
                <w:snapToGrid w:val="0"/>
                <w:sz w:val="19"/>
                <w:szCs w:val="19"/>
                <w:vertAlign w:val="superscript"/>
              </w:rPr>
              <w:t>(5)</w:t>
            </w:r>
          </w:p>
        </w:tc>
        <w:tc>
          <w:tcPr>
            <w:tcW w:w="1058" w:type="dxa"/>
          </w:tcPr>
          <w:p w14:paraId="591D2FFA"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99,528</w:t>
            </w:r>
          </w:p>
        </w:tc>
        <w:tc>
          <w:tcPr>
            <w:tcW w:w="1059" w:type="dxa"/>
          </w:tcPr>
          <w:p w14:paraId="4FC678DD"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68,177</w:t>
            </w:r>
          </w:p>
        </w:tc>
        <w:tc>
          <w:tcPr>
            <w:tcW w:w="1169" w:type="dxa"/>
          </w:tcPr>
          <w:p w14:paraId="0C179778"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31,351</w:t>
            </w:r>
          </w:p>
        </w:tc>
        <w:tc>
          <w:tcPr>
            <w:tcW w:w="1059" w:type="dxa"/>
          </w:tcPr>
          <w:p w14:paraId="001AA0A1"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c>
          <w:tcPr>
            <w:tcW w:w="1103" w:type="dxa"/>
          </w:tcPr>
          <w:p w14:paraId="1890DF49"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r>
      <w:tr w:rsidR="00F4009D" w:rsidRPr="00F4009D" w14:paraId="7661DC4E" w14:textId="77777777" w:rsidTr="00C634FA">
        <w:trPr>
          <w:cantSplit/>
          <w:jc w:val="center"/>
        </w:trPr>
        <w:tc>
          <w:tcPr>
            <w:tcW w:w="960" w:type="dxa"/>
            <w:vAlign w:val="bottom"/>
          </w:tcPr>
          <w:p w14:paraId="1820595B" w14:textId="77777777" w:rsidR="00F4009D" w:rsidRPr="00F4009D" w:rsidRDefault="00F4009D" w:rsidP="00F4009D">
            <w:pPr>
              <w:keepNext/>
              <w:keepLines/>
              <w:widowControl w:val="0"/>
              <w:suppressAutoHyphens/>
              <w:ind w:left="97" w:right="-30"/>
              <w:rPr>
                <w:snapToGrid w:val="0"/>
                <w:sz w:val="19"/>
                <w:szCs w:val="19"/>
              </w:rPr>
            </w:pPr>
            <w:r w:rsidRPr="00F4009D">
              <w:rPr>
                <w:snapToGrid w:val="0"/>
                <w:sz w:val="19"/>
                <w:szCs w:val="19"/>
              </w:rPr>
              <w:t>2019-20</w:t>
            </w:r>
            <w:r w:rsidRPr="00F4009D">
              <w:rPr>
                <w:snapToGrid w:val="0"/>
                <w:sz w:val="19"/>
                <w:szCs w:val="19"/>
                <w:vertAlign w:val="superscript"/>
              </w:rPr>
              <w:t>(6)</w:t>
            </w:r>
          </w:p>
        </w:tc>
        <w:tc>
          <w:tcPr>
            <w:tcW w:w="1058" w:type="dxa"/>
          </w:tcPr>
          <w:p w14:paraId="2C10AEAA" w14:textId="77777777" w:rsidR="00F4009D" w:rsidRPr="00F4009D" w:rsidRDefault="00F4009D" w:rsidP="00F4009D">
            <w:pPr>
              <w:keepNext/>
              <w:keepLines/>
              <w:widowControl w:val="0"/>
              <w:tabs>
                <w:tab w:val="decimal" w:pos="-896"/>
              </w:tabs>
              <w:ind w:right="184"/>
              <w:jc w:val="right"/>
              <w:rPr>
                <w:snapToGrid w:val="0"/>
                <w:color w:val="000000"/>
                <w:sz w:val="19"/>
                <w:szCs w:val="19"/>
              </w:rPr>
            </w:pPr>
            <w:r w:rsidRPr="00F4009D">
              <w:rPr>
                <w:snapToGrid w:val="0"/>
                <w:color w:val="000000"/>
                <w:sz w:val="19"/>
                <w:szCs w:val="19"/>
              </w:rPr>
              <w:t>104,062</w:t>
            </w:r>
          </w:p>
        </w:tc>
        <w:tc>
          <w:tcPr>
            <w:tcW w:w="1059" w:type="dxa"/>
          </w:tcPr>
          <w:p w14:paraId="17097B0B"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71,400</w:t>
            </w:r>
          </w:p>
        </w:tc>
        <w:tc>
          <w:tcPr>
            <w:tcW w:w="1169" w:type="dxa"/>
          </w:tcPr>
          <w:p w14:paraId="61C22564" w14:textId="77777777" w:rsidR="00F4009D" w:rsidRPr="00F4009D" w:rsidRDefault="00F4009D" w:rsidP="00F4009D">
            <w:pPr>
              <w:keepNext/>
              <w:keepLines/>
              <w:widowControl w:val="0"/>
              <w:tabs>
                <w:tab w:val="decimal" w:pos="-896"/>
                <w:tab w:val="decimal" w:pos="-144"/>
              </w:tabs>
              <w:ind w:right="250"/>
              <w:jc w:val="right"/>
              <w:rPr>
                <w:snapToGrid w:val="0"/>
                <w:color w:val="000000"/>
                <w:sz w:val="19"/>
                <w:szCs w:val="19"/>
              </w:rPr>
            </w:pPr>
            <w:r w:rsidRPr="00F4009D">
              <w:rPr>
                <w:snapToGrid w:val="0"/>
                <w:color w:val="000000"/>
                <w:sz w:val="19"/>
                <w:szCs w:val="19"/>
              </w:rPr>
              <w:t>32,662</w:t>
            </w:r>
          </w:p>
        </w:tc>
        <w:tc>
          <w:tcPr>
            <w:tcW w:w="1059" w:type="dxa"/>
          </w:tcPr>
          <w:p w14:paraId="702169B5" w14:textId="77777777" w:rsidR="00F4009D" w:rsidRPr="00F4009D" w:rsidRDefault="00F4009D" w:rsidP="00F4009D">
            <w:pPr>
              <w:keepNext/>
              <w:keepLines/>
              <w:widowControl w:val="0"/>
              <w:tabs>
                <w:tab w:val="decimal" w:pos="-896"/>
                <w:tab w:val="decimal" w:pos="-142"/>
              </w:tabs>
              <w:ind w:left="-412" w:right="228"/>
              <w:jc w:val="right"/>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c>
          <w:tcPr>
            <w:tcW w:w="1103" w:type="dxa"/>
          </w:tcPr>
          <w:p w14:paraId="4CE132AC" w14:textId="77777777" w:rsidR="00F4009D" w:rsidRPr="00F4009D" w:rsidRDefault="00F4009D" w:rsidP="00F4009D">
            <w:pPr>
              <w:keepNext/>
              <w:keepLines/>
              <w:widowControl w:val="0"/>
              <w:tabs>
                <w:tab w:val="decimal" w:pos="-896"/>
                <w:tab w:val="decimal" w:pos="408"/>
              </w:tabs>
              <w:ind w:right="-86"/>
              <w:jc w:val="center"/>
              <w:rPr>
                <w:snapToGrid w:val="0"/>
                <w:color w:val="000000"/>
                <w:sz w:val="19"/>
                <w:szCs w:val="19"/>
              </w:rPr>
            </w:pPr>
            <w:r w:rsidRPr="00F4009D">
              <w:rPr>
                <w:snapToGrid w:val="0"/>
                <w:color w:val="000000"/>
                <w:sz w:val="19"/>
                <w:szCs w:val="19"/>
              </w:rPr>
              <w:t>--</w:t>
            </w:r>
            <w:r w:rsidRPr="00F4009D">
              <w:rPr>
                <w:snapToGrid w:val="0"/>
                <w:color w:val="000000"/>
                <w:sz w:val="19"/>
                <w:szCs w:val="19"/>
                <w:vertAlign w:val="superscript"/>
              </w:rPr>
              <w:t>(4)</w:t>
            </w:r>
          </w:p>
        </w:tc>
      </w:tr>
    </w:tbl>
    <w:p w14:paraId="234D84CA" w14:textId="77777777" w:rsidR="00F4009D" w:rsidRPr="00F4009D" w:rsidRDefault="00F4009D" w:rsidP="00F4009D">
      <w:pPr>
        <w:keepNext/>
        <w:keepLines/>
        <w:rPr>
          <w:color w:val="000000"/>
          <w:szCs w:val="22"/>
          <w:u w:val="single"/>
        </w:rPr>
      </w:pPr>
      <w:r w:rsidRPr="00F4009D">
        <w:rPr>
          <w:color w:val="000000"/>
          <w:u w:val="single"/>
        </w:rPr>
        <w:tab/>
      </w:r>
      <w:r w:rsidRPr="00F4009D">
        <w:rPr>
          <w:color w:val="000000"/>
          <w:u w:val="single"/>
        </w:rPr>
        <w:tab/>
      </w:r>
    </w:p>
    <w:p w14:paraId="6FEBF4F3" w14:textId="77777777" w:rsidR="00F4009D" w:rsidRPr="00F4009D" w:rsidRDefault="00F4009D" w:rsidP="00F4009D">
      <w:pPr>
        <w:keepNext/>
        <w:keepLines/>
        <w:numPr>
          <w:ilvl w:val="0"/>
          <w:numId w:val="29"/>
        </w:numPr>
        <w:ind w:left="360"/>
        <w:jc w:val="both"/>
        <w:rPr>
          <w:color w:val="000000"/>
          <w:sz w:val="18"/>
        </w:rPr>
      </w:pPr>
      <w:r w:rsidRPr="00F4009D">
        <w:rPr>
          <w:color w:val="000000"/>
          <w:sz w:val="18"/>
        </w:rPr>
        <w:t>Amounts may not add due to rounding.</w:t>
      </w:r>
    </w:p>
    <w:p w14:paraId="4A20F7A0" w14:textId="77777777" w:rsidR="00F4009D" w:rsidRPr="00F4009D" w:rsidRDefault="00F4009D" w:rsidP="00F4009D">
      <w:pPr>
        <w:keepNext/>
        <w:keepLines/>
        <w:numPr>
          <w:ilvl w:val="0"/>
          <w:numId w:val="29"/>
        </w:numPr>
        <w:ind w:left="360"/>
        <w:jc w:val="both"/>
        <w:rPr>
          <w:color w:val="000000"/>
          <w:sz w:val="18"/>
        </w:rPr>
      </w:pPr>
      <w:r w:rsidRPr="00F4009D">
        <w:rPr>
          <w:color w:val="000000"/>
          <w:sz w:val="18"/>
        </w:rPr>
        <w:t>Reflects market value of assets, including the assets allocated to the SBPA reserve.  Since the benefits provided through the SBPA are not a part of the projected benefits included in the actuarial valuations summarized above, the SBPA reserve is subtracted from the STRS Defined Benefit Program assets to arrive at the value of assets available to support benefits included in the respective actuarial valuations.</w:t>
      </w:r>
    </w:p>
    <w:p w14:paraId="6DC89DF2" w14:textId="77777777" w:rsidR="00F4009D" w:rsidRPr="00F4009D" w:rsidRDefault="00F4009D" w:rsidP="00F4009D">
      <w:pPr>
        <w:keepNext/>
        <w:keepLines/>
        <w:numPr>
          <w:ilvl w:val="0"/>
          <w:numId w:val="29"/>
        </w:numPr>
        <w:ind w:left="360"/>
        <w:jc w:val="both"/>
        <w:rPr>
          <w:color w:val="000000"/>
          <w:sz w:val="18"/>
        </w:rPr>
      </w:pPr>
      <w:r w:rsidRPr="00F4009D">
        <w:rPr>
          <w:color w:val="000000"/>
          <w:sz w:val="18"/>
        </w:rPr>
        <w:t xml:space="preserve">Reflects actuarial value of assets. </w:t>
      </w:r>
    </w:p>
    <w:p w14:paraId="4460518A" w14:textId="77777777" w:rsidR="00F4009D" w:rsidRPr="00F4009D" w:rsidRDefault="00F4009D" w:rsidP="00F4009D">
      <w:pPr>
        <w:keepNext/>
        <w:keepLines/>
        <w:numPr>
          <w:ilvl w:val="0"/>
          <w:numId w:val="29"/>
        </w:numPr>
        <w:ind w:left="360"/>
        <w:jc w:val="both"/>
        <w:rPr>
          <w:color w:val="000000"/>
          <w:sz w:val="18"/>
        </w:rPr>
      </w:pPr>
      <w:r w:rsidRPr="00F4009D">
        <w:rPr>
          <w:color w:val="000000"/>
          <w:sz w:val="18"/>
        </w:rPr>
        <w:t xml:space="preserve">Effective for the June 30, 2014 actuarial valuation, PERS no longer uses an actuarial value of assets. </w:t>
      </w:r>
    </w:p>
    <w:p w14:paraId="3E24E217" w14:textId="77777777" w:rsidR="00F4009D" w:rsidRPr="00F4009D" w:rsidRDefault="00F4009D" w:rsidP="00F4009D">
      <w:pPr>
        <w:keepNext/>
        <w:keepLines/>
        <w:numPr>
          <w:ilvl w:val="0"/>
          <w:numId w:val="29"/>
        </w:numPr>
        <w:ind w:left="360"/>
        <w:jc w:val="both"/>
        <w:rPr>
          <w:color w:val="000000"/>
          <w:sz w:val="18"/>
        </w:rPr>
      </w:pPr>
      <w:r w:rsidRPr="00F4009D">
        <w:rPr>
          <w:color w:val="000000"/>
          <w:sz w:val="18"/>
        </w:rPr>
        <w:t>For fiscal year 2020-21, the additional $430 million State contribution made pursuant to AB 84 did not directly impact the actuarially determined contribution as it was not yet in the Schools Pool by the June 30, 2019 actuarial valuation date.  The additional State contribution was treated as an advance payment toward the unfunded accrued liability contribution with required employer contribution rate correspondingly reduced.</w:t>
      </w:r>
    </w:p>
    <w:p w14:paraId="280266B9" w14:textId="77777777" w:rsidR="00F4009D" w:rsidRPr="00F4009D" w:rsidRDefault="00F4009D" w:rsidP="00F4009D">
      <w:pPr>
        <w:keepNext/>
        <w:keepLines/>
        <w:numPr>
          <w:ilvl w:val="0"/>
          <w:numId w:val="29"/>
        </w:numPr>
        <w:ind w:left="360"/>
        <w:jc w:val="both"/>
        <w:rPr>
          <w:color w:val="000000"/>
          <w:sz w:val="18"/>
        </w:rPr>
      </w:pPr>
      <w:r w:rsidRPr="00F4009D">
        <w:rPr>
          <w:color w:val="000000"/>
          <w:sz w:val="18"/>
        </w:rPr>
        <w:t>For fiscal year 2021-22, the impact of the additional $330 million State contribution made pursuant to AB 84 is directly reflected in the actuarially determined contribution, because the additional payment was in the Schools Pool as of the June 30, 2020 actuarial valuation date, which served to reduce the required employer contribution rate by 2.16% of payroll.  For fiscal year 2021-22, the impact of the additional $330 million State contribution made pursuant to AB 84 is directly reflected in the actuarially determined contribution, because the additional payment was in the Schools Pool as of the June 30, 2020 actuarial valuation date, which served to reduce the required employer contribution rate by 2.16% of payroll.</w:t>
      </w:r>
    </w:p>
    <w:p w14:paraId="7F2B7CED" w14:textId="77777777" w:rsidR="00F4009D" w:rsidRPr="00F4009D" w:rsidRDefault="00F4009D" w:rsidP="00F4009D">
      <w:pPr>
        <w:keepLines/>
        <w:jc w:val="both"/>
        <w:rPr>
          <w:i/>
          <w:sz w:val="16"/>
          <w:szCs w:val="16"/>
        </w:rPr>
      </w:pPr>
      <w:r w:rsidRPr="00F4009D">
        <w:rPr>
          <w:i/>
          <w:color w:val="000000"/>
          <w:sz w:val="18"/>
        </w:rPr>
        <w:t>Source: PERS Schools Pool Actuarial Valuation; STRS Defined Benefit Program Actuarial Valuation.</w:t>
      </w:r>
    </w:p>
    <w:p w14:paraId="4264995E" w14:textId="77777777" w:rsidR="00F4009D" w:rsidRPr="00F4009D" w:rsidRDefault="00F4009D" w:rsidP="00F4009D">
      <w:pPr>
        <w:spacing w:before="240" w:after="240"/>
        <w:ind w:firstLine="720"/>
        <w:jc w:val="both"/>
      </w:pPr>
      <w:r w:rsidRPr="00F4009D">
        <w:t xml:space="preserve">The STRS Board has sole authority to determine the actuarial assumptions and methods used for the valuation of the STRS Defined Benefit Program.  Based on the multi-year CalSTRS Experience Analysis (spanning from July 1, 2010, through June 30, 2015) (the “2017 Experience Analysis”), on February 1, 2017, </w:t>
      </w:r>
      <w:r w:rsidRPr="00F4009D">
        <w:lastRenderedPageBreak/>
        <w:t xml:space="preserve">the STRS Board adopted a new set of actuarial assumptions that reflect member’s increasing life expectancies and current economic trends.  These new assumptions were first reflected in the STRS Defined Benefit Program Actuarial Valuation, as of June 30, 2016 (the “2016 STRS Actuarial Valuation”).  The new actuarial assumptions include, but are not limited to: (i) adopting a generational mortality methodology to reflect past improvements in life expectancies and provide a more dynamic assessment of future life spans, (ii) decreasing the investment rate of return (net of investment and administrative expenses) to 7.25% for the 2016 STRS Actuarial Valuation and 7.00% for the June 30, 2017 actuarial evaluation (the “2017 STRS Actuarial Valuation”), and (iii) decreasing the projected wage growth to 3.50% and the projected inflation rate to 2.75%.  </w:t>
      </w:r>
    </w:p>
    <w:p w14:paraId="285C7BFF" w14:textId="77777777" w:rsidR="00F4009D" w:rsidRPr="00F4009D" w:rsidRDefault="00F4009D" w:rsidP="00F4009D">
      <w:pPr>
        <w:spacing w:after="240"/>
        <w:ind w:firstLine="720"/>
        <w:jc w:val="both"/>
      </w:pPr>
      <w:r w:rsidRPr="00F4009D">
        <w:t>Based on the multi-year CalSTRS Experience Analysis (spanning from July 1, 2015, through June 30, 2018) (the “2020 Experience Analysis”), on January 31, 2020, the STRS Board adopted a new set of actuarial assumptions that were first reflected in the STRS Defined Benefit Program Actuarial Valuation, as of June 30, 2019 (the “2019 STRS Actuarial Valuation”).  While no changes were made to the actuarial assumptions discussed above, which were established as a result of the 2017 Experience Analysis, certain demographic changes were made, including: (i) lowering the termination rates to reflect a continued trend of lower than expected teachers leaving their employment prior to retirement, and (ii) adopting changes to the retirement rates for both employees hire before the Implementation Date and after the Implementation Date to better reflect the anticipated impact of years of service on retirements.  The 2019 STRS Actuarial Valuation continues using the Entry Age Normal Actuarial Cost Method.</w:t>
      </w:r>
    </w:p>
    <w:p w14:paraId="7F0DBF19" w14:textId="77777777" w:rsidR="00F4009D" w:rsidRPr="00F4009D" w:rsidRDefault="00F4009D" w:rsidP="00F4009D">
      <w:pPr>
        <w:spacing w:after="240"/>
        <w:ind w:firstLine="720"/>
        <w:jc w:val="both"/>
      </w:pPr>
      <w:r w:rsidRPr="00F4009D">
        <w:t>The STRS Defined Benefit Program Actuarial Valuation, as of June 30, 2020 (the “2020 STRS Actuarial Valuation”) reports that the unfunded actuarial obligation increased by $172 million since the 2019 STRS Actuarial Valuation and the funded ratio increased by 1.1% to 67.1% over such time period.  The increase in the funded ratio is primarily due to salary increases less than assumed, additional State contributions, and contributions to pay down the unfunded actuarial obligation under the STRS Board’s valuation policy.</w:t>
      </w:r>
    </w:p>
    <w:p w14:paraId="4D691DA3" w14:textId="77777777" w:rsidR="00F4009D" w:rsidRPr="00F4009D" w:rsidRDefault="00F4009D" w:rsidP="00F4009D">
      <w:pPr>
        <w:spacing w:after="240"/>
        <w:ind w:firstLine="720"/>
        <w:jc w:val="both"/>
      </w:pPr>
      <w:r w:rsidRPr="00F4009D">
        <w:t>According to the 2020 STRS Actuarial Valuation, the future revenues from contributions and appropriations for the STRS Defined Benefit Program are projected to be approximately sufficient to finance its obligations with a projected ending funded ratio in fiscal year ending June 30, 2046 of 99.6%, except for a small portion of the unfunded actuarial obligation related to service accrued on or after July 1, 2014 for member benefits adopted after 1990, for which AB 1469 provides no authority to the STRS Board to adjust rates to pay down that portion of the unfunded actuarial obligation.  This finding reflects the scheduled contribution rate increases directed by statute, assumes additional increases in the scheduled contribution rates allowed under the current law will be made, and is based on the valuation assumptions and valuation policy adopted by the STRS Board, including a 7.00% investment rate of return assumption.</w:t>
      </w:r>
    </w:p>
    <w:p w14:paraId="54A2E449" w14:textId="77777777" w:rsidR="00F4009D" w:rsidRPr="00F4009D" w:rsidRDefault="00F4009D" w:rsidP="00F4009D">
      <w:pPr>
        <w:spacing w:after="240"/>
        <w:ind w:firstLine="720"/>
        <w:jc w:val="both"/>
      </w:pPr>
      <w:r w:rsidRPr="00F4009D">
        <w:t xml:space="preserve">In the STRS 2020 Review of Funding Levels and Risks, STRS noted that COVID-19 has the potential to affect investment performance, the number of teachers working in California and the longevity of STRS members, which are the three main risks to long-term funding that STRS has been monitoring for the last few years.  In the 2020 STRS Actuarial Report, the actuary reports that a potential decline in the number of teachers and a slower growth in total payroll constitute the largest risk facing employers with respect to STRS.  For the 2020 STRS Actuarial Valuation, the number of teachers actively working dropped from 451,000 on June 30, 2019, to about 448,000 on June 30, 2020.  This drop in the number of working teachers, combined with salary increases, resulted in the payroll increasing by approximately 2.8% between 2019 and 2020, below the assumed 3.5% annual payroll growth.  The actuary notes that the assumed growth in the total payroll was a key component of the employer contribution rate calculated in the 2020 STRS Actuarial Valuation, and that a slower growth will require a higher employer contribution rate to be able to collect the same amount of contributions.  The actuary notes that the number of active teachers could be impacted in the future by K-12 enrollment, as well as teacher retirements.  Based on CDE reports, net enrollment in K-12 school districts decreased by 3% (160,000 students) in 2020-21, the largest drop in 20 years, and the Department of Finance projects enrollment will continue to decline in the State over the next decade.  In addition, in the first half of the fiscal year, STRS has seen a 26% increase in the number of retirements, and while an increase in </w:t>
      </w:r>
      <w:r w:rsidRPr="00F4009D">
        <w:lastRenderedPageBreak/>
        <w:t>retirements would normally not impact long-term funding, decisions made by employers about whether or not to replace the teachers who have retired could impact STRS ability to reach full funding by 2046, especially if it leads to an overall reduction in the number of teachers working in the State and a reduction in total payroll.  See “CERTAIN RISK FACTORS – Outbreak of Disease; Coronavirus” in the forepart of this Limited Offering Memorandum.</w:t>
      </w:r>
    </w:p>
    <w:p w14:paraId="081C97D8" w14:textId="77777777" w:rsidR="00F4009D" w:rsidRPr="00F4009D" w:rsidRDefault="00F4009D" w:rsidP="00F4009D">
      <w:pPr>
        <w:spacing w:after="240"/>
        <w:ind w:firstLine="720"/>
        <w:jc w:val="both"/>
      </w:pPr>
      <w:r w:rsidRPr="00F4009D">
        <w:t>In recent years, the PERS Board of Administration (the “PERS Board”) has taken several steps, as described below, intended to reduce the amount of the unfunded accrued actuarial liability of its plans, including the Schools Pool.</w:t>
      </w:r>
    </w:p>
    <w:p w14:paraId="4BF9EC58" w14:textId="77777777" w:rsidR="00F4009D" w:rsidRPr="00F4009D" w:rsidRDefault="00F4009D" w:rsidP="00F4009D">
      <w:pPr>
        <w:spacing w:after="240"/>
        <w:ind w:firstLine="720"/>
        <w:jc w:val="both"/>
      </w:pPr>
      <w:r w:rsidRPr="00F4009D">
        <w:t xml:space="preserve">On March 14, 2012, the PERS Board voted to lower the PERS’ rate of expected price inflation and its investment rate of return (net of administrative expenses) (the “PERS Discount Rate”) from 7.75% to 7.5%.  On February 18, 2014, the PERS Board voted to keep the PERS Discount Rate unchanged at 7.5%.  On November 17, 2015, the PERS Board approved a new funding risk mitigation policy to incrementally lower the PERS Discount Rate by establishing a mechanism whereby such rate is reduced by a minimum of 0.05% to a maximum of 0.25% in years when investment returns outperform the existing PERS Discount Rate by at least four percentage points.  On December 21, 2016, the PERS Board voted to lower the PERS Discount Rate to 7.0% over a three year phase-in period in accordance with the following schedule: 7.375% for the June 30, 2017 actuarial valuation, 7.25% for the June 30, 2018 actuarial valuation and 7.00% for the June 30, 2019 actuarial valuation.  The new discount rate went into effect July 1, 2017 for the State and July 1, 2018 for participant employers.  Lowering the PERS Discount Rate means employers that contract with PERS to administer their pension plans will see increases in their normal costs and unfunded actuarial liabilities.  Active members hired after January 1, 2013, under the Reform Act (defined below) will also see their contribution rates rise.  The PERS Funding Risk Mitigation Policy recently triggered an automatic decrease of 0.2% in the PERS Discount Rate due to the investment return in fiscal year 2020-21, lowering such rate to 6.8%. </w:t>
      </w:r>
    </w:p>
    <w:p w14:paraId="4DECD29F" w14:textId="77777777" w:rsidR="00F4009D" w:rsidRPr="00F4009D" w:rsidRDefault="00F4009D" w:rsidP="00F4009D">
      <w:pPr>
        <w:spacing w:after="240"/>
        <w:ind w:firstLine="720"/>
        <w:jc w:val="both"/>
      </w:pPr>
      <w:r w:rsidRPr="00F4009D">
        <w:t>On April 17, 2013, the PERS Board approved new actuarial policies aimed at returning PERS to fully-funded status within 30 years.  The policies include a rate smoothing method with a 30-year fixed amortization period for gains and losses, a five-year increase of public agency contribution rates, including the contribution rate at the onset of such amortization period, and a five year reduction of public agency contribution rates at the end of such amortization period.  The new actuarial policies were first included in the June 30, 2014 actuarial valuation and were implemented with respect the State, K-14 school districts and all other public agencies in fiscal year 2015-16.</w:t>
      </w:r>
    </w:p>
    <w:p w14:paraId="1158F1C2" w14:textId="77777777" w:rsidR="00F4009D" w:rsidRPr="00F4009D" w:rsidRDefault="00F4009D" w:rsidP="00F4009D">
      <w:pPr>
        <w:spacing w:after="240"/>
        <w:ind w:firstLine="720"/>
        <w:jc w:val="both"/>
      </w:pPr>
      <w:r w:rsidRPr="00F4009D">
        <w:t>Also, on February 20, 2014, the PERS Board approved new demographic assumptions reflecting (i) expected longer life spans of public agency employees and related increases in costs for the PERS system and (ii) trends of higher rates of retirement for certain public agency employee classes, including police officers and firefighters.  The new actuarial assumptions were first reflected in the Schools Pool in the June 30, 2015 actuarial valuation.  The increase in liability due to the new assumptions will be amortized over 20 years with increases phased in over five years, beginning with the contribution requirement for fiscal year 2016-17.  The new demographic assumptions affect the State, participant employers and all other public agencies.</w:t>
      </w:r>
    </w:p>
    <w:p w14:paraId="1C3F6AB5" w14:textId="77777777" w:rsidR="00F4009D" w:rsidRPr="00F4009D" w:rsidRDefault="00F4009D" w:rsidP="00F4009D">
      <w:pPr>
        <w:spacing w:after="240"/>
        <w:ind w:firstLine="720"/>
        <w:jc w:val="both"/>
      </w:pPr>
      <w:r w:rsidRPr="00F4009D">
        <w:t>The PERS Board is required to undertake an experience study every four years under its Actuarial Assumptions Policy and State law.  As a result of the most recent experience study, on November 17, 2021, the PERS Board approved new actuarial assumptions, including (i) lowering the inflation rate to 2.30% per year, (ii) increasing the assumed real wage inflation assumption to 0.5%, which results in a total wage inflation of 2.80%, (iii) increasing the payroll growth rate to 2.80%, and (iv) certain changes to demographic assumptions relating to modifications to the mortality rates, retirement rates, and disability rates (both work and non-work related), and rates of salary increases due to seniority and promotion.  These actuarial assumptions will be incorporated into the actuarial valuation for fiscal year ending June 30, 2021 and will first impact contribution rates for school districts in fiscal year 2022-23.  Based on the timing of the study, the member data used in the analysis, which runs through June 30, 2019, does not include the impacts of COVID</w:t>
      </w:r>
      <w:r w:rsidRPr="00F4009D">
        <w:noBreakHyphen/>
        <w:t xml:space="preserve">19.  Preliminary analysis of the system experience since the beginning of the pandemic has shown </w:t>
      </w:r>
      <w:r w:rsidRPr="00F4009D">
        <w:lastRenderedPageBreak/>
        <w:t xml:space="preserve">demographic experience (e.g. retirements, deaths, etc.) did differ from the current actuarial assumptions in some areas, which will be more precisely quantified in future actuarial valuations.  However, as of November 2021, PERS did not believe that the demographic impacts of COVID-19 would have a material impact on the system experience going forward.  </w:t>
      </w:r>
    </w:p>
    <w:p w14:paraId="47ED6351" w14:textId="77777777" w:rsidR="00F4009D" w:rsidRPr="00F4009D" w:rsidRDefault="00F4009D" w:rsidP="00F4009D">
      <w:pPr>
        <w:spacing w:after="240"/>
        <w:ind w:firstLine="720"/>
        <w:jc w:val="both"/>
      </w:pPr>
      <w:r w:rsidRPr="00F4009D">
        <w:t>On February 14, 2018, the PERS Board approved a new actuarial amortization policy with an effective date for actuarial valuations beginning on or after June 30, 2019, which includes (i) shortening the period over which actuarial gains and losses are amortized from 30 years to 20 years, (ii) requiring that amortization payments for all unfunded accrued liability bases established after the effective date be computed to remain a level dollar amount throughout the amortization period, (iii) removing the 5-year ramp-up and ramp-down on unfunded accrued liability bases attributable to assumptions changes and non-investment gains/losses established on or after the effective date and (iv) removing the 5-year ramp-down on investment gains/losses established after the effective date.  While PERS expects that reducing the amortization period for certain sources of unfunded liability will increase future average funding ratios, provide faster recovery of funded status following market downturns, decrease expected cumulative contributions, and mitigate concerns over intergenerational equity, such changes may result in increases in future employer contribution rates.</w:t>
      </w:r>
    </w:p>
    <w:p w14:paraId="7907F1CA" w14:textId="77777777" w:rsidR="00F4009D" w:rsidRPr="00F4009D" w:rsidRDefault="00F4009D" w:rsidP="00F4009D">
      <w:pPr>
        <w:spacing w:after="240"/>
        <w:ind w:firstLine="720"/>
        <w:jc w:val="both"/>
      </w:pPr>
      <w:r w:rsidRPr="00F4009D">
        <w:t>The Schools Pool Actuarial Valuation as of June 30, 2020 (the “2020 PERS Actuarial Valuation”), reported that from June 30, 2019 to June 30, 2020 the funded ratio of the Schools Pool increased by 0.1% (from 68.5% to 68.6%), which was primarily due to the additional State contribution in July 2019 offset partially by the lower than expected investment return in fiscal year 2019-20.  In addition, the 2020 PERS Actuarial Valuation reported that  (i) the return on assets for fiscal year ending June 30, 2020, was approximately 4.7% reduced for administrative expenses, which was lower than the assumed return of 7.0%, leading to an investment experience loss, (ii) the overall demographic experience produced a nominal liability experience gain, and (iii) the normal cost declined slightly as the share of the active population of employees hired after the Implementation Date (defined below) continued to increase.  When the PERS Board established the employer contribution rates for fiscal year 2021-22 on April 19, 2021, the PERS Board provided projections of the employer contribution rates for the next five fiscal years.  Assuming all then-current actuarial assumptions are realized, including investment return of 7% in fiscal year 2020-21, that no changes to assumptions, methods or benefits will occur during the projection period, along with the expected reductions in normal cost due to the continuing transition of active members from those employees hired prior to the Implementation Date (defined below), to those hired after such date, the contribution rate for fiscal year 2022-23 was projected to be 26.1%, with annual increases in most years thereafter, resulting in a projected 27.6% employer contribution rate for fiscal year 2026-27.  However, the 2020 PERS Actuarial Valuation did not provide projections of the employer contribution rates because key actuarial assumptions to be used in the June 30, 2021 actuarial valuation, particularly the PERS Discount Rate, which is the key driver of pension plan cost, are not yet known.  The PERS Discount Rate is presently undergoing review as part of the periodic Asset Liability Management Study currently in progress and other economic and demographic assumptions are also currently undergoing review as part of the PERS Experience Study conducted every four years.  It is currently anticipated that both economic and demographic assumptions will be finalized by the end of the 2021 calendar year, and once finalized PERS will produce an addendum to the 2020 PERS Actuarial Valuation, which will contain projections of the employer contribution rates for the next five fiscal years, reflecting both the new assumptions as well as the actual fiscal year 2020-21 investment return (approximately 21.9% before reduction for administrative expenses).</w:t>
      </w:r>
    </w:p>
    <w:p w14:paraId="40D3CAA5" w14:textId="09B3C415" w:rsidR="00F4009D" w:rsidRPr="00F4009D" w:rsidRDefault="00F4009D" w:rsidP="00F4009D">
      <w:pPr>
        <w:spacing w:after="240"/>
        <w:ind w:firstLine="720"/>
        <w:jc w:val="both"/>
        <w:rPr>
          <w:szCs w:val="22"/>
        </w:rPr>
      </w:pPr>
      <w:r>
        <w:rPr>
          <w:szCs w:val="22"/>
        </w:rPr>
        <w:t>Encore</w:t>
      </w:r>
      <w:r w:rsidRPr="00F4009D">
        <w:rPr>
          <w:szCs w:val="22"/>
        </w:rPr>
        <w:t xml:space="preserve"> can make no representations regarding the future program liabilities of STRS, or whether </w:t>
      </w:r>
      <w:r>
        <w:rPr>
          <w:szCs w:val="22"/>
        </w:rPr>
        <w:t>Encore</w:t>
      </w:r>
      <w:r w:rsidRPr="00F4009D">
        <w:rPr>
          <w:szCs w:val="22"/>
        </w:rPr>
        <w:t xml:space="preserve"> will be required to make additional contributions to STRS in the future above those amounts required under AB 1469.  </w:t>
      </w:r>
      <w:r>
        <w:rPr>
          <w:szCs w:val="22"/>
        </w:rPr>
        <w:t xml:space="preserve">Encore </w:t>
      </w:r>
      <w:r w:rsidRPr="00F4009D">
        <w:rPr>
          <w:szCs w:val="22"/>
        </w:rPr>
        <w:t xml:space="preserve">can also provide no assurances that </w:t>
      </w:r>
      <w:r>
        <w:rPr>
          <w:szCs w:val="22"/>
        </w:rPr>
        <w:t>Encore</w:t>
      </w:r>
      <w:r w:rsidRPr="00F4009D">
        <w:rPr>
          <w:szCs w:val="22"/>
        </w:rPr>
        <w:t>’s required contributions to PERS will not increase in the future.</w:t>
      </w:r>
    </w:p>
    <w:p w14:paraId="1811E3F3" w14:textId="77777777" w:rsidR="00F4009D" w:rsidRPr="00F4009D" w:rsidRDefault="00F4009D" w:rsidP="00F4009D">
      <w:pPr>
        <w:spacing w:after="240"/>
        <w:ind w:firstLine="720"/>
        <w:jc w:val="both"/>
        <w:rPr>
          <w:snapToGrid w:val="0"/>
          <w:szCs w:val="22"/>
        </w:rPr>
      </w:pPr>
      <w:r w:rsidRPr="00F4009D">
        <w:rPr>
          <w:b/>
          <w:i/>
          <w:szCs w:val="22"/>
        </w:rPr>
        <w:t>California Public Employees’ Pension Reform Act of 2013.</w:t>
      </w:r>
      <w:r w:rsidRPr="00F4009D">
        <w:rPr>
          <w:szCs w:val="22"/>
        </w:rPr>
        <w:t xml:space="preserve">  On September 12, 2012, the Governor signed into law the California Public Employees’ Pension Reform Act of 2013 (the “Reform Act”), which makes changes to both STRS and PERS, most substantially affecting new employees hired after January 1, </w:t>
      </w:r>
      <w:r w:rsidRPr="00F4009D">
        <w:rPr>
          <w:szCs w:val="22"/>
        </w:rPr>
        <w:lastRenderedPageBreak/>
        <w:t>2013 (the “Implementation Date”).  For STRS participants hired after the Implementation Date, the Reform Act changes the normal retirement age by increasing the eligibility for the 2% age factor (the age factor is the percent of final compensation to which an employee is entitled for each year of service) from age 60 to 62 and increasing the eligibility of the maximum age factor of 2.4% from age 63 to 65.  Similarly, for non-safety PERS participants hired after the Implementation Date, the Reform Act changes the normal retirement age by increasing the eligibility for the 2% age factor from age 55 to 62 and increases the eligibility requirement for the maximum age factor of 2.5% to age 67. Among the other changes to PERS and STRS, the Reform Act also: (i) requires all new participants enrolled in PERS and STRS after the Implementation Date to contribute at least 50% of the total annual normal cost of their pension benefit each year as determined by an actuary, (ii) requires STRS and PERS to determine the final compensation amount for employees based upon the highest annual compensation earnable averaged over a consecutive 36-month period as the basis for calculating retirement benefits for new participants enrolled after the Implementation Date (previously 12 months for STRS members who retire with 25 years of service), and (iii) caps “pensionable compensation” for new participants enrolled after the Implementation Date at 100% of the federal Social Security contribution (to be adjusted annually based on changes to the Consumer Price Index for all Urban Consumers) and benefit base for members participating in Social Security or 120% for members not participating in social security (to be adjusted annually based on changes to the Consumer Price Index for all Urban Consumers), while excluding previously allowed forms of compensation under the formula such as payments for unused vacation, annual leave, personal leave, sick leave, or compensatory time off</w:t>
      </w:r>
      <w:r w:rsidRPr="00F4009D">
        <w:rPr>
          <w:snapToGrid w:val="0"/>
          <w:szCs w:val="22"/>
        </w:rPr>
        <w:t>.</w:t>
      </w:r>
    </w:p>
    <w:p w14:paraId="0162AA1D" w14:textId="77777777" w:rsidR="00F4009D" w:rsidRPr="00F4009D" w:rsidRDefault="00F4009D" w:rsidP="00F4009D">
      <w:pPr>
        <w:spacing w:after="240"/>
        <w:ind w:firstLine="720"/>
        <w:jc w:val="both"/>
        <w:rPr>
          <w:b/>
          <w:bCs/>
        </w:rPr>
      </w:pPr>
      <w:r w:rsidRPr="00F4009D">
        <w:rPr>
          <w:b/>
          <w:i/>
        </w:rPr>
        <w:t>GASB Statement Nos. 67 and 68</w:t>
      </w:r>
      <w:r w:rsidRPr="00F4009D">
        <w:rPr>
          <w:i/>
        </w:rPr>
        <w:t>.</w:t>
      </w:r>
      <w:r w:rsidRPr="00F4009D">
        <w:t xml:space="preserve">  On June 25, 2012, GASB approved Statements Nos. 67 and 68 (“Statements”) with respect to pension accounting and financial reporting standards for state and local governments and pension plans.  The new Statements, No. 67 and No. 68, replace GASB Statement No. 27 and most of Statements No. 25 and No. 50.  The changes impact the accounting treatment of pension plans in which state and local governments participate.  Major changes include:  (1) the inclusion of unfunded pension liabilities on the government’s balance sheet (currently, such unfunded liabilities are typically included as notes to the government’s financial statements); (2) more components of full pension costs being shown as expenses regardless of actual contribution levels; (3) lower actuarial discount rates being required to be used for underfunded plans in certain cases for purposes of the financial statements; (4) closed amortization periods for unfunded liabilities being required to be used for certain purposes of the financial statements; and (5) the difference between expected and actual investment returns being recognized over a closed five-year smoothing period.  In addition, according to GASB, Statement No. 68 means that, for pensions within the scope of the Statement, a cost-sharing employer that does not have a special funding situation is required to recognize a net pension liability, deferred outflows of resources, deferred inflows of resources related to pensions and pension expense based on its proportionate share of the net pension liability for benefits provided through the pension plan.  Because the accounting standards do not require changes in funding policies, the full extent of the effect of the new standards on </w:t>
      </w:r>
      <w:r w:rsidRPr="00F4009D">
        <w:rPr>
          <w:bCs/>
        </w:rPr>
        <w:t>River Springs</w:t>
      </w:r>
      <w:r w:rsidRPr="00F4009D">
        <w:t xml:space="preserve"> is not known at this time.  The reporting requirements for pension plans took effect for the fiscal year beginning July 1, 2013 and the reporting requirements for employers, including </w:t>
      </w:r>
      <w:r w:rsidRPr="00F4009D">
        <w:rPr>
          <w:bCs/>
        </w:rPr>
        <w:t>River Springs</w:t>
      </w:r>
      <w:r w:rsidRPr="00F4009D">
        <w:t>, took effect for the fiscal year beginning July 1, 2014.</w:t>
      </w:r>
    </w:p>
    <w:p w14:paraId="5A9FE352" w14:textId="3C874C25" w:rsidR="00381196" w:rsidRDefault="00381196" w:rsidP="00381196">
      <w:pPr>
        <w:pStyle w:val="Heading2"/>
      </w:pPr>
      <w:bookmarkStart w:id="27" w:name="_Toc97152712"/>
      <w:bookmarkStart w:id="28" w:name="_Toc101330556"/>
      <w:r>
        <w:t xml:space="preserve">Outstanding Debt </w:t>
      </w:r>
      <w:bookmarkEnd w:id="27"/>
      <w:r>
        <w:t>Obligations</w:t>
      </w:r>
      <w:bookmarkEnd w:id="28"/>
    </w:p>
    <w:p w14:paraId="42E09CE0" w14:textId="326D32B7" w:rsidR="00381196" w:rsidRDefault="00AD19B6" w:rsidP="00381196">
      <w:pPr>
        <w:pStyle w:val="BodyText"/>
      </w:pPr>
      <w:r>
        <w:rPr>
          <w:b/>
          <w:bCs/>
          <w:i/>
          <w:iCs/>
        </w:rPr>
        <w:t>DMS Loan.</w:t>
      </w:r>
      <w:r w:rsidR="00381196">
        <w:t xml:space="preserve"> </w:t>
      </w:r>
      <w:r>
        <w:t xml:space="preserve"> </w:t>
      </w:r>
      <w:r w:rsidR="00A1482D">
        <w:t>[TO COME]</w:t>
      </w:r>
      <w:r w:rsidR="00381196">
        <w:t>.</w:t>
      </w:r>
    </w:p>
    <w:p w14:paraId="32B8BA99" w14:textId="77777777" w:rsidR="00AD19B6" w:rsidRDefault="00AD19B6" w:rsidP="00381196">
      <w:pPr>
        <w:pStyle w:val="BodyText"/>
      </w:pPr>
      <w:r>
        <w:rPr>
          <w:b/>
          <w:bCs/>
          <w:i/>
          <w:iCs/>
        </w:rPr>
        <w:t xml:space="preserve">Prior Bonds.  </w:t>
      </w:r>
      <w:r>
        <w:t>Encore</w:t>
      </w:r>
      <w:r w:rsidRPr="00AD19B6">
        <w:t xml:space="preserve"> made various financial covenants in the </w:t>
      </w:r>
      <w:r>
        <w:t>l</w:t>
      </w:r>
      <w:r w:rsidRPr="00AD19B6">
        <w:t>ease</w:t>
      </w:r>
      <w:r>
        <w:t xml:space="preserve"> agreement entered into in connection with the Prior Bonds</w:t>
      </w:r>
      <w:r w:rsidRPr="00AD19B6">
        <w:t xml:space="preserve">, including covenants to maintain a certain base rent coverage ratio and days cash on hand.  </w:t>
      </w:r>
      <w:r>
        <w:t xml:space="preserve">Encore </w:t>
      </w:r>
      <w:r w:rsidRPr="00AD19B6">
        <w:t xml:space="preserve">failed to meet </w:t>
      </w:r>
      <w:r>
        <w:t xml:space="preserve">such days cash on hand covenant in the </w:t>
      </w:r>
      <w:r w:rsidRPr="00AD19B6">
        <w:t>2016-17</w:t>
      </w:r>
      <w:r>
        <w:t xml:space="preserve">, </w:t>
      </w:r>
      <w:r w:rsidRPr="00AD19B6">
        <w:t>2017-18</w:t>
      </w:r>
      <w:r>
        <w:t>, 2017-19 and 2019-20</w:t>
      </w:r>
      <w:r w:rsidRPr="00AD19B6">
        <w:t xml:space="preserve"> fiscal years</w:t>
      </w:r>
      <w:r>
        <w:t xml:space="preserve">, and failed to meet the base rent coverage ratio in the 2016-17 and 2017-18 fiscal years. </w:t>
      </w:r>
    </w:p>
    <w:p w14:paraId="223F7378" w14:textId="6FA53B01" w:rsidR="00AD19B6" w:rsidRDefault="00AD19B6" w:rsidP="00381196">
      <w:pPr>
        <w:pStyle w:val="BodyText"/>
      </w:pPr>
      <w:r>
        <w:t xml:space="preserve">Pursuant to the loan agreement relating to the Prior Bonds, payments of debt service on the Prior Bonds shall be paid to the trustee for the Prior Bonds by an intercept of State apportionments sent to the trustee by the State Controller.  Due to a drop in ADA for the School from the 2020-21 school year to the 2021-22 school year, no State LCFF apportionments were payable to Encore during the months of February 2022 </w:t>
      </w:r>
      <w:r>
        <w:lastRenderedPageBreak/>
        <w:t xml:space="preserve">through May 2022.  Accordingly, </w:t>
      </w:r>
      <w:r w:rsidR="00935552">
        <w:t>monthly payments due under the loan agreement for the Prior Bonds during such months were not received via the State intercept.  Encore made such payments via wire in such months.</w:t>
      </w:r>
    </w:p>
    <w:p w14:paraId="30D583F5" w14:textId="3D17BF7A" w:rsidR="00935552" w:rsidRDefault="00935552" w:rsidP="00381196">
      <w:pPr>
        <w:pStyle w:val="BodyText"/>
      </w:pPr>
      <w:r>
        <w:t xml:space="preserve">Encore has, in the past, needed to receive approval of holders of the Prior Bonds to seek short-term cash borrowing for cashflow purposes.  Additionally, in _________, 20__, the </w:t>
      </w:r>
      <w:r w:rsidR="00730E24">
        <w:t>Corporation</w:t>
      </w:r>
      <w:r>
        <w:t xml:space="preserve"> (as defined herein) requisitioned approximately $_________ from the Repair and Replacement Fund held under the indenture for the Prior Bonds to reimburse Encore for certain capital expenditures.</w:t>
      </w:r>
    </w:p>
    <w:p w14:paraId="7355624B" w14:textId="747973FF" w:rsidR="009855E6" w:rsidRPr="00AD19B6" w:rsidRDefault="009855E6" w:rsidP="00381196">
      <w:pPr>
        <w:pStyle w:val="BodyText"/>
      </w:pPr>
      <w:r>
        <w:t xml:space="preserve">Various financial and operational reports and information have been provided to MSRB’s EMMA website, both voluntarily by Encore and pursuant to a continuing disclosure agreement entered into by Encore and the </w:t>
      </w:r>
      <w:r w:rsidR="00730E24">
        <w:t xml:space="preserve">Corporation </w:t>
      </w:r>
      <w:r>
        <w:t xml:space="preserve">in connection with the Series 2016 Bonds.  Such reports and information can be found at  </w:t>
      </w:r>
      <w:hyperlink r:id="rId18" w:history="1">
        <w:r w:rsidRPr="00FA44E3">
          <w:rPr>
            <w:rStyle w:val="Hyperlink"/>
            <w:lang w:eastAsia="en-US"/>
          </w:rPr>
          <w:t>https://emma.msrb.org/IssueView/Details/ER377246</w:t>
        </w:r>
      </w:hyperlink>
      <w:r>
        <w:t xml:space="preserve">. </w:t>
      </w:r>
    </w:p>
    <w:p w14:paraId="4890A6A3" w14:textId="77777777" w:rsidR="00381196" w:rsidRDefault="00381196" w:rsidP="00381196">
      <w:pPr>
        <w:pStyle w:val="Heading2"/>
      </w:pPr>
      <w:bookmarkStart w:id="29" w:name="_Toc97152713"/>
      <w:bookmarkStart w:id="30" w:name="_Toc101330557"/>
      <w:r>
        <w:t>SB 740</w:t>
      </w:r>
      <w:bookmarkEnd w:id="29"/>
      <w:bookmarkEnd w:id="30"/>
    </w:p>
    <w:p w14:paraId="4625652A" w14:textId="77777777" w:rsidR="00A1482D" w:rsidRDefault="00A1482D" w:rsidP="00A1482D">
      <w:pPr>
        <w:spacing w:after="240"/>
        <w:ind w:firstLine="720"/>
        <w:jc w:val="both"/>
      </w:pPr>
      <w:bookmarkStart w:id="31" w:name="_Toc404003900"/>
      <w:bookmarkStart w:id="32" w:name="_Toc97152715"/>
      <w:r>
        <w:t>Encore is currently eligible to receive funding under the California law referred to herein as SB 740,</w:t>
      </w:r>
      <w:r>
        <w:rPr>
          <w:b/>
          <w:bCs/>
        </w:rPr>
        <w:t xml:space="preserve"> </w:t>
      </w:r>
      <w:r>
        <w:t>which provides for reimbursement of facilities lease costs of 75% of the actual lease cost to the extent funded</w:t>
      </w:r>
      <w:r>
        <w:rPr>
          <w:b/>
          <w:bCs/>
        </w:rPr>
        <w:t xml:space="preserve"> </w:t>
      </w:r>
      <w:r>
        <w:t xml:space="preserve">by the State up to a limit of $1,256 per unit of classroom based ADA for the 2021-22 school year.  </w:t>
      </w:r>
      <w:r w:rsidRPr="00BE3DEC">
        <w:t xml:space="preserve">This </w:t>
      </w:r>
      <w:proofErr w:type="spellStart"/>
      <w:r w:rsidRPr="00BE3DEC">
        <w:t>per</w:t>
      </w:r>
      <w:proofErr w:type="spellEnd"/>
      <w:r w:rsidRPr="00BE3DEC">
        <w:t xml:space="preserve">-ADA amount may increase in future years based on cost of living adjustments. </w:t>
      </w:r>
      <w:r>
        <w:t xml:space="preserve"> See “APPENDIX D CALIFORNIA CHARTER SCHOOLS, RELATED STATUTES, AND FUNDING CHARTER SCHOOLS – STATE FUNDING OF EDUCATION – Allocation of State Funding to Charter Schools – SB 740 Facilities Grant Program Funding” attached to this Private Placement Memorandum.  </w:t>
      </w:r>
    </w:p>
    <w:p w14:paraId="7360E73F" w14:textId="764DE20F" w:rsidR="00A1482D" w:rsidRDefault="00A1482D" w:rsidP="00A1482D">
      <w:pPr>
        <w:spacing w:after="240"/>
        <w:ind w:firstLine="720"/>
        <w:jc w:val="both"/>
        <w:rPr>
          <w:bCs/>
        </w:rPr>
      </w:pPr>
      <w:r>
        <w:t>To be eligible for SB 740 reimbursement,</w:t>
      </w:r>
      <w:r>
        <w:rPr>
          <w:b/>
          <w:bCs/>
        </w:rPr>
        <w:t xml:space="preserve"> </w:t>
      </w:r>
      <w:r>
        <w:t>a charter school must serve a student population with at least 55% of its student population eligible for free</w:t>
      </w:r>
      <w:r>
        <w:rPr>
          <w:b/>
          <w:bCs/>
        </w:rPr>
        <w:t xml:space="preserve"> </w:t>
      </w:r>
      <w:r>
        <w:t>or reduced lunch, or be located in a public elementary school attendance area with such composition.</w:t>
      </w:r>
      <w:r w:rsidRPr="00E94264">
        <w:rPr>
          <w:bCs/>
        </w:rPr>
        <w:t xml:space="preserve">  </w:t>
      </w:r>
      <w:r>
        <w:rPr>
          <w:bCs/>
        </w:rPr>
        <w:t>During the 2021-22 school year, the School is serving a student population with 47.1% of students eligible for free or reduced lunch.  The School is located in the public elementary school attendance area of Juniper Elementary School, which is serving a student population with 80.5% of students eligible for free or reduced lunch.</w:t>
      </w:r>
    </w:p>
    <w:p w14:paraId="67945784" w14:textId="687E96CF" w:rsidR="00A1482D" w:rsidRDefault="00A1482D" w:rsidP="00A1482D">
      <w:pPr>
        <w:spacing w:after="240"/>
        <w:ind w:firstLine="720"/>
        <w:jc w:val="both"/>
      </w:pPr>
      <w:r>
        <w:t>Encore was awarded SB 740 funding for the School of $__________ and $__________ in fiscal years 2019-20 and 2020-21, respectively, and projects to receive $__________ in fiscal year 2021-22.</w:t>
      </w:r>
    </w:p>
    <w:p w14:paraId="40EE5811" w14:textId="72A54433" w:rsidR="00A1482D" w:rsidRDefault="00A1482D" w:rsidP="00A1482D">
      <w:pPr>
        <w:spacing w:after="240"/>
        <w:ind w:firstLine="720"/>
        <w:jc w:val="both"/>
        <w:rPr>
          <w:b/>
          <w:bCs/>
        </w:rPr>
      </w:pPr>
      <w:r>
        <w:t>There</w:t>
      </w:r>
      <w:r>
        <w:rPr>
          <w:b/>
          <w:bCs/>
        </w:rPr>
        <w:t xml:space="preserve"> </w:t>
      </w:r>
      <w:r>
        <w:t>can be no assurance that any particular level of SB 740 funding will be available in fiscal year 2021-22, or any</w:t>
      </w:r>
      <w:r>
        <w:rPr>
          <w:b/>
          <w:bCs/>
        </w:rPr>
        <w:t xml:space="preserve"> </w:t>
      </w:r>
      <w:r>
        <w:t xml:space="preserve">future year, or that the School will remain eligible for such funding.  See “CERTAIN RISK FACTORS – </w:t>
      </w:r>
      <w:r w:rsidRPr="000A4336">
        <w:t>Dependence on State Aid Payments that are Subject to Annual Appropriation and Political Factors</w:t>
      </w:r>
      <w:r>
        <w:t>,” “– Specific Risks of Charter Schools – Charter School Law” and “– SB 740 Funding” in the forepart of this Private Placement Memorandum.</w:t>
      </w:r>
    </w:p>
    <w:p w14:paraId="132126F2" w14:textId="77777777" w:rsidR="00381196" w:rsidRDefault="00381196" w:rsidP="00381196">
      <w:pPr>
        <w:pStyle w:val="Heading2"/>
      </w:pPr>
      <w:bookmarkStart w:id="33" w:name="_Toc101330558"/>
      <w:r>
        <w:t>No Material Litigation</w:t>
      </w:r>
      <w:bookmarkEnd w:id="33"/>
    </w:p>
    <w:p w14:paraId="79DFD68C" w14:textId="77777777" w:rsidR="00381196" w:rsidRDefault="00381196" w:rsidP="00381196">
      <w:pPr>
        <w:pStyle w:val="BodyText"/>
      </w:pPr>
      <w:r>
        <w:t>No action, suit, proceeding or investigation at law or in equity, before or by any court, governmental agency or public board or body is pending or, to the knowledge of Encore or the Borrower, threatened, affecting the validity of the Lease or the Bonds or contesting the corporate existence of the Borrower, the Landlord, Encore or its authority to operate the School pursuant to its charter.</w:t>
      </w:r>
    </w:p>
    <w:p w14:paraId="1B36A163" w14:textId="050C7B4D" w:rsidR="00381196" w:rsidRDefault="00381196" w:rsidP="00935552">
      <w:pPr>
        <w:pStyle w:val="BodyText"/>
      </w:pPr>
      <w:r>
        <w:t xml:space="preserve">Encore, the Landlord and the </w:t>
      </w:r>
      <w:r w:rsidR="00730E24">
        <w:t xml:space="preserve">Corporation </w:t>
      </w:r>
      <w:r>
        <w:t>are subject to lawsuits and claims in the ordinary course of their operations.  In the opinion of the management of Encore and the Borrower, the aggregate amount of the uninsured liabilities for such lawsuits and claims will not materially affect the finances of the Borrower, the Landlord or Encore, or its operation of the School.</w:t>
      </w:r>
    </w:p>
    <w:p w14:paraId="1E812984" w14:textId="16CD047A" w:rsidR="00935552" w:rsidRPr="00935552" w:rsidRDefault="00935552" w:rsidP="00381196">
      <w:pPr>
        <w:pStyle w:val="BodyText"/>
        <w:spacing w:after="360"/>
      </w:pPr>
      <w:r>
        <w:rPr>
          <w:b/>
          <w:bCs/>
          <w:i/>
          <w:iCs/>
        </w:rPr>
        <w:t xml:space="preserve">Termination of Prior Administrators.  </w:t>
      </w:r>
      <w:r>
        <w:t>[TO COME]</w:t>
      </w:r>
    </w:p>
    <w:p w14:paraId="0FF1C22D" w14:textId="0C8B7618" w:rsidR="008465A5" w:rsidRDefault="00905C21" w:rsidP="008465A5">
      <w:pPr>
        <w:pStyle w:val="Heading1"/>
      </w:pPr>
      <w:bookmarkStart w:id="34" w:name="_Toc8650348"/>
      <w:bookmarkStart w:id="35" w:name="_Toc101330559"/>
      <w:bookmarkEnd w:id="31"/>
      <w:bookmarkEnd w:id="32"/>
      <w:bookmarkEnd w:id="9"/>
      <w:bookmarkEnd w:id="3"/>
      <w:bookmarkEnd w:id="0"/>
      <w:bookmarkEnd w:id="1"/>
      <w:r>
        <w:rPr>
          <w:caps w:val="0"/>
        </w:rPr>
        <w:lastRenderedPageBreak/>
        <w:t>PROJECTIONS AND CASH FLOWS</w:t>
      </w:r>
      <w:bookmarkEnd w:id="34"/>
      <w:bookmarkEnd w:id="35"/>
    </w:p>
    <w:p w14:paraId="48B2F2DE" w14:textId="2C37C85E" w:rsidR="008465A5" w:rsidRDefault="008465A5" w:rsidP="008465A5">
      <w:pPr>
        <w:keepLines/>
        <w:spacing w:after="240"/>
        <w:ind w:firstLine="720"/>
        <w:jc w:val="both"/>
      </w:pPr>
      <w:bookmarkStart w:id="36" w:name="_Toc439955370"/>
      <w:r>
        <w:t xml:space="preserve">Attached to this </w:t>
      </w:r>
      <w:r w:rsidR="00B54786">
        <w:t xml:space="preserve">Private Placement </w:t>
      </w:r>
      <w:r>
        <w:t xml:space="preserve">Memorandum as Appendix </w:t>
      </w:r>
      <w:proofErr w:type="spellStart"/>
      <w:r>
        <w:t>C are</w:t>
      </w:r>
      <w:proofErr w:type="spellEnd"/>
      <w:r>
        <w:t xml:space="preserve"> financial projections and projected cash flows of </w:t>
      </w:r>
      <w:r w:rsidR="00935552">
        <w:t>Encore</w:t>
      </w:r>
      <w:r>
        <w:t xml:space="preserve">.  Notwithstanding </w:t>
      </w:r>
      <w:r w:rsidR="00935552">
        <w:t xml:space="preserve">Encore’s </w:t>
      </w:r>
      <w:r>
        <w:t xml:space="preserve">history of performance with respect to the School, future financial performance of the School may not equal or exceed the projections set forth in this </w:t>
      </w:r>
      <w:r w:rsidR="00B54786">
        <w:t xml:space="preserve">Private Placement </w:t>
      </w:r>
      <w:r>
        <w:t xml:space="preserve">Memorandum.  No assurance is given that such projections will be met, or that the number of students attending the School may not diminish in the future.  The projections of revenue and expenses contained in Appendix C are based upon the number of students projected to be enrolled at the School and were prepared by </w:t>
      </w:r>
      <w:r w:rsidR="00935552">
        <w:t xml:space="preserve">Encore </w:t>
      </w:r>
      <w:r>
        <w:t xml:space="preserve">and have not been independently verified by any party other than </w:t>
      </w:r>
      <w:r w:rsidR="00935552">
        <w:t>Encore</w:t>
      </w:r>
      <w:r w:rsidR="0057096A">
        <w:t>.</w:t>
      </w:r>
    </w:p>
    <w:p w14:paraId="141C032C" w14:textId="06A819E1" w:rsidR="008465A5" w:rsidRDefault="008465A5" w:rsidP="008465A5">
      <w:pPr>
        <w:spacing w:after="240"/>
        <w:ind w:firstLine="720"/>
        <w:jc w:val="both"/>
      </w:pPr>
      <w:r>
        <w:t xml:space="preserve">The projections are “forward-looking statements” and are subject to the general qualifications and limitations described herein.  The </w:t>
      </w:r>
      <w:r w:rsidR="00935552">
        <w:t xml:space="preserve">Placement Agent </w:t>
      </w:r>
      <w:r>
        <w:t>has not inde</w:t>
      </w:r>
      <w:r w:rsidR="0057096A">
        <w:t>pendently verified the Borrower’</w:t>
      </w:r>
      <w:r w:rsidR="00AE13D1">
        <w:t>s</w:t>
      </w:r>
      <w:r>
        <w:t xml:space="preserve"> projections set forth in Appendix C or otherwise, and makes no representations nor gives any assurances that such projections, or the assumptions underlying them, are complete or correct.</w:t>
      </w:r>
    </w:p>
    <w:p w14:paraId="319C1078" w14:textId="0D6584AA" w:rsidR="00140099" w:rsidRDefault="00935552" w:rsidP="008465A5">
      <w:pPr>
        <w:spacing w:after="240"/>
        <w:ind w:firstLine="720"/>
        <w:jc w:val="both"/>
      </w:pPr>
      <w:r>
        <w:t xml:space="preserve">ENCORE </w:t>
      </w:r>
      <w:r w:rsidR="008465A5">
        <w:t xml:space="preserve">PREPARED THE PROJECTIONS BASED ON ASSUMPTIONS ABOUT FUTURE STATE FUNDING LEVELS AND FUTURE OPERATIONS OF THE SCHOOL, INCLUDING STUDENT ENROLLMENT AND EXPENSES.  THERE CAN BE NO ASSURANCE THAT ACTUAL ENROLLMENT REVENUES AND EXPENSES WILL BE CONSISTENT WITH THE ASSUMPTIONS UNDERLYING SUCH PROJECTIONS.  MOREOVER, NO GUARANTEE CAN BE MADE THAT THE PROJECTIONS OF REVENUES AND EXPENSES INCLUDED HEREIN WILL CORRESPOND WITH THE RESULTS ACTUALLY ACHIEVED IN THE FUTURE BECAUSE THERE CAN BE NO ASSURANCE THAT ACTUAL EVENTS WILL CORRESPOND WITH THE PROJECTIONS’ UNDERLYING ASSUMPTIONS.  ACTUAL OPERATING RESULTS MAY BE AFFECTED BY MANY FACTORS, INCLUDING, BUT NOT LIMITED TO, INCREASED COSTS, LOWER THAN ANTICIPATED REVENUES (AS A RESULT OF INSUFFICIENT ENROLLMENT, REDUCED STATE OR FEDERAL AID PAYMENTS, OR OTHERWISE), EMPLOYEE RELATIONS, CHANGES IN TAXES, CHANGES IN APPLICABLE GOVERNMENT REGULATIONS, CHANGES IN DEMOGRAPHIC TRENDS, CHANGES IN EDUCATION COMPETITION AND CHANGES IN LOCAL OR GENERAL ECONOMIC CONDITIONS.  REFER TO “INTRODUCTION” IN THE FOREPART OF THIS </w:t>
      </w:r>
      <w:r w:rsidR="00B54786">
        <w:t>PRIVATE PLACEMENT</w:t>
      </w:r>
      <w:r w:rsidR="008465A5">
        <w:t xml:space="preserve"> MEMORANDUM FOR QUALIFICATION AND LIMITATIONS APPLICABLE TO FORWARD-LOOKING STATEMENTS.</w:t>
      </w:r>
      <w:bookmarkEnd w:id="36"/>
    </w:p>
    <w:p w14:paraId="357BFCB3" w14:textId="6FF33961" w:rsidR="00BE6496" w:rsidRDefault="00905C21" w:rsidP="00BE6496">
      <w:pPr>
        <w:pStyle w:val="Heading1"/>
      </w:pPr>
      <w:bookmarkStart w:id="37" w:name="_Toc463502869"/>
      <w:bookmarkStart w:id="38" w:name="_Toc101330560"/>
      <w:r>
        <w:rPr>
          <w:caps w:val="0"/>
        </w:rPr>
        <w:t>THE BORROWER</w:t>
      </w:r>
      <w:bookmarkEnd w:id="37"/>
      <w:bookmarkEnd w:id="38"/>
    </w:p>
    <w:p w14:paraId="709A31D2" w14:textId="77777777" w:rsidR="00BE6496" w:rsidRDefault="00BE6496" w:rsidP="00BE6496">
      <w:pPr>
        <w:pStyle w:val="Heading2"/>
      </w:pPr>
      <w:bookmarkStart w:id="39" w:name="_Toc463502870"/>
      <w:bookmarkStart w:id="40" w:name="_Toc101330561"/>
      <w:r>
        <w:t>General</w:t>
      </w:r>
      <w:bookmarkEnd w:id="39"/>
      <w:bookmarkEnd w:id="40"/>
    </w:p>
    <w:p w14:paraId="66763A7A" w14:textId="3759CC0B" w:rsidR="00BE6496" w:rsidRDefault="00BE6496" w:rsidP="00BE6496">
      <w:pPr>
        <w:spacing w:after="240"/>
        <w:ind w:firstLine="720"/>
        <w:jc w:val="both"/>
      </w:pPr>
      <w:r>
        <w:t xml:space="preserve">Western Encore Properties Incorporated (the “Borrower”) is a California nonprofit public benefit corporation.  The </w:t>
      </w:r>
      <w:r w:rsidR="00730E24">
        <w:t xml:space="preserve">Corporation </w:t>
      </w:r>
      <w:r>
        <w:t xml:space="preserve">is organized and operated exclusively for charitable purposes and was formed by Encore in 2015 as a support organization under Section 509(a)(3) of the Code for Encore. </w:t>
      </w:r>
    </w:p>
    <w:p w14:paraId="08DBFD80" w14:textId="44C682D4" w:rsidR="00BE6496" w:rsidRDefault="00BE6496" w:rsidP="00BE6496">
      <w:pPr>
        <w:spacing w:after="240"/>
        <w:ind w:firstLine="720"/>
        <w:jc w:val="both"/>
      </w:pPr>
      <w:r>
        <w:t xml:space="preserve">The </w:t>
      </w:r>
      <w:r w:rsidR="00730E24">
        <w:t xml:space="preserve">Corporation </w:t>
      </w:r>
      <w:r>
        <w:t xml:space="preserve">received a determination letter from the Internal Revenue Service (the “IRS”) on February 9, 2016, confirming its status as a public charity exempt from federal income tax under the Code, as a supporting organization.  On November 15, 2018, the Borrower’s federal tax exempt status was automatically revoked by the IRS for not filing its required tax returns for three consecutive years.  The </w:t>
      </w:r>
      <w:r w:rsidR="00730E24">
        <w:t xml:space="preserve">Corporation </w:t>
      </w:r>
      <w:r>
        <w:t>has covenanted in the Loan Agreement to file all overdue tax returns and seek to obtain retroactive reinstatement of its federal tax exempt status as soon as possible.  See “CERTAIN RISK FACTORS – Tax Related Issues” in the forepart of this Private Placement Memorandum.</w:t>
      </w:r>
    </w:p>
    <w:p w14:paraId="60AE3774" w14:textId="77777777" w:rsidR="00BE6496" w:rsidRDefault="00BE6496" w:rsidP="00BE6496">
      <w:pPr>
        <w:pStyle w:val="Heading2"/>
        <w:jc w:val="both"/>
      </w:pPr>
      <w:bookmarkStart w:id="41" w:name="_Toc463502871"/>
      <w:bookmarkStart w:id="42" w:name="_Toc101330562"/>
      <w:r>
        <w:t>Governance</w:t>
      </w:r>
      <w:bookmarkEnd w:id="41"/>
      <w:bookmarkEnd w:id="42"/>
    </w:p>
    <w:p w14:paraId="169254E1" w14:textId="6C164580" w:rsidR="00BE6496" w:rsidRDefault="00BE6496" w:rsidP="00BE6496">
      <w:pPr>
        <w:spacing w:after="240"/>
        <w:ind w:firstLine="720"/>
        <w:jc w:val="both"/>
      </w:pPr>
      <w:r>
        <w:rPr>
          <w:b/>
          <w:i/>
        </w:rPr>
        <w:t>Board of Directors</w:t>
      </w:r>
      <w:r>
        <w:rPr>
          <w:b/>
        </w:rPr>
        <w:t xml:space="preserve">.  </w:t>
      </w:r>
      <w:r w:rsidRPr="00BC6070">
        <w:t>Encore</w:t>
      </w:r>
      <w:r>
        <w:t xml:space="preserve"> Education</w:t>
      </w:r>
      <w:r w:rsidRPr="00BC6070">
        <w:t>, acting through its Board</w:t>
      </w:r>
      <w:r>
        <w:t xml:space="preserve"> of Directors, has the power to designate the Directors of the </w:t>
      </w:r>
      <w:r w:rsidR="00730E24">
        <w:t xml:space="preserve">Corporation </w:t>
      </w:r>
      <w:r>
        <w:t xml:space="preserve">and appoint successor Directors as necessary, and has such other </w:t>
      </w:r>
      <w:r>
        <w:lastRenderedPageBreak/>
        <w:t xml:space="preserve">powers provided by the Borrower’s bylaws.  The number of members of the Borrower’s Board of Directors may be no less than two members and no more than seven members.  No more than 49% of the members of the Borrower’s Board of Directors may be persons, or relatives of persons, compensated by the </w:t>
      </w:r>
      <w:r w:rsidR="00730E24">
        <w:t xml:space="preserve">Corporation </w:t>
      </w:r>
      <w:r>
        <w:t>for services rendered to it within the previous 12 months.  The members of the Board of Directors hold office for staggered terms of either two or three years.  Under the Borrower’s bylaws, the Board is required to meet at least annually, for among other purposes, appointing officers.</w:t>
      </w:r>
    </w:p>
    <w:p w14:paraId="06CEF942" w14:textId="77777777" w:rsidR="00BE6496" w:rsidRDefault="00BE6496" w:rsidP="00BE6496">
      <w:pPr>
        <w:spacing w:after="240"/>
        <w:ind w:firstLine="720"/>
        <w:jc w:val="both"/>
      </w:pPr>
      <w:r>
        <w:t>The Borrower’s Board of Directors currently comprises four individuals, all of whom are employees of Encore Education.  The following table sets forth the members of the Board of Directors of the Borrower.</w:t>
      </w:r>
    </w:p>
    <w:p w14:paraId="4D3D1152" w14:textId="77777777" w:rsidR="00BE6496" w:rsidRDefault="00BE6496" w:rsidP="00BE6496">
      <w:pPr>
        <w:jc w:val="center"/>
        <w:rPr>
          <w:b/>
          <w:sz w:val="20"/>
        </w:rPr>
      </w:pPr>
      <w:r>
        <w:rPr>
          <w:b/>
          <w:sz w:val="20"/>
        </w:rPr>
        <w:t>WESTERN ENCORE PROPERTIES INCORPORATED</w:t>
      </w:r>
    </w:p>
    <w:p w14:paraId="3ACE6768" w14:textId="77777777" w:rsidR="00BE6496" w:rsidRDefault="00BE6496" w:rsidP="00BE6496">
      <w:pPr>
        <w:spacing w:after="240"/>
        <w:jc w:val="center"/>
        <w:rPr>
          <w:b/>
          <w:sz w:val="20"/>
        </w:rPr>
      </w:pPr>
      <w:r>
        <w:rPr>
          <w:b/>
          <w:sz w:val="20"/>
        </w:rPr>
        <w:t>Board of Directors</w:t>
      </w:r>
    </w:p>
    <w:tbl>
      <w:tblPr>
        <w:tblStyle w:val="TableGrid"/>
        <w:tblW w:w="8543" w:type="dxa"/>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74"/>
        <w:gridCol w:w="64"/>
        <w:gridCol w:w="1635"/>
        <w:gridCol w:w="76"/>
        <w:gridCol w:w="2793"/>
        <w:gridCol w:w="2201"/>
      </w:tblGrid>
      <w:tr w:rsidR="00BE6496" w14:paraId="13DBDDDA" w14:textId="77777777" w:rsidTr="00C634FA">
        <w:trPr>
          <w:tblCellSpacing w:w="0" w:type="dxa"/>
          <w:jc w:val="center"/>
        </w:trPr>
        <w:tc>
          <w:tcPr>
            <w:tcW w:w="1774" w:type="dxa"/>
            <w:tcBorders>
              <w:bottom w:val="single" w:sz="4" w:space="0" w:color="auto"/>
            </w:tcBorders>
          </w:tcPr>
          <w:p w14:paraId="1B61DAD9" w14:textId="77777777" w:rsidR="00BE6496" w:rsidRPr="000B2751" w:rsidRDefault="00BE6496" w:rsidP="00C634FA">
            <w:pPr>
              <w:jc w:val="center"/>
              <w:rPr>
                <w:b/>
                <w:sz w:val="20"/>
              </w:rPr>
            </w:pPr>
            <w:r>
              <w:rPr>
                <w:b/>
                <w:sz w:val="20"/>
              </w:rPr>
              <w:br/>
              <w:t>Member</w:t>
            </w:r>
          </w:p>
        </w:tc>
        <w:tc>
          <w:tcPr>
            <w:tcW w:w="64" w:type="dxa"/>
          </w:tcPr>
          <w:p w14:paraId="1415770C" w14:textId="77777777" w:rsidR="00BE6496" w:rsidRPr="000B2751" w:rsidRDefault="00BE6496" w:rsidP="00C634FA">
            <w:pPr>
              <w:jc w:val="center"/>
              <w:rPr>
                <w:b/>
                <w:sz w:val="20"/>
              </w:rPr>
            </w:pPr>
          </w:p>
        </w:tc>
        <w:tc>
          <w:tcPr>
            <w:tcW w:w="1635" w:type="dxa"/>
            <w:tcBorders>
              <w:bottom w:val="single" w:sz="4" w:space="0" w:color="auto"/>
            </w:tcBorders>
          </w:tcPr>
          <w:p w14:paraId="1684D463" w14:textId="77777777" w:rsidR="00BE6496" w:rsidRPr="000B2751" w:rsidRDefault="00BE6496" w:rsidP="00C634FA">
            <w:pPr>
              <w:jc w:val="center"/>
              <w:rPr>
                <w:b/>
                <w:sz w:val="20"/>
              </w:rPr>
            </w:pPr>
            <w:r>
              <w:rPr>
                <w:b/>
                <w:sz w:val="20"/>
              </w:rPr>
              <w:br/>
            </w:r>
            <w:r w:rsidRPr="000B2751">
              <w:rPr>
                <w:b/>
                <w:sz w:val="20"/>
              </w:rPr>
              <w:t>Title</w:t>
            </w:r>
          </w:p>
        </w:tc>
        <w:tc>
          <w:tcPr>
            <w:tcW w:w="76" w:type="dxa"/>
          </w:tcPr>
          <w:p w14:paraId="00D4A951" w14:textId="77777777" w:rsidR="00BE6496" w:rsidRPr="000B2751" w:rsidRDefault="00BE6496" w:rsidP="00C634FA">
            <w:pPr>
              <w:jc w:val="center"/>
              <w:rPr>
                <w:b/>
                <w:sz w:val="20"/>
              </w:rPr>
            </w:pPr>
          </w:p>
        </w:tc>
        <w:tc>
          <w:tcPr>
            <w:tcW w:w="2793" w:type="dxa"/>
            <w:tcBorders>
              <w:bottom w:val="single" w:sz="4" w:space="0" w:color="auto"/>
            </w:tcBorders>
          </w:tcPr>
          <w:p w14:paraId="7970499C" w14:textId="77777777" w:rsidR="00BE6496" w:rsidRPr="000B2751" w:rsidRDefault="00BE6496" w:rsidP="00C634FA">
            <w:pPr>
              <w:jc w:val="center"/>
              <w:rPr>
                <w:b/>
                <w:sz w:val="20"/>
              </w:rPr>
            </w:pPr>
            <w:r w:rsidRPr="000B2751">
              <w:rPr>
                <w:b/>
                <w:sz w:val="20"/>
              </w:rPr>
              <w:t xml:space="preserve">Date Appointed by </w:t>
            </w:r>
            <w:r>
              <w:rPr>
                <w:b/>
                <w:sz w:val="20"/>
              </w:rPr>
              <w:br/>
            </w:r>
            <w:r w:rsidRPr="000B2751">
              <w:rPr>
                <w:b/>
                <w:sz w:val="20"/>
              </w:rPr>
              <w:t>Encore</w:t>
            </w:r>
            <w:r>
              <w:rPr>
                <w:b/>
                <w:sz w:val="20"/>
              </w:rPr>
              <w:t xml:space="preserve"> Education</w:t>
            </w:r>
          </w:p>
        </w:tc>
        <w:tc>
          <w:tcPr>
            <w:tcW w:w="2201" w:type="dxa"/>
            <w:tcBorders>
              <w:bottom w:val="single" w:sz="4" w:space="0" w:color="auto"/>
            </w:tcBorders>
          </w:tcPr>
          <w:p w14:paraId="63C4E6EC" w14:textId="77777777" w:rsidR="00BE6496" w:rsidRPr="000B2751" w:rsidRDefault="00BE6496" w:rsidP="00C634FA">
            <w:pPr>
              <w:jc w:val="center"/>
              <w:rPr>
                <w:b/>
                <w:sz w:val="20"/>
              </w:rPr>
            </w:pPr>
            <w:r>
              <w:rPr>
                <w:b/>
                <w:sz w:val="20"/>
              </w:rPr>
              <w:br/>
              <w:t>Term Expires</w:t>
            </w:r>
          </w:p>
        </w:tc>
      </w:tr>
      <w:tr w:rsidR="00BE6496" w14:paraId="27E771EC" w14:textId="77777777" w:rsidTr="00C634FA">
        <w:trPr>
          <w:trHeight w:val="288"/>
          <w:tblCellSpacing w:w="0" w:type="dxa"/>
          <w:jc w:val="center"/>
        </w:trPr>
        <w:tc>
          <w:tcPr>
            <w:tcW w:w="1774" w:type="dxa"/>
            <w:vAlign w:val="bottom"/>
          </w:tcPr>
          <w:p w14:paraId="74DAC02B" w14:textId="50FCFCFE" w:rsidR="00BE6496" w:rsidRDefault="00BE6496" w:rsidP="00C634FA">
            <w:pPr>
              <w:rPr>
                <w:sz w:val="20"/>
              </w:rPr>
            </w:pPr>
          </w:p>
        </w:tc>
        <w:tc>
          <w:tcPr>
            <w:tcW w:w="64" w:type="dxa"/>
            <w:vAlign w:val="bottom"/>
          </w:tcPr>
          <w:p w14:paraId="070B38DF" w14:textId="77777777" w:rsidR="00BE6496" w:rsidRDefault="00BE6496" w:rsidP="00C634FA">
            <w:pPr>
              <w:jc w:val="center"/>
              <w:rPr>
                <w:sz w:val="20"/>
              </w:rPr>
            </w:pPr>
          </w:p>
        </w:tc>
        <w:tc>
          <w:tcPr>
            <w:tcW w:w="1635" w:type="dxa"/>
            <w:vAlign w:val="bottom"/>
          </w:tcPr>
          <w:p w14:paraId="5491713E" w14:textId="665B208F" w:rsidR="00BE6496" w:rsidRDefault="00BE6496" w:rsidP="00C634FA">
            <w:pPr>
              <w:jc w:val="center"/>
              <w:rPr>
                <w:sz w:val="20"/>
              </w:rPr>
            </w:pPr>
          </w:p>
        </w:tc>
        <w:tc>
          <w:tcPr>
            <w:tcW w:w="76" w:type="dxa"/>
            <w:vAlign w:val="bottom"/>
          </w:tcPr>
          <w:p w14:paraId="6AB23422" w14:textId="77777777" w:rsidR="00BE6496" w:rsidRDefault="00BE6496" w:rsidP="00C634FA">
            <w:pPr>
              <w:jc w:val="center"/>
              <w:rPr>
                <w:sz w:val="20"/>
              </w:rPr>
            </w:pPr>
          </w:p>
        </w:tc>
        <w:tc>
          <w:tcPr>
            <w:tcW w:w="2793" w:type="dxa"/>
            <w:vAlign w:val="bottom"/>
          </w:tcPr>
          <w:p w14:paraId="5186E9AC" w14:textId="4CE77407" w:rsidR="00BE6496" w:rsidRDefault="00BE6496" w:rsidP="00C634FA">
            <w:pPr>
              <w:jc w:val="center"/>
              <w:rPr>
                <w:sz w:val="20"/>
              </w:rPr>
            </w:pPr>
          </w:p>
        </w:tc>
        <w:tc>
          <w:tcPr>
            <w:tcW w:w="2201" w:type="dxa"/>
            <w:vAlign w:val="bottom"/>
          </w:tcPr>
          <w:p w14:paraId="3FBF45D9" w14:textId="7FB13912" w:rsidR="00BE6496" w:rsidRDefault="00BE6496" w:rsidP="00C634FA">
            <w:pPr>
              <w:jc w:val="center"/>
              <w:rPr>
                <w:sz w:val="20"/>
              </w:rPr>
            </w:pPr>
          </w:p>
        </w:tc>
      </w:tr>
      <w:tr w:rsidR="00BE6496" w14:paraId="3FD98594" w14:textId="77777777" w:rsidTr="00C634FA">
        <w:trPr>
          <w:tblCellSpacing w:w="0" w:type="dxa"/>
          <w:jc w:val="center"/>
        </w:trPr>
        <w:tc>
          <w:tcPr>
            <w:tcW w:w="1774" w:type="dxa"/>
          </w:tcPr>
          <w:p w14:paraId="750A2746" w14:textId="221DE61D" w:rsidR="00BE6496" w:rsidRDefault="00BE6496" w:rsidP="00C634FA">
            <w:pPr>
              <w:rPr>
                <w:sz w:val="20"/>
              </w:rPr>
            </w:pPr>
          </w:p>
        </w:tc>
        <w:tc>
          <w:tcPr>
            <w:tcW w:w="64" w:type="dxa"/>
          </w:tcPr>
          <w:p w14:paraId="21919FA5" w14:textId="77777777" w:rsidR="00BE6496" w:rsidRDefault="00BE6496" w:rsidP="00C634FA">
            <w:pPr>
              <w:jc w:val="center"/>
              <w:rPr>
                <w:sz w:val="20"/>
              </w:rPr>
            </w:pPr>
          </w:p>
        </w:tc>
        <w:tc>
          <w:tcPr>
            <w:tcW w:w="1635" w:type="dxa"/>
          </w:tcPr>
          <w:p w14:paraId="6AA6301D" w14:textId="290E3BEE" w:rsidR="00BE6496" w:rsidRDefault="00BE6496" w:rsidP="00C634FA">
            <w:pPr>
              <w:jc w:val="center"/>
              <w:rPr>
                <w:sz w:val="20"/>
              </w:rPr>
            </w:pPr>
          </w:p>
        </w:tc>
        <w:tc>
          <w:tcPr>
            <w:tcW w:w="76" w:type="dxa"/>
          </w:tcPr>
          <w:p w14:paraId="0490CB10" w14:textId="77777777" w:rsidR="00BE6496" w:rsidRDefault="00BE6496" w:rsidP="00C634FA">
            <w:pPr>
              <w:jc w:val="center"/>
              <w:rPr>
                <w:sz w:val="20"/>
              </w:rPr>
            </w:pPr>
          </w:p>
        </w:tc>
        <w:tc>
          <w:tcPr>
            <w:tcW w:w="2793" w:type="dxa"/>
          </w:tcPr>
          <w:p w14:paraId="41CAE853" w14:textId="6D13BB88" w:rsidR="00BE6496" w:rsidRDefault="00BE6496" w:rsidP="00C634FA">
            <w:pPr>
              <w:jc w:val="center"/>
              <w:rPr>
                <w:sz w:val="20"/>
              </w:rPr>
            </w:pPr>
          </w:p>
        </w:tc>
        <w:tc>
          <w:tcPr>
            <w:tcW w:w="2201" w:type="dxa"/>
          </w:tcPr>
          <w:p w14:paraId="203F84E2" w14:textId="14827D75" w:rsidR="00BE6496" w:rsidRDefault="00BE6496" w:rsidP="00C634FA">
            <w:pPr>
              <w:jc w:val="center"/>
              <w:rPr>
                <w:sz w:val="20"/>
              </w:rPr>
            </w:pPr>
          </w:p>
        </w:tc>
      </w:tr>
      <w:tr w:rsidR="00BE6496" w14:paraId="3500CE8C" w14:textId="77777777" w:rsidTr="00C634FA">
        <w:trPr>
          <w:tblCellSpacing w:w="0" w:type="dxa"/>
          <w:jc w:val="center"/>
        </w:trPr>
        <w:tc>
          <w:tcPr>
            <w:tcW w:w="1774" w:type="dxa"/>
          </w:tcPr>
          <w:p w14:paraId="16E65071" w14:textId="413ABA90" w:rsidR="00BE6496" w:rsidRDefault="00BE6496" w:rsidP="00C634FA">
            <w:pPr>
              <w:rPr>
                <w:sz w:val="20"/>
              </w:rPr>
            </w:pPr>
          </w:p>
        </w:tc>
        <w:tc>
          <w:tcPr>
            <w:tcW w:w="64" w:type="dxa"/>
          </w:tcPr>
          <w:p w14:paraId="1CA8B214" w14:textId="77777777" w:rsidR="00BE6496" w:rsidRDefault="00BE6496" w:rsidP="00C634FA">
            <w:pPr>
              <w:jc w:val="center"/>
              <w:rPr>
                <w:sz w:val="20"/>
              </w:rPr>
            </w:pPr>
          </w:p>
        </w:tc>
        <w:tc>
          <w:tcPr>
            <w:tcW w:w="1635" w:type="dxa"/>
          </w:tcPr>
          <w:p w14:paraId="0EC4777E" w14:textId="46D7007E" w:rsidR="00BE6496" w:rsidRDefault="00BE6496" w:rsidP="00C634FA">
            <w:pPr>
              <w:jc w:val="center"/>
              <w:rPr>
                <w:sz w:val="20"/>
              </w:rPr>
            </w:pPr>
          </w:p>
        </w:tc>
        <w:tc>
          <w:tcPr>
            <w:tcW w:w="76" w:type="dxa"/>
          </w:tcPr>
          <w:p w14:paraId="2228E887" w14:textId="77777777" w:rsidR="00BE6496" w:rsidRDefault="00BE6496" w:rsidP="00C634FA">
            <w:pPr>
              <w:jc w:val="center"/>
              <w:rPr>
                <w:sz w:val="20"/>
              </w:rPr>
            </w:pPr>
          </w:p>
        </w:tc>
        <w:tc>
          <w:tcPr>
            <w:tcW w:w="2793" w:type="dxa"/>
          </w:tcPr>
          <w:p w14:paraId="166D4F06" w14:textId="7302A092" w:rsidR="00BE6496" w:rsidRDefault="00BE6496" w:rsidP="00C634FA">
            <w:pPr>
              <w:jc w:val="center"/>
              <w:rPr>
                <w:sz w:val="20"/>
              </w:rPr>
            </w:pPr>
          </w:p>
        </w:tc>
        <w:tc>
          <w:tcPr>
            <w:tcW w:w="2201" w:type="dxa"/>
          </w:tcPr>
          <w:p w14:paraId="7A7D53B2" w14:textId="7011B967" w:rsidR="00BE6496" w:rsidRDefault="00BE6496" w:rsidP="00C634FA">
            <w:pPr>
              <w:jc w:val="center"/>
              <w:rPr>
                <w:sz w:val="20"/>
              </w:rPr>
            </w:pPr>
          </w:p>
        </w:tc>
      </w:tr>
      <w:tr w:rsidR="00BE6496" w14:paraId="2D4BC9D1" w14:textId="77777777" w:rsidTr="00C634FA">
        <w:trPr>
          <w:tblCellSpacing w:w="0" w:type="dxa"/>
          <w:jc w:val="center"/>
        </w:trPr>
        <w:tc>
          <w:tcPr>
            <w:tcW w:w="1774" w:type="dxa"/>
          </w:tcPr>
          <w:p w14:paraId="7B00A680" w14:textId="2017DDDC" w:rsidR="00BE6496" w:rsidRDefault="00BE6496" w:rsidP="00C634FA">
            <w:pPr>
              <w:rPr>
                <w:sz w:val="20"/>
              </w:rPr>
            </w:pPr>
          </w:p>
        </w:tc>
        <w:tc>
          <w:tcPr>
            <w:tcW w:w="64" w:type="dxa"/>
          </w:tcPr>
          <w:p w14:paraId="63006DF1" w14:textId="77777777" w:rsidR="00BE6496" w:rsidRDefault="00BE6496" w:rsidP="00C634FA">
            <w:pPr>
              <w:jc w:val="center"/>
              <w:rPr>
                <w:sz w:val="20"/>
              </w:rPr>
            </w:pPr>
          </w:p>
        </w:tc>
        <w:tc>
          <w:tcPr>
            <w:tcW w:w="1635" w:type="dxa"/>
          </w:tcPr>
          <w:p w14:paraId="228690B1" w14:textId="4F202AD4" w:rsidR="00BE6496" w:rsidRDefault="00BE6496" w:rsidP="00C634FA">
            <w:pPr>
              <w:jc w:val="center"/>
              <w:rPr>
                <w:sz w:val="20"/>
              </w:rPr>
            </w:pPr>
          </w:p>
        </w:tc>
        <w:tc>
          <w:tcPr>
            <w:tcW w:w="76" w:type="dxa"/>
          </w:tcPr>
          <w:p w14:paraId="1F699D7C" w14:textId="77777777" w:rsidR="00BE6496" w:rsidRDefault="00BE6496" w:rsidP="00C634FA">
            <w:pPr>
              <w:jc w:val="center"/>
              <w:rPr>
                <w:sz w:val="20"/>
              </w:rPr>
            </w:pPr>
          </w:p>
        </w:tc>
        <w:tc>
          <w:tcPr>
            <w:tcW w:w="2793" w:type="dxa"/>
          </w:tcPr>
          <w:p w14:paraId="31CB66F4" w14:textId="6CBDF9AC" w:rsidR="00BE6496" w:rsidRDefault="00BE6496" w:rsidP="00C634FA">
            <w:pPr>
              <w:jc w:val="center"/>
              <w:rPr>
                <w:sz w:val="20"/>
              </w:rPr>
            </w:pPr>
          </w:p>
        </w:tc>
        <w:tc>
          <w:tcPr>
            <w:tcW w:w="2201" w:type="dxa"/>
          </w:tcPr>
          <w:p w14:paraId="63396E5D" w14:textId="05140985" w:rsidR="00BE6496" w:rsidRDefault="00BE6496" w:rsidP="00C634FA">
            <w:pPr>
              <w:jc w:val="center"/>
              <w:rPr>
                <w:sz w:val="20"/>
              </w:rPr>
            </w:pPr>
          </w:p>
        </w:tc>
      </w:tr>
    </w:tbl>
    <w:p w14:paraId="4F8A1D35" w14:textId="77777777" w:rsidR="00BE6496" w:rsidRDefault="00BE6496" w:rsidP="00BE6496">
      <w:pPr>
        <w:rPr>
          <w:sz w:val="18"/>
        </w:rPr>
      </w:pPr>
      <w:r>
        <w:rPr>
          <w:sz w:val="18"/>
        </w:rPr>
        <w:t>______________________</w:t>
      </w:r>
    </w:p>
    <w:p w14:paraId="008F62A2" w14:textId="0903A0FA" w:rsidR="00BE6496" w:rsidRDefault="00BE6496" w:rsidP="00BE6496">
      <w:pPr>
        <w:spacing w:after="240"/>
        <w:rPr>
          <w:i/>
          <w:sz w:val="18"/>
        </w:rPr>
      </w:pPr>
      <w:r>
        <w:rPr>
          <w:i/>
          <w:sz w:val="18"/>
        </w:rPr>
        <w:t>Source:  Encore.</w:t>
      </w:r>
    </w:p>
    <w:p w14:paraId="5EB78A81" w14:textId="77777777" w:rsidR="00BE6496" w:rsidRDefault="00BE6496" w:rsidP="00BE6496">
      <w:pPr>
        <w:pStyle w:val="Heading2"/>
      </w:pPr>
      <w:bookmarkStart w:id="43" w:name="_Toc463502872"/>
      <w:bookmarkStart w:id="44" w:name="_Toc101330563"/>
      <w:r>
        <w:t>Role in the Financing</w:t>
      </w:r>
      <w:bookmarkEnd w:id="43"/>
      <w:bookmarkEnd w:id="44"/>
    </w:p>
    <w:p w14:paraId="424972E8" w14:textId="5D6A6F6F" w:rsidR="00BE6496" w:rsidRDefault="00BE6496" w:rsidP="00BE6496">
      <w:pPr>
        <w:spacing w:after="240"/>
        <w:ind w:firstLine="720"/>
        <w:jc w:val="both"/>
      </w:pPr>
      <w:r>
        <w:t xml:space="preserve">Upon the issuance of the California Enterprise Development Authority’s Charter School Revenue Bonds (Encore Education Corporation) Series 2022 (Taxable) (collectively, the “Bonds”), the California Enterprise Development Authority (the “Authority”) will loan the proceeds of the Bonds to the </w:t>
      </w:r>
      <w:r w:rsidR="00730E24">
        <w:t xml:space="preserve">Corporation </w:t>
      </w:r>
      <w:r>
        <w:t xml:space="preserve">pursuant to a Loan Agreement (the “Loan Agreement”) between the Authority and the </w:t>
      </w:r>
      <w:r w:rsidR="00730E24">
        <w:t>Corporation</w:t>
      </w:r>
      <w:r>
        <w:t xml:space="preserve">.  </w:t>
      </w:r>
    </w:p>
    <w:p w14:paraId="16CA0FFE" w14:textId="15F1A548" w:rsidR="00BE6496" w:rsidRDefault="00BE6496" w:rsidP="00BE6496">
      <w:pPr>
        <w:spacing w:after="360"/>
        <w:ind w:firstLine="720"/>
        <w:jc w:val="both"/>
      </w:pPr>
      <w:r>
        <w:t xml:space="preserve">In addition, the </w:t>
      </w:r>
      <w:r w:rsidR="00730E24">
        <w:t xml:space="preserve">Corporation </w:t>
      </w:r>
      <w:r>
        <w:t>is a party to the Master Indenture of Trust (as supplemented, the “Master Indenture”), as supplemented</w:t>
      </w:r>
      <w:r w:rsidR="00905C21">
        <w:t>, including</w:t>
      </w:r>
      <w:r>
        <w:t xml:space="preserve"> by a Supplemental Master Indenture for Obligation No. </w:t>
      </w:r>
      <w:r w:rsidR="00905C21">
        <w:t>2</w:t>
      </w:r>
      <w:r>
        <w:t xml:space="preserve">, each by and between the Borrower, as representative of the Obligated Group (defined herein), and </w:t>
      </w:r>
      <w:r w:rsidR="00905C21">
        <w:t>UMB Trust, N.A.</w:t>
      </w:r>
      <w:r>
        <w:t xml:space="preserve">, as master trustee (the “Master Trustee”).  However, the </w:t>
      </w:r>
      <w:r w:rsidR="00730E24">
        <w:t xml:space="preserve">Corporation </w:t>
      </w:r>
      <w:r>
        <w:t xml:space="preserve">is not itself a Member of the Obligated Group.  See “SECURITY AND SOURCES OF PAYMENT FOR THE BONDS” in the forepart of this </w:t>
      </w:r>
      <w:r w:rsidR="00905C21">
        <w:t xml:space="preserve">Private Placement </w:t>
      </w:r>
      <w:r>
        <w:t>Memorandum.</w:t>
      </w:r>
    </w:p>
    <w:p w14:paraId="60D4315A" w14:textId="091ABC70" w:rsidR="00BE6496" w:rsidRDefault="00905C21" w:rsidP="00BE6496">
      <w:pPr>
        <w:pStyle w:val="Heading1"/>
      </w:pPr>
      <w:bookmarkStart w:id="45" w:name="_Toc463502873"/>
      <w:bookmarkStart w:id="46" w:name="_Toc101330564"/>
      <w:r>
        <w:rPr>
          <w:caps w:val="0"/>
        </w:rPr>
        <w:t>THE MEMBER OF THE OBLIGATED GROUP</w:t>
      </w:r>
      <w:bookmarkEnd w:id="45"/>
      <w:bookmarkEnd w:id="46"/>
    </w:p>
    <w:p w14:paraId="47763EBC" w14:textId="77777777" w:rsidR="00BE6496" w:rsidRDefault="00BE6496" w:rsidP="00BE6496">
      <w:pPr>
        <w:pStyle w:val="Heading2"/>
      </w:pPr>
      <w:bookmarkStart w:id="47" w:name="_Toc463502874"/>
      <w:bookmarkStart w:id="48" w:name="_Toc101330565"/>
      <w:r>
        <w:t>General</w:t>
      </w:r>
      <w:bookmarkEnd w:id="47"/>
      <w:bookmarkEnd w:id="48"/>
    </w:p>
    <w:p w14:paraId="1E518180" w14:textId="1F1E6F4B" w:rsidR="00BE6496" w:rsidRDefault="00BE6496" w:rsidP="00BE6496">
      <w:pPr>
        <w:spacing w:after="240"/>
        <w:ind w:firstLine="720"/>
        <w:jc w:val="both"/>
      </w:pPr>
      <w:r>
        <w:t xml:space="preserve">16955 Lemon Street, LLC (the “Landlord” or the “Member”) is a California limited liability company, the sole member of which is the Borrower.  The Member is currently the sole Member of the Obligated Group.  The Member was formed to support the charter schools operated by Encore and specifically for the purpose of holding title to property and managing, operating and leasing property, collecting income, and conveying the entire amount of such income, less expenses to the Borrower.  </w:t>
      </w:r>
    </w:p>
    <w:p w14:paraId="37E1BEC0" w14:textId="666EE5B1" w:rsidR="00BE6496" w:rsidRDefault="00BE6496" w:rsidP="00BE6496">
      <w:pPr>
        <w:spacing w:after="360"/>
        <w:ind w:firstLine="720"/>
        <w:jc w:val="both"/>
      </w:pPr>
      <w:r>
        <w:t>Upon the issuance of the Bonds, the Facility (as defined in the forepart of this Limited Offering Memorandum) will be leased to Encore from the Member pursuant to the Lease</w:t>
      </w:r>
      <w:r w:rsidR="009855E6">
        <w:t xml:space="preserve"> (as defined in the forepart of this Private Placement Memorandum)</w:t>
      </w:r>
      <w:r>
        <w:t xml:space="preserve">.  The Facility will be used by Encore to operate </w:t>
      </w:r>
      <w:r w:rsidR="00905C21">
        <w:t>the School</w:t>
      </w:r>
      <w:r>
        <w:t xml:space="preserve">. </w:t>
      </w:r>
    </w:p>
    <w:p w14:paraId="6A5FAEE1" w14:textId="31A59F45" w:rsidR="00BE6496" w:rsidRDefault="00BE6496" w:rsidP="00BE6496">
      <w:pPr>
        <w:spacing w:after="360"/>
        <w:ind w:firstLine="720"/>
        <w:jc w:val="both"/>
      </w:pPr>
      <w:r>
        <w:t xml:space="preserve">The Member is expected to have no assets, other than holding title to the Facility, and is expected to have no revenue other than payments received pursuant to the Lease. </w:t>
      </w:r>
    </w:p>
    <w:p w14:paraId="7E89AD5C" w14:textId="43FD889C" w:rsidR="00BE6496" w:rsidRDefault="00BE6496" w:rsidP="008465A5">
      <w:pPr>
        <w:spacing w:after="240"/>
        <w:ind w:firstLine="720"/>
        <w:jc w:val="both"/>
        <w:sectPr w:rsidR="00BE6496" w:rsidSect="00C54607">
          <w:headerReference w:type="default" r:id="rId19"/>
          <w:footerReference w:type="default" r:id="rId20"/>
          <w:headerReference w:type="first" r:id="rId21"/>
          <w:footerReference w:type="first" r:id="rId22"/>
          <w:footnotePr>
            <w:numRestart w:val="eachPage"/>
          </w:footnotePr>
          <w:pgSz w:w="12240" w:h="15840" w:code="1"/>
          <w:pgMar w:top="1440" w:right="1440" w:bottom="1440" w:left="1440" w:header="720" w:footer="720" w:gutter="0"/>
          <w:cols w:space="720"/>
          <w:titlePg/>
          <w:docGrid w:linePitch="360"/>
        </w:sectPr>
      </w:pPr>
    </w:p>
    <w:p w14:paraId="6FA3C2B7" w14:textId="77777777" w:rsidR="00140099" w:rsidRPr="00140099" w:rsidRDefault="00140099" w:rsidP="00140099">
      <w:pPr>
        <w:spacing w:after="240"/>
        <w:jc w:val="center"/>
        <w:rPr>
          <w:b/>
          <w:bCs/>
        </w:rPr>
      </w:pPr>
      <w:r w:rsidRPr="00140099">
        <w:rPr>
          <w:b/>
          <w:bCs/>
        </w:rPr>
        <w:lastRenderedPageBreak/>
        <w:t>EXHIBIT A</w:t>
      </w:r>
    </w:p>
    <w:p w14:paraId="11B25E44" w14:textId="759EFED9" w:rsidR="00C54607" w:rsidRPr="00140099" w:rsidRDefault="00140099" w:rsidP="00140099">
      <w:pPr>
        <w:spacing w:after="240"/>
        <w:jc w:val="center"/>
        <w:rPr>
          <w:b/>
          <w:bCs/>
        </w:rPr>
      </w:pPr>
      <w:r w:rsidRPr="00140099">
        <w:rPr>
          <w:b/>
          <w:bCs/>
        </w:rPr>
        <w:t>MEMORANDUM OF UNDERSTANDING BETWEEN ENCORE AND HESPERIA USD</w:t>
      </w:r>
    </w:p>
    <w:sectPr w:rsidR="00C54607" w:rsidRPr="00140099" w:rsidSect="00140099">
      <w:footerReference w:type="first" r:id="rId23"/>
      <w:footnotePr>
        <w:numRestart w:val="eachPage"/>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D210" w14:textId="77777777" w:rsidR="0089776F" w:rsidRDefault="0089776F" w:rsidP="00BB47BE">
      <w:r>
        <w:separator/>
      </w:r>
    </w:p>
  </w:endnote>
  <w:endnote w:type="continuationSeparator" w:id="0">
    <w:p w14:paraId="0B009943" w14:textId="77777777" w:rsidR="0089776F" w:rsidRDefault="0089776F" w:rsidP="00BB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CC70" w14:textId="77777777" w:rsidR="0089776F" w:rsidRPr="00492B39" w:rsidRDefault="0089776F" w:rsidP="005C1125">
    <w:pPr>
      <w:pStyle w:val="Footer"/>
      <w:jc w:val="center"/>
      <w:rPr>
        <w:sz w:val="20"/>
        <w:szCs w:val="20"/>
      </w:rPr>
    </w:pPr>
    <w:r w:rsidRPr="00492B39">
      <w:rPr>
        <w:rStyle w:val="PageNumber"/>
        <w:sz w:val="20"/>
        <w:szCs w:val="20"/>
      </w:rPr>
      <w:t>A-</w:t>
    </w:r>
    <w:r w:rsidRPr="00492B39">
      <w:rPr>
        <w:rStyle w:val="PageNumber"/>
        <w:sz w:val="20"/>
        <w:szCs w:val="20"/>
      </w:rPr>
      <w:fldChar w:fldCharType="begin"/>
    </w:r>
    <w:r w:rsidRPr="00492B39">
      <w:rPr>
        <w:rStyle w:val="PageNumber"/>
        <w:sz w:val="20"/>
        <w:szCs w:val="20"/>
      </w:rPr>
      <w:instrText xml:space="preserve"> PAGE </w:instrText>
    </w:r>
    <w:r w:rsidRPr="00492B39">
      <w:rPr>
        <w:rStyle w:val="PageNumber"/>
        <w:sz w:val="20"/>
        <w:szCs w:val="20"/>
      </w:rPr>
      <w:fldChar w:fldCharType="separate"/>
    </w:r>
    <w:r w:rsidR="008F3D9C">
      <w:rPr>
        <w:rStyle w:val="PageNumber"/>
        <w:noProof/>
        <w:sz w:val="20"/>
        <w:szCs w:val="20"/>
      </w:rPr>
      <w:t>2</w:t>
    </w:r>
    <w:r w:rsidRPr="00492B39">
      <w:rPr>
        <w:rStyle w:val="PageNumber"/>
        <w:sz w:val="20"/>
        <w:szCs w:val="20"/>
      </w:rPr>
      <w:fldChar w:fldCharType="end"/>
    </w:r>
  </w:p>
  <w:p w14:paraId="42C698FD" w14:textId="77777777" w:rsidR="0089776F" w:rsidRDefault="0089776F" w:rsidP="005C1125">
    <w:pPr>
      <w:pStyle w:val="Footer"/>
    </w:pPr>
  </w:p>
  <w:p w14:paraId="57E7F382" w14:textId="43FD68ED" w:rsidR="0089776F" w:rsidRDefault="0089776F" w:rsidP="005C1125">
    <w:pPr>
      <w:pStyle w:val="Footer"/>
    </w:pPr>
    <w:r w:rsidRPr="000F0ACE">
      <w:rPr>
        <w:sz w:val="18"/>
        <w:szCs w:val="18"/>
      </w:rPr>
      <w:fldChar w:fldCharType="begin"/>
    </w:r>
    <w:r w:rsidRPr="000F0ACE">
      <w:rPr>
        <w:sz w:val="18"/>
        <w:szCs w:val="18"/>
      </w:rPr>
      <w:instrText>IF "</w:instrText>
    </w:r>
    <w:r w:rsidRPr="000F0ACE">
      <w:rPr>
        <w:sz w:val="18"/>
        <w:szCs w:val="18"/>
      </w:rPr>
      <w:fldChar w:fldCharType="begin"/>
    </w:r>
    <w:r w:rsidRPr="000F0ACE">
      <w:rPr>
        <w:sz w:val="18"/>
        <w:szCs w:val="18"/>
      </w:rPr>
      <w:instrText xml:space="preserve"> DOCVARIABLE "SWDocIDLocation" </w:instrText>
    </w:r>
    <w:r w:rsidRPr="000F0ACE">
      <w:rPr>
        <w:sz w:val="18"/>
        <w:szCs w:val="18"/>
      </w:rPr>
      <w:fldChar w:fldCharType="separate"/>
    </w:r>
    <w:r>
      <w:rPr>
        <w:sz w:val="18"/>
        <w:szCs w:val="18"/>
      </w:rPr>
      <w:instrText>0</w:instrText>
    </w:r>
    <w:r w:rsidRPr="000F0ACE">
      <w:rPr>
        <w:sz w:val="18"/>
        <w:szCs w:val="18"/>
      </w:rPr>
      <w:fldChar w:fldCharType="end"/>
    </w:r>
    <w:r w:rsidRPr="000F0ACE">
      <w:rPr>
        <w:sz w:val="18"/>
        <w:szCs w:val="18"/>
      </w:rPr>
      <w:instrText>" = "1" "</w:instrText>
    </w:r>
    <w:r w:rsidRPr="000F0ACE">
      <w:rPr>
        <w:sz w:val="18"/>
        <w:szCs w:val="18"/>
      </w:rPr>
      <w:fldChar w:fldCharType="begin"/>
    </w:r>
    <w:r w:rsidRPr="000F0ACE">
      <w:rPr>
        <w:sz w:val="18"/>
        <w:szCs w:val="18"/>
      </w:rPr>
      <w:instrText xml:space="preserve"> DOCPROPERTY "SWDocID" </w:instrText>
    </w:r>
    <w:r w:rsidRPr="000F0ACE">
      <w:rPr>
        <w:sz w:val="18"/>
        <w:szCs w:val="18"/>
      </w:rPr>
      <w:fldChar w:fldCharType="separate"/>
    </w:r>
    <w:r>
      <w:rPr>
        <w:sz w:val="18"/>
        <w:szCs w:val="18"/>
      </w:rPr>
      <w:instrText>4831-9312-9656v9/200237-0015</w:instrText>
    </w:r>
    <w:r w:rsidRPr="000F0ACE">
      <w:rPr>
        <w:sz w:val="18"/>
        <w:szCs w:val="18"/>
      </w:rPr>
      <w:fldChar w:fldCharType="end"/>
    </w:r>
    <w:r w:rsidRPr="000F0ACE">
      <w:rPr>
        <w:sz w:val="18"/>
        <w:szCs w:val="18"/>
      </w:rPr>
      <w:instrText>" ""</w:instrText>
    </w:r>
    <w:r w:rsidRPr="000F0AC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6BBB" w14:textId="77777777" w:rsidR="0089776F" w:rsidRDefault="0089776F">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645883">
      <w:rPr>
        <w:rStyle w:val="PageNumber"/>
        <w:noProof/>
      </w:rPr>
      <w:t>8</w:t>
    </w:r>
    <w:r>
      <w:rPr>
        <w:rStyle w:val="PageNumber"/>
      </w:rPr>
      <w:fldChar w:fldCharType="end"/>
    </w:r>
  </w:p>
  <w:p w14:paraId="4AD6AFF0" w14:textId="77777777" w:rsidR="0089776F" w:rsidRDefault="0089776F">
    <w:pPr>
      <w:pStyle w:val="Footer"/>
    </w:pPr>
  </w:p>
  <w:p w14:paraId="29285D36" w14:textId="0D9F01A2" w:rsidR="0089776F" w:rsidRDefault="0089776F">
    <w:pPr>
      <w:pStyle w:val="Footer"/>
    </w:pPr>
    <w:r w:rsidRPr="000F0ACE">
      <w:rPr>
        <w:sz w:val="18"/>
        <w:szCs w:val="18"/>
      </w:rPr>
      <w:fldChar w:fldCharType="begin"/>
    </w:r>
    <w:r w:rsidRPr="000F0ACE">
      <w:rPr>
        <w:sz w:val="18"/>
        <w:szCs w:val="18"/>
      </w:rPr>
      <w:instrText>IF "</w:instrText>
    </w:r>
    <w:r w:rsidRPr="000F0ACE">
      <w:rPr>
        <w:sz w:val="18"/>
        <w:szCs w:val="18"/>
      </w:rPr>
      <w:fldChar w:fldCharType="begin"/>
    </w:r>
    <w:r w:rsidRPr="000F0ACE">
      <w:rPr>
        <w:sz w:val="18"/>
        <w:szCs w:val="18"/>
      </w:rPr>
      <w:instrText xml:space="preserve"> DOCVARIABLE "SWDocIDLocation" </w:instrText>
    </w:r>
    <w:r w:rsidRPr="000F0ACE">
      <w:rPr>
        <w:sz w:val="18"/>
        <w:szCs w:val="18"/>
      </w:rPr>
      <w:fldChar w:fldCharType="separate"/>
    </w:r>
    <w:r>
      <w:rPr>
        <w:sz w:val="18"/>
        <w:szCs w:val="18"/>
      </w:rPr>
      <w:instrText>0</w:instrText>
    </w:r>
    <w:r w:rsidRPr="000F0ACE">
      <w:rPr>
        <w:sz w:val="18"/>
        <w:szCs w:val="18"/>
      </w:rPr>
      <w:fldChar w:fldCharType="end"/>
    </w:r>
    <w:r w:rsidRPr="000F0ACE">
      <w:rPr>
        <w:sz w:val="18"/>
        <w:szCs w:val="18"/>
      </w:rPr>
      <w:instrText>" = "1" "</w:instrText>
    </w:r>
    <w:r w:rsidRPr="000F0ACE">
      <w:rPr>
        <w:sz w:val="18"/>
        <w:szCs w:val="18"/>
      </w:rPr>
      <w:fldChar w:fldCharType="begin"/>
    </w:r>
    <w:r w:rsidRPr="000F0ACE">
      <w:rPr>
        <w:sz w:val="18"/>
        <w:szCs w:val="18"/>
      </w:rPr>
      <w:instrText xml:space="preserve"> DOCPROPERTY "SWDocID" </w:instrText>
    </w:r>
    <w:r w:rsidRPr="000F0ACE">
      <w:rPr>
        <w:sz w:val="18"/>
        <w:szCs w:val="18"/>
      </w:rPr>
      <w:fldChar w:fldCharType="separate"/>
    </w:r>
    <w:r>
      <w:rPr>
        <w:sz w:val="18"/>
        <w:szCs w:val="18"/>
      </w:rPr>
      <w:instrText>4831-9312-9656v9/200237-0015</w:instrText>
    </w:r>
    <w:r w:rsidRPr="000F0ACE">
      <w:rPr>
        <w:sz w:val="18"/>
        <w:szCs w:val="18"/>
      </w:rPr>
      <w:fldChar w:fldCharType="end"/>
    </w:r>
    <w:r w:rsidRPr="000F0ACE">
      <w:rPr>
        <w:sz w:val="18"/>
        <w:szCs w:val="18"/>
      </w:rPr>
      <w:instrText>" ""</w:instrText>
    </w:r>
    <w:r w:rsidRPr="000F0AC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AD5" w14:textId="77777777" w:rsidR="0089776F" w:rsidRPr="00492B39" w:rsidRDefault="0089776F">
    <w:pPr>
      <w:pStyle w:val="Footer"/>
      <w:jc w:val="center"/>
      <w:rPr>
        <w:sz w:val="20"/>
        <w:szCs w:val="20"/>
      </w:rPr>
    </w:pPr>
    <w:r w:rsidRPr="00492B39">
      <w:rPr>
        <w:rStyle w:val="PageNumber"/>
        <w:sz w:val="20"/>
        <w:szCs w:val="20"/>
      </w:rPr>
      <w:t>A-</w:t>
    </w:r>
    <w:r w:rsidRPr="00492B39">
      <w:rPr>
        <w:rStyle w:val="PageNumber"/>
        <w:sz w:val="20"/>
        <w:szCs w:val="20"/>
      </w:rPr>
      <w:fldChar w:fldCharType="begin"/>
    </w:r>
    <w:r w:rsidRPr="00492B39">
      <w:rPr>
        <w:rStyle w:val="PageNumber"/>
        <w:sz w:val="20"/>
        <w:szCs w:val="20"/>
      </w:rPr>
      <w:instrText xml:space="preserve"> PAGE </w:instrText>
    </w:r>
    <w:r w:rsidRPr="00492B39">
      <w:rPr>
        <w:rStyle w:val="PageNumber"/>
        <w:sz w:val="20"/>
        <w:szCs w:val="20"/>
      </w:rPr>
      <w:fldChar w:fldCharType="separate"/>
    </w:r>
    <w:r w:rsidR="008F3D9C">
      <w:rPr>
        <w:rStyle w:val="PageNumber"/>
        <w:noProof/>
        <w:sz w:val="20"/>
        <w:szCs w:val="20"/>
      </w:rPr>
      <w:t>3</w:t>
    </w:r>
    <w:r w:rsidRPr="00492B39">
      <w:rPr>
        <w:rStyle w:val="PageNumber"/>
        <w:sz w:val="20"/>
        <w:szCs w:val="20"/>
      </w:rPr>
      <w:fldChar w:fldCharType="end"/>
    </w:r>
  </w:p>
  <w:p w14:paraId="289DEB00" w14:textId="77777777" w:rsidR="0089776F" w:rsidRDefault="0089776F">
    <w:pPr>
      <w:pStyle w:val="Footer"/>
    </w:pPr>
  </w:p>
  <w:p w14:paraId="4D4D2EE0" w14:textId="714CF720" w:rsidR="0089776F" w:rsidRDefault="0089776F">
    <w:pPr>
      <w:pStyle w:val="Footer"/>
    </w:pPr>
    <w:r w:rsidRPr="000F0ACE">
      <w:rPr>
        <w:sz w:val="18"/>
        <w:szCs w:val="18"/>
      </w:rPr>
      <w:fldChar w:fldCharType="begin"/>
    </w:r>
    <w:r w:rsidRPr="000F0ACE">
      <w:rPr>
        <w:sz w:val="18"/>
        <w:szCs w:val="18"/>
      </w:rPr>
      <w:instrText>IF "</w:instrText>
    </w:r>
    <w:r w:rsidRPr="000F0ACE">
      <w:rPr>
        <w:sz w:val="18"/>
        <w:szCs w:val="18"/>
      </w:rPr>
      <w:fldChar w:fldCharType="begin"/>
    </w:r>
    <w:r w:rsidRPr="000F0ACE">
      <w:rPr>
        <w:sz w:val="18"/>
        <w:szCs w:val="18"/>
      </w:rPr>
      <w:instrText xml:space="preserve"> DOCVARIABLE "SWDocIDLocation" </w:instrText>
    </w:r>
    <w:r w:rsidRPr="000F0ACE">
      <w:rPr>
        <w:sz w:val="18"/>
        <w:szCs w:val="18"/>
      </w:rPr>
      <w:fldChar w:fldCharType="separate"/>
    </w:r>
    <w:r>
      <w:rPr>
        <w:sz w:val="18"/>
        <w:szCs w:val="18"/>
      </w:rPr>
      <w:instrText>0</w:instrText>
    </w:r>
    <w:r w:rsidRPr="000F0ACE">
      <w:rPr>
        <w:sz w:val="18"/>
        <w:szCs w:val="18"/>
      </w:rPr>
      <w:fldChar w:fldCharType="end"/>
    </w:r>
    <w:r w:rsidRPr="000F0ACE">
      <w:rPr>
        <w:sz w:val="18"/>
        <w:szCs w:val="18"/>
      </w:rPr>
      <w:instrText>" = "1" "</w:instrText>
    </w:r>
    <w:r w:rsidRPr="000F0ACE">
      <w:rPr>
        <w:sz w:val="18"/>
        <w:szCs w:val="18"/>
      </w:rPr>
      <w:fldChar w:fldCharType="begin"/>
    </w:r>
    <w:r w:rsidRPr="000F0ACE">
      <w:rPr>
        <w:sz w:val="18"/>
        <w:szCs w:val="18"/>
      </w:rPr>
      <w:instrText xml:space="preserve"> DOCPROPERTY "SWDocID" </w:instrText>
    </w:r>
    <w:r w:rsidRPr="000F0ACE">
      <w:rPr>
        <w:sz w:val="18"/>
        <w:szCs w:val="18"/>
      </w:rPr>
      <w:fldChar w:fldCharType="separate"/>
    </w:r>
    <w:r>
      <w:rPr>
        <w:sz w:val="18"/>
        <w:szCs w:val="18"/>
      </w:rPr>
      <w:instrText>4831-9312-9656v9/200237-0015</w:instrText>
    </w:r>
    <w:r w:rsidRPr="000F0ACE">
      <w:rPr>
        <w:sz w:val="18"/>
        <w:szCs w:val="18"/>
      </w:rPr>
      <w:fldChar w:fldCharType="end"/>
    </w:r>
    <w:r w:rsidRPr="000F0ACE">
      <w:rPr>
        <w:sz w:val="18"/>
        <w:szCs w:val="18"/>
      </w:rPr>
      <w:instrText>" ""</w:instrText>
    </w:r>
    <w:r w:rsidRPr="000F0ACE">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3286" w14:textId="59529902" w:rsidR="00140099" w:rsidRPr="00492B39" w:rsidRDefault="00140099">
    <w:pPr>
      <w:pStyle w:val="Footer"/>
      <w:jc w:val="center"/>
      <w:rPr>
        <w:sz w:val="20"/>
        <w:szCs w:val="20"/>
      </w:rPr>
    </w:pPr>
    <w:r w:rsidRPr="00492B39">
      <w:rPr>
        <w:rStyle w:val="PageNumber"/>
        <w:sz w:val="20"/>
        <w:szCs w:val="20"/>
      </w:rPr>
      <w:t>A-</w:t>
    </w:r>
    <w:r>
      <w:rPr>
        <w:rStyle w:val="PageNumber"/>
        <w:sz w:val="20"/>
        <w:szCs w:val="20"/>
      </w:rPr>
      <w:t>A-</w:t>
    </w:r>
    <w:r w:rsidRPr="00492B39">
      <w:rPr>
        <w:rStyle w:val="PageNumber"/>
        <w:sz w:val="20"/>
        <w:szCs w:val="20"/>
      </w:rPr>
      <w:fldChar w:fldCharType="begin"/>
    </w:r>
    <w:r w:rsidRPr="00492B39">
      <w:rPr>
        <w:rStyle w:val="PageNumber"/>
        <w:sz w:val="20"/>
        <w:szCs w:val="20"/>
      </w:rPr>
      <w:instrText xml:space="preserve"> PAGE </w:instrText>
    </w:r>
    <w:r w:rsidRPr="00492B39">
      <w:rPr>
        <w:rStyle w:val="PageNumber"/>
        <w:sz w:val="20"/>
        <w:szCs w:val="20"/>
      </w:rPr>
      <w:fldChar w:fldCharType="separate"/>
    </w:r>
    <w:r>
      <w:rPr>
        <w:rStyle w:val="PageNumber"/>
        <w:noProof/>
        <w:sz w:val="20"/>
        <w:szCs w:val="20"/>
      </w:rPr>
      <w:t>3</w:t>
    </w:r>
    <w:r w:rsidRPr="00492B39">
      <w:rPr>
        <w:rStyle w:val="PageNumber"/>
        <w:sz w:val="20"/>
        <w:szCs w:val="20"/>
      </w:rPr>
      <w:fldChar w:fldCharType="end"/>
    </w:r>
  </w:p>
  <w:p w14:paraId="77492794" w14:textId="77777777" w:rsidR="00140099" w:rsidRDefault="00140099">
    <w:pPr>
      <w:pStyle w:val="Footer"/>
    </w:pPr>
  </w:p>
  <w:p w14:paraId="4C803DFE" w14:textId="77777777" w:rsidR="00140099" w:rsidRDefault="00140099">
    <w:pPr>
      <w:pStyle w:val="Footer"/>
    </w:pPr>
    <w:r w:rsidRPr="000F0ACE">
      <w:rPr>
        <w:sz w:val="18"/>
        <w:szCs w:val="18"/>
      </w:rPr>
      <w:fldChar w:fldCharType="begin"/>
    </w:r>
    <w:r w:rsidRPr="000F0ACE">
      <w:rPr>
        <w:sz w:val="18"/>
        <w:szCs w:val="18"/>
      </w:rPr>
      <w:instrText>IF "</w:instrText>
    </w:r>
    <w:r w:rsidRPr="000F0ACE">
      <w:rPr>
        <w:sz w:val="18"/>
        <w:szCs w:val="18"/>
      </w:rPr>
      <w:fldChar w:fldCharType="begin"/>
    </w:r>
    <w:r w:rsidRPr="000F0ACE">
      <w:rPr>
        <w:sz w:val="18"/>
        <w:szCs w:val="18"/>
      </w:rPr>
      <w:instrText xml:space="preserve"> DOCVARIABLE "SWDocIDLocation" </w:instrText>
    </w:r>
    <w:r w:rsidRPr="000F0ACE">
      <w:rPr>
        <w:sz w:val="18"/>
        <w:szCs w:val="18"/>
      </w:rPr>
      <w:fldChar w:fldCharType="separate"/>
    </w:r>
    <w:r>
      <w:rPr>
        <w:sz w:val="18"/>
        <w:szCs w:val="18"/>
      </w:rPr>
      <w:instrText>0</w:instrText>
    </w:r>
    <w:r w:rsidRPr="000F0ACE">
      <w:rPr>
        <w:sz w:val="18"/>
        <w:szCs w:val="18"/>
      </w:rPr>
      <w:fldChar w:fldCharType="end"/>
    </w:r>
    <w:r w:rsidRPr="000F0ACE">
      <w:rPr>
        <w:sz w:val="18"/>
        <w:szCs w:val="18"/>
      </w:rPr>
      <w:instrText>" = "1" "</w:instrText>
    </w:r>
    <w:r w:rsidRPr="000F0ACE">
      <w:rPr>
        <w:sz w:val="18"/>
        <w:szCs w:val="18"/>
      </w:rPr>
      <w:fldChar w:fldCharType="begin"/>
    </w:r>
    <w:r w:rsidRPr="000F0ACE">
      <w:rPr>
        <w:sz w:val="18"/>
        <w:szCs w:val="18"/>
      </w:rPr>
      <w:instrText xml:space="preserve"> DOCPROPERTY "SWDocID" </w:instrText>
    </w:r>
    <w:r w:rsidRPr="000F0ACE">
      <w:rPr>
        <w:sz w:val="18"/>
        <w:szCs w:val="18"/>
      </w:rPr>
      <w:fldChar w:fldCharType="separate"/>
    </w:r>
    <w:r>
      <w:rPr>
        <w:sz w:val="18"/>
        <w:szCs w:val="18"/>
      </w:rPr>
      <w:instrText>4831-9312-9656v9/200237-0015</w:instrText>
    </w:r>
    <w:r w:rsidRPr="000F0ACE">
      <w:rPr>
        <w:sz w:val="18"/>
        <w:szCs w:val="18"/>
      </w:rPr>
      <w:fldChar w:fldCharType="end"/>
    </w:r>
    <w:r w:rsidRPr="000F0ACE">
      <w:rPr>
        <w:sz w:val="18"/>
        <w:szCs w:val="18"/>
      </w:rPr>
      <w:instrText>" ""</w:instrText>
    </w:r>
    <w:r w:rsidR="00730E24">
      <w:rPr>
        <w:sz w:val="18"/>
        <w:szCs w:val="18"/>
      </w:rPr>
      <w:fldChar w:fldCharType="separate"/>
    </w:r>
    <w:r w:rsidRPr="000F0A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5792" w14:textId="77777777" w:rsidR="0089776F" w:rsidRDefault="0089776F" w:rsidP="00BB47BE">
      <w:r>
        <w:separator/>
      </w:r>
    </w:p>
  </w:footnote>
  <w:footnote w:type="continuationSeparator" w:id="0">
    <w:p w14:paraId="7376D533" w14:textId="77777777" w:rsidR="0089776F" w:rsidRDefault="0089776F" w:rsidP="00BB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76A6" w14:textId="77777777" w:rsidR="0089776F" w:rsidRDefault="00897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9D53" w14:textId="77777777" w:rsidR="0089776F" w:rsidRDefault="00897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8C5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E88E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C6C409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A29C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07851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E70F84C"/>
    <w:lvl w:ilvl="0">
      <w:start w:val="1"/>
      <w:numFmt w:val="bullet"/>
      <w:lvlText w:val=""/>
      <w:lvlJc w:val="left"/>
      <w:pPr>
        <w:tabs>
          <w:tab w:val="num" w:pos="1800"/>
        </w:tabs>
        <w:ind w:left="1800" w:hanging="360"/>
      </w:pPr>
      <w:rPr>
        <w:rFonts w:ascii="Symbol" w:hAnsi="Symbol" w:cs="Symbol" w:hint="default"/>
      </w:rPr>
    </w:lvl>
  </w:abstractNum>
  <w:abstractNum w:abstractNumId="6" w15:restartNumberingAfterBreak="0">
    <w:nsid w:val="FFFFFF81"/>
    <w:multiLevelType w:val="singleLevel"/>
    <w:tmpl w:val="81AC389A"/>
    <w:lvl w:ilvl="0">
      <w:start w:val="1"/>
      <w:numFmt w:val="bullet"/>
      <w:lvlText w:val=""/>
      <w:lvlJc w:val="left"/>
      <w:pPr>
        <w:tabs>
          <w:tab w:val="num" w:pos="1440"/>
        </w:tabs>
        <w:ind w:left="1440" w:hanging="360"/>
      </w:pPr>
      <w:rPr>
        <w:rFonts w:ascii="Symbol" w:hAnsi="Symbol" w:cs="Symbol" w:hint="default"/>
      </w:rPr>
    </w:lvl>
  </w:abstractNum>
  <w:abstractNum w:abstractNumId="7" w15:restartNumberingAfterBreak="0">
    <w:nsid w:val="FFFFFF82"/>
    <w:multiLevelType w:val="singleLevel"/>
    <w:tmpl w:val="EFF07644"/>
    <w:lvl w:ilvl="0">
      <w:start w:val="1"/>
      <w:numFmt w:val="bullet"/>
      <w:lvlText w:val=""/>
      <w:lvlJc w:val="left"/>
      <w:pPr>
        <w:tabs>
          <w:tab w:val="num" w:pos="1080"/>
        </w:tabs>
        <w:ind w:left="1080" w:hanging="360"/>
      </w:pPr>
      <w:rPr>
        <w:rFonts w:ascii="Symbol" w:hAnsi="Symbol" w:cs="Symbol" w:hint="default"/>
      </w:rPr>
    </w:lvl>
  </w:abstractNum>
  <w:abstractNum w:abstractNumId="8" w15:restartNumberingAfterBreak="0">
    <w:nsid w:val="FFFFFF83"/>
    <w:multiLevelType w:val="singleLevel"/>
    <w:tmpl w:val="626C4A68"/>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FFFFFF88"/>
    <w:multiLevelType w:val="singleLevel"/>
    <w:tmpl w:val="1AFCA0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FCCAF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FFFFFFFE"/>
    <w:multiLevelType w:val="singleLevel"/>
    <w:tmpl w:val="CAF007D4"/>
    <w:lvl w:ilvl="0">
      <w:numFmt w:val="decimal"/>
      <w:lvlText w:val="*"/>
      <w:lvlJc w:val="left"/>
    </w:lvl>
  </w:abstractNum>
  <w:abstractNum w:abstractNumId="12" w15:restartNumberingAfterBreak="0">
    <w:nsid w:val="0E9A6D29"/>
    <w:multiLevelType w:val="hybridMultilevel"/>
    <w:tmpl w:val="0132123A"/>
    <w:lvl w:ilvl="0" w:tplc="6A4E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512793"/>
    <w:multiLevelType w:val="hybridMultilevel"/>
    <w:tmpl w:val="9A123412"/>
    <w:lvl w:ilvl="0" w:tplc="19508EB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A3241"/>
    <w:multiLevelType w:val="hybridMultilevel"/>
    <w:tmpl w:val="294C8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EB5043"/>
    <w:multiLevelType w:val="hybridMultilevel"/>
    <w:tmpl w:val="A2B205DC"/>
    <w:lvl w:ilvl="0" w:tplc="62969308">
      <w:start w:val="1"/>
      <w:numFmt w:val="decimal"/>
      <w:lvlText w:val="%1."/>
      <w:lvlJc w:val="left"/>
      <w:pPr>
        <w:ind w:left="2430" w:hanging="99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19BE5090"/>
    <w:multiLevelType w:val="hybridMultilevel"/>
    <w:tmpl w:val="B75E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F26BE2"/>
    <w:multiLevelType w:val="hybridMultilevel"/>
    <w:tmpl w:val="F328F00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21DD5856"/>
    <w:multiLevelType w:val="hybridMultilevel"/>
    <w:tmpl w:val="CDA6087C"/>
    <w:lvl w:ilvl="0" w:tplc="A4A4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DD309C"/>
    <w:multiLevelType w:val="hybridMultilevel"/>
    <w:tmpl w:val="70A6F7CE"/>
    <w:lvl w:ilvl="0" w:tplc="59A6CEDE">
      <w:start w:val="1"/>
      <w:numFmt w:val="decimal"/>
      <w:lvlText w:val="(%1)"/>
      <w:lvlJc w:val="left"/>
      <w:pPr>
        <w:ind w:left="0" w:hanging="360"/>
      </w:pPr>
      <w:rPr>
        <w:rFonts w:hint="default"/>
        <w:vertAlign w:val="superscrip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3070A7C"/>
    <w:multiLevelType w:val="hybridMultilevel"/>
    <w:tmpl w:val="7314600E"/>
    <w:lvl w:ilvl="0" w:tplc="CBE6C15C">
      <w:start w:val="1"/>
      <w:numFmt w:val="decimal"/>
      <w:lvlText w:val="(%1)"/>
      <w:lvlJc w:val="left"/>
      <w:pPr>
        <w:ind w:left="0" w:hanging="360"/>
      </w:pPr>
      <w:rPr>
        <w:rFonts w:hint="default"/>
        <w:i w:val="0"/>
        <w:sz w:val="1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5DB0ACC"/>
    <w:multiLevelType w:val="multilevel"/>
    <w:tmpl w:val="D51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830B1F"/>
    <w:multiLevelType w:val="hybridMultilevel"/>
    <w:tmpl w:val="9858033E"/>
    <w:lvl w:ilvl="0" w:tplc="0409000F">
      <w:start w:val="1"/>
      <w:numFmt w:val="decimal"/>
      <w:lvlText w:val="%1."/>
      <w:lvlJc w:val="left"/>
      <w:pPr>
        <w:ind w:left="2430" w:hanging="99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2E5D5AB9"/>
    <w:multiLevelType w:val="hybridMultilevel"/>
    <w:tmpl w:val="8A06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B60EC"/>
    <w:multiLevelType w:val="hybridMultilevel"/>
    <w:tmpl w:val="065E98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1832D6E"/>
    <w:multiLevelType w:val="hybridMultilevel"/>
    <w:tmpl w:val="450E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93ACB"/>
    <w:multiLevelType w:val="hybridMultilevel"/>
    <w:tmpl w:val="54268A4C"/>
    <w:lvl w:ilvl="0" w:tplc="F5BA79DC">
      <w:numFmt w:val="bullet"/>
      <w:lvlText w:val="•"/>
      <w:lvlJc w:val="left"/>
      <w:pPr>
        <w:ind w:left="2160" w:hanging="138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3B322002"/>
    <w:multiLevelType w:val="hybridMultilevel"/>
    <w:tmpl w:val="EECEFFF2"/>
    <w:lvl w:ilvl="0" w:tplc="4D1E0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A0340"/>
    <w:multiLevelType w:val="hybridMultilevel"/>
    <w:tmpl w:val="9B4EAE2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453C41DA"/>
    <w:multiLevelType w:val="hybridMultilevel"/>
    <w:tmpl w:val="97CCD96C"/>
    <w:lvl w:ilvl="0" w:tplc="4EF8F7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D5A3C09"/>
    <w:multiLevelType w:val="hybridMultilevel"/>
    <w:tmpl w:val="539296CA"/>
    <w:lvl w:ilvl="0" w:tplc="FBD4B02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AF7F20"/>
    <w:multiLevelType w:val="hybridMultilevel"/>
    <w:tmpl w:val="77E05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2D756E"/>
    <w:multiLevelType w:val="hybridMultilevel"/>
    <w:tmpl w:val="91C0F262"/>
    <w:lvl w:ilvl="0" w:tplc="0409000F">
      <w:start w:val="1"/>
      <w:numFmt w:val="decimal"/>
      <w:lvlText w:val="%1."/>
      <w:lvlJc w:val="left"/>
      <w:pPr>
        <w:ind w:left="2430" w:hanging="99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59BB27CE"/>
    <w:multiLevelType w:val="hybridMultilevel"/>
    <w:tmpl w:val="588ED2A4"/>
    <w:lvl w:ilvl="0" w:tplc="3EC6B59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5DF831BC"/>
    <w:multiLevelType w:val="hybridMultilevel"/>
    <w:tmpl w:val="682CDA7A"/>
    <w:lvl w:ilvl="0" w:tplc="04090001">
      <w:start w:val="1"/>
      <w:numFmt w:val="bullet"/>
      <w:lvlText w:val=""/>
      <w:lvlJc w:val="left"/>
      <w:pPr>
        <w:tabs>
          <w:tab w:val="num" w:pos="1440"/>
        </w:tabs>
        <w:ind w:left="1440" w:hanging="360"/>
      </w:pPr>
      <w:rPr>
        <w:rFonts w:ascii="Symbol" w:hAnsi="Symbol" w:cs="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5" w15:restartNumberingAfterBreak="0">
    <w:nsid w:val="63B73384"/>
    <w:multiLevelType w:val="hybridMultilevel"/>
    <w:tmpl w:val="3D46F6F2"/>
    <w:lvl w:ilvl="0" w:tplc="04090001">
      <w:start w:val="1"/>
      <w:numFmt w:val="bullet"/>
      <w:lvlText w:val=""/>
      <w:lvlJc w:val="left"/>
      <w:pPr>
        <w:ind w:left="2160" w:hanging="138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6B74B17"/>
    <w:multiLevelType w:val="hybridMultilevel"/>
    <w:tmpl w:val="DA96435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7" w15:restartNumberingAfterBreak="0">
    <w:nsid w:val="6DDE3899"/>
    <w:multiLevelType w:val="hybridMultilevel"/>
    <w:tmpl w:val="38C06D04"/>
    <w:lvl w:ilvl="0" w:tplc="62969308">
      <w:start w:val="1"/>
      <w:numFmt w:val="decimal"/>
      <w:lvlText w:val="%1."/>
      <w:lvlJc w:val="left"/>
      <w:pPr>
        <w:ind w:left="2430" w:hanging="99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74577823"/>
    <w:multiLevelType w:val="hybridMultilevel"/>
    <w:tmpl w:val="6CA8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10405F"/>
    <w:multiLevelType w:val="hybridMultilevel"/>
    <w:tmpl w:val="596CE2C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15:restartNumberingAfterBreak="0">
    <w:nsid w:val="79E057F7"/>
    <w:multiLevelType w:val="multilevel"/>
    <w:tmpl w:val="C972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39"/>
  </w:num>
  <w:num w:numId="4">
    <w:abstractNumId w:val="34"/>
  </w:num>
  <w:num w:numId="5">
    <w:abstractNumId w:val="17"/>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8"/>
  </w:num>
  <w:num w:numId="17">
    <w:abstractNumId w:val="37"/>
  </w:num>
  <w:num w:numId="18">
    <w:abstractNumId w:val="22"/>
  </w:num>
  <w:num w:numId="19">
    <w:abstractNumId w:val="15"/>
  </w:num>
  <w:num w:numId="20">
    <w:abstractNumId w:val="32"/>
  </w:num>
  <w:num w:numId="21">
    <w:abstractNumId w:val="40"/>
  </w:num>
  <w:num w:numId="22">
    <w:abstractNumId w:val="21"/>
  </w:num>
  <w:num w:numId="23">
    <w:abstractNumId w:val="11"/>
    <w:lvlOverride w:ilvl="0">
      <w:lvl w:ilvl="0">
        <w:start w:val="1"/>
        <w:numFmt w:val="bullet"/>
        <w:lvlText w:val=""/>
        <w:legacy w:legacy="1" w:legacySpace="0" w:legacyIndent="360"/>
        <w:lvlJc w:val="left"/>
        <w:rPr>
          <w:rFonts w:ascii="Symbol" w:hAnsi="Symbol" w:hint="default"/>
          <w:sz w:val="20"/>
        </w:rPr>
      </w:lvl>
    </w:lvlOverride>
  </w:num>
  <w:num w:numId="24">
    <w:abstractNumId w:val="0"/>
  </w:num>
  <w:num w:numId="25">
    <w:abstractNumId w:val="13"/>
  </w:num>
  <w:num w:numId="26">
    <w:abstractNumId w:val="31"/>
  </w:num>
  <w:num w:numId="27">
    <w:abstractNumId w:val="25"/>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12"/>
  </w:num>
  <w:num w:numId="33">
    <w:abstractNumId w:val="20"/>
  </w:num>
  <w:num w:numId="34">
    <w:abstractNumId w:val="18"/>
  </w:num>
  <w:num w:numId="35">
    <w:abstractNumId w:val="29"/>
  </w:num>
  <w:num w:numId="36">
    <w:abstractNumId w:val="27"/>
  </w:num>
  <w:num w:numId="37">
    <w:abstractNumId w:val="33"/>
  </w:num>
  <w:num w:numId="38">
    <w:abstractNumId w:val="30"/>
  </w:num>
  <w:num w:numId="39">
    <w:abstractNumId w:val="16"/>
  </w:num>
  <w:num w:numId="40">
    <w:abstractNumId w:val="26"/>
  </w:num>
  <w:num w:numId="41">
    <w:abstractNumId w:val="3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proofState w:spelling="clean"/>
  <w:defaultTabStop w:val="720"/>
  <w:doNotHyphenateCaps/>
  <w:characterSpacingControl w:val="doNotCompress"/>
  <w:doNotValidateAgainstSchema/>
  <w:doNotDemarcateInvalidXml/>
  <w:hdrShapeDefaults>
    <o:shapedefaults v:ext="edit" spidmax="229377"/>
  </w:hdrShapeDefaults>
  <w:footnotePr>
    <w:numFmt w:val="chicago"/>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SWDocIDLayout" w:val="10006"/>
    <w:docVar w:name="SWDocIDLocation" w:val="0"/>
  </w:docVars>
  <w:rsids>
    <w:rsidRoot w:val="006B1A0C"/>
    <w:rsid w:val="0000008E"/>
    <w:rsid w:val="00000A46"/>
    <w:rsid w:val="0000117A"/>
    <w:rsid w:val="00001B98"/>
    <w:rsid w:val="00007198"/>
    <w:rsid w:val="00010054"/>
    <w:rsid w:val="00014139"/>
    <w:rsid w:val="000145F7"/>
    <w:rsid w:val="00016FAE"/>
    <w:rsid w:val="0001765C"/>
    <w:rsid w:val="00017D3D"/>
    <w:rsid w:val="000206F1"/>
    <w:rsid w:val="000207FA"/>
    <w:rsid w:val="000236A9"/>
    <w:rsid w:val="00024357"/>
    <w:rsid w:val="00024E95"/>
    <w:rsid w:val="00025566"/>
    <w:rsid w:val="000322ED"/>
    <w:rsid w:val="00033CC0"/>
    <w:rsid w:val="00033E04"/>
    <w:rsid w:val="00033F07"/>
    <w:rsid w:val="00035030"/>
    <w:rsid w:val="000360B1"/>
    <w:rsid w:val="00036A3D"/>
    <w:rsid w:val="00040995"/>
    <w:rsid w:val="00040FE6"/>
    <w:rsid w:val="00041EE0"/>
    <w:rsid w:val="00042996"/>
    <w:rsid w:val="000435E9"/>
    <w:rsid w:val="00046459"/>
    <w:rsid w:val="00050092"/>
    <w:rsid w:val="00051E20"/>
    <w:rsid w:val="00051E28"/>
    <w:rsid w:val="0005261D"/>
    <w:rsid w:val="0005668C"/>
    <w:rsid w:val="00060C75"/>
    <w:rsid w:val="00061B4C"/>
    <w:rsid w:val="0006373F"/>
    <w:rsid w:val="00063B2E"/>
    <w:rsid w:val="00066977"/>
    <w:rsid w:val="0006786D"/>
    <w:rsid w:val="00070B4A"/>
    <w:rsid w:val="00074100"/>
    <w:rsid w:val="00076127"/>
    <w:rsid w:val="00076A25"/>
    <w:rsid w:val="00077E44"/>
    <w:rsid w:val="00077FC0"/>
    <w:rsid w:val="00081F9B"/>
    <w:rsid w:val="000834EA"/>
    <w:rsid w:val="00083992"/>
    <w:rsid w:val="00083D8C"/>
    <w:rsid w:val="00085242"/>
    <w:rsid w:val="000860C5"/>
    <w:rsid w:val="000875CD"/>
    <w:rsid w:val="000901D1"/>
    <w:rsid w:val="00090E43"/>
    <w:rsid w:val="000916EE"/>
    <w:rsid w:val="00092044"/>
    <w:rsid w:val="00092D45"/>
    <w:rsid w:val="000942EC"/>
    <w:rsid w:val="00094486"/>
    <w:rsid w:val="00094808"/>
    <w:rsid w:val="00096957"/>
    <w:rsid w:val="00096A68"/>
    <w:rsid w:val="00096D40"/>
    <w:rsid w:val="000971CF"/>
    <w:rsid w:val="0009739E"/>
    <w:rsid w:val="0009741D"/>
    <w:rsid w:val="00097614"/>
    <w:rsid w:val="000A05CA"/>
    <w:rsid w:val="000A118F"/>
    <w:rsid w:val="000A2A33"/>
    <w:rsid w:val="000A5C09"/>
    <w:rsid w:val="000A6186"/>
    <w:rsid w:val="000B0358"/>
    <w:rsid w:val="000B2212"/>
    <w:rsid w:val="000B39A4"/>
    <w:rsid w:val="000B3DAE"/>
    <w:rsid w:val="000B549C"/>
    <w:rsid w:val="000B7DC4"/>
    <w:rsid w:val="000C3DA9"/>
    <w:rsid w:val="000C629E"/>
    <w:rsid w:val="000D1DBF"/>
    <w:rsid w:val="000D1F31"/>
    <w:rsid w:val="000D289A"/>
    <w:rsid w:val="000D377D"/>
    <w:rsid w:val="000D4CCD"/>
    <w:rsid w:val="000D6E4D"/>
    <w:rsid w:val="000D7006"/>
    <w:rsid w:val="000E1457"/>
    <w:rsid w:val="000E1BC1"/>
    <w:rsid w:val="000E20AE"/>
    <w:rsid w:val="000E50D9"/>
    <w:rsid w:val="000F0ACE"/>
    <w:rsid w:val="000F0F37"/>
    <w:rsid w:val="000F2B38"/>
    <w:rsid w:val="000F2D11"/>
    <w:rsid w:val="000F2FE4"/>
    <w:rsid w:val="000F4249"/>
    <w:rsid w:val="000F6350"/>
    <w:rsid w:val="000F6DA1"/>
    <w:rsid w:val="000F772A"/>
    <w:rsid w:val="00100FB1"/>
    <w:rsid w:val="00102F4B"/>
    <w:rsid w:val="00103410"/>
    <w:rsid w:val="001053ED"/>
    <w:rsid w:val="001056EC"/>
    <w:rsid w:val="00106789"/>
    <w:rsid w:val="001069C3"/>
    <w:rsid w:val="0011498D"/>
    <w:rsid w:val="0011507D"/>
    <w:rsid w:val="00115EA6"/>
    <w:rsid w:val="0011718F"/>
    <w:rsid w:val="00117EA0"/>
    <w:rsid w:val="001204F5"/>
    <w:rsid w:val="00121F3E"/>
    <w:rsid w:val="00122641"/>
    <w:rsid w:val="00124C08"/>
    <w:rsid w:val="00125B8C"/>
    <w:rsid w:val="00125EAA"/>
    <w:rsid w:val="001260E6"/>
    <w:rsid w:val="0012626C"/>
    <w:rsid w:val="00127287"/>
    <w:rsid w:val="0013105B"/>
    <w:rsid w:val="00132C18"/>
    <w:rsid w:val="00133CAE"/>
    <w:rsid w:val="00135C31"/>
    <w:rsid w:val="0013649D"/>
    <w:rsid w:val="00136579"/>
    <w:rsid w:val="00136CB7"/>
    <w:rsid w:val="00137362"/>
    <w:rsid w:val="00140099"/>
    <w:rsid w:val="00141055"/>
    <w:rsid w:val="001420CE"/>
    <w:rsid w:val="001451C0"/>
    <w:rsid w:val="00145DE0"/>
    <w:rsid w:val="001514D0"/>
    <w:rsid w:val="001530FB"/>
    <w:rsid w:val="00155D27"/>
    <w:rsid w:val="001575AA"/>
    <w:rsid w:val="001576B6"/>
    <w:rsid w:val="001631A1"/>
    <w:rsid w:val="001644F1"/>
    <w:rsid w:val="00166EEC"/>
    <w:rsid w:val="001675D9"/>
    <w:rsid w:val="00167F6F"/>
    <w:rsid w:val="00170398"/>
    <w:rsid w:val="00170452"/>
    <w:rsid w:val="00170522"/>
    <w:rsid w:val="00170711"/>
    <w:rsid w:val="001707FD"/>
    <w:rsid w:val="00171A6B"/>
    <w:rsid w:val="00171D8C"/>
    <w:rsid w:val="00172629"/>
    <w:rsid w:val="00173EFB"/>
    <w:rsid w:val="0017483A"/>
    <w:rsid w:val="00175B78"/>
    <w:rsid w:val="0017678E"/>
    <w:rsid w:val="00180473"/>
    <w:rsid w:val="00180EF2"/>
    <w:rsid w:val="001818E8"/>
    <w:rsid w:val="001822B8"/>
    <w:rsid w:val="001823B5"/>
    <w:rsid w:val="001839F6"/>
    <w:rsid w:val="0018428C"/>
    <w:rsid w:val="001842EF"/>
    <w:rsid w:val="00185B7B"/>
    <w:rsid w:val="00186119"/>
    <w:rsid w:val="00186DA7"/>
    <w:rsid w:val="00186E0F"/>
    <w:rsid w:val="00193012"/>
    <w:rsid w:val="00193133"/>
    <w:rsid w:val="00195543"/>
    <w:rsid w:val="00195E04"/>
    <w:rsid w:val="00195E06"/>
    <w:rsid w:val="00195FF3"/>
    <w:rsid w:val="00196695"/>
    <w:rsid w:val="00197A74"/>
    <w:rsid w:val="001A03D1"/>
    <w:rsid w:val="001A13C2"/>
    <w:rsid w:val="001A2E19"/>
    <w:rsid w:val="001A41B1"/>
    <w:rsid w:val="001A5954"/>
    <w:rsid w:val="001A5ACD"/>
    <w:rsid w:val="001A66A0"/>
    <w:rsid w:val="001B0618"/>
    <w:rsid w:val="001B132E"/>
    <w:rsid w:val="001B3E1A"/>
    <w:rsid w:val="001B55D7"/>
    <w:rsid w:val="001B5A82"/>
    <w:rsid w:val="001B6D51"/>
    <w:rsid w:val="001C0B17"/>
    <w:rsid w:val="001C0F68"/>
    <w:rsid w:val="001C33EB"/>
    <w:rsid w:val="001C5723"/>
    <w:rsid w:val="001C73BD"/>
    <w:rsid w:val="001C73ED"/>
    <w:rsid w:val="001D21E6"/>
    <w:rsid w:val="001D40C7"/>
    <w:rsid w:val="001D781B"/>
    <w:rsid w:val="001E0209"/>
    <w:rsid w:val="001E2097"/>
    <w:rsid w:val="001E331E"/>
    <w:rsid w:val="001E35F7"/>
    <w:rsid w:val="001E4B31"/>
    <w:rsid w:val="001E4D8E"/>
    <w:rsid w:val="001E7269"/>
    <w:rsid w:val="001F0DA3"/>
    <w:rsid w:val="001F370C"/>
    <w:rsid w:val="001F37FC"/>
    <w:rsid w:val="001F3D73"/>
    <w:rsid w:val="001F4C62"/>
    <w:rsid w:val="001F594A"/>
    <w:rsid w:val="001F5D16"/>
    <w:rsid w:val="001F6A93"/>
    <w:rsid w:val="001F6F03"/>
    <w:rsid w:val="00200A0F"/>
    <w:rsid w:val="0020184B"/>
    <w:rsid w:val="00203CEC"/>
    <w:rsid w:val="00204AA8"/>
    <w:rsid w:val="00205CF9"/>
    <w:rsid w:val="00205E11"/>
    <w:rsid w:val="00206E0E"/>
    <w:rsid w:val="00212249"/>
    <w:rsid w:val="00212E5F"/>
    <w:rsid w:val="0021357B"/>
    <w:rsid w:val="00215D0A"/>
    <w:rsid w:val="002167D6"/>
    <w:rsid w:val="002169E1"/>
    <w:rsid w:val="00216F39"/>
    <w:rsid w:val="002201C3"/>
    <w:rsid w:val="00222164"/>
    <w:rsid w:val="00222E7B"/>
    <w:rsid w:val="00222E80"/>
    <w:rsid w:val="00223598"/>
    <w:rsid w:val="002248A9"/>
    <w:rsid w:val="00224E79"/>
    <w:rsid w:val="002257BC"/>
    <w:rsid w:val="00225876"/>
    <w:rsid w:val="00230394"/>
    <w:rsid w:val="00231426"/>
    <w:rsid w:val="00231C0C"/>
    <w:rsid w:val="002337AA"/>
    <w:rsid w:val="00235AF9"/>
    <w:rsid w:val="00236A19"/>
    <w:rsid w:val="00240273"/>
    <w:rsid w:val="00241D38"/>
    <w:rsid w:val="00241FC4"/>
    <w:rsid w:val="00246AA3"/>
    <w:rsid w:val="00246E76"/>
    <w:rsid w:val="00247152"/>
    <w:rsid w:val="0025148A"/>
    <w:rsid w:val="00253770"/>
    <w:rsid w:val="002545C6"/>
    <w:rsid w:val="00256A07"/>
    <w:rsid w:val="0025723C"/>
    <w:rsid w:val="002610EE"/>
    <w:rsid w:val="00261D4F"/>
    <w:rsid w:val="00262B93"/>
    <w:rsid w:val="00263141"/>
    <w:rsid w:val="002634DD"/>
    <w:rsid w:val="00263EC2"/>
    <w:rsid w:val="002643B7"/>
    <w:rsid w:val="00264BCA"/>
    <w:rsid w:val="00265490"/>
    <w:rsid w:val="00266081"/>
    <w:rsid w:val="00266685"/>
    <w:rsid w:val="00266AC7"/>
    <w:rsid w:val="0027067C"/>
    <w:rsid w:val="00270DC8"/>
    <w:rsid w:val="0027145E"/>
    <w:rsid w:val="00272904"/>
    <w:rsid w:val="0027493A"/>
    <w:rsid w:val="00277206"/>
    <w:rsid w:val="00277AB9"/>
    <w:rsid w:val="00277E8A"/>
    <w:rsid w:val="00280265"/>
    <w:rsid w:val="00280EE7"/>
    <w:rsid w:val="00281872"/>
    <w:rsid w:val="00282205"/>
    <w:rsid w:val="00284538"/>
    <w:rsid w:val="00285CE5"/>
    <w:rsid w:val="002876DB"/>
    <w:rsid w:val="002877F9"/>
    <w:rsid w:val="002904BE"/>
    <w:rsid w:val="002921D1"/>
    <w:rsid w:val="00292847"/>
    <w:rsid w:val="002937F6"/>
    <w:rsid w:val="0029490A"/>
    <w:rsid w:val="002962D7"/>
    <w:rsid w:val="002964EB"/>
    <w:rsid w:val="0029754E"/>
    <w:rsid w:val="002A34CB"/>
    <w:rsid w:val="002A382C"/>
    <w:rsid w:val="002A3A7C"/>
    <w:rsid w:val="002A44E4"/>
    <w:rsid w:val="002A5686"/>
    <w:rsid w:val="002B05BF"/>
    <w:rsid w:val="002B2148"/>
    <w:rsid w:val="002B2984"/>
    <w:rsid w:val="002B3D5F"/>
    <w:rsid w:val="002B469D"/>
    <w:rsid w:val="002B5A73"/>
    <w:rsid w:val="002B78D7"/>
    <w:rsid w:val="002C2F1F"/>
    <w:rsid w:val="002C45B3"/>
    <w:rsid w:val="002C55BF"/>
    <w:rsid w:val="002C5AC5"/>
    <w:rsid w:val="002C6714"/>
    <w:rsid w:val="002C7B18"/>
    <w:rsid w:val="002D02C4"/>
    <w:rsid w:val="002D0B76"/>
    <w:rsid w:val="002D1186"/>
    <w:rsid w:val="002D2B58"/>
    <w:rsid w:val="002D52A9"/>
    <w:rsid w:val="002D6459"/>
    <w:rsid w:val="002E1075"/>
    <w:rsid w:val="002E1753"/>
    <w:rsid w:val="002E21BC"/>
    <w:rsid w:val="002E26AC"/>
    <w:rsid w:val="002E2A20"/>
    <w:rsid w:val="002E2AAF"/>
    <w:rsid w:val="002E3281"/>
    <w:rsid w:val="002E32C6"/>
    <w:rsid w:val="002E6B68"/>
    <w:rsid w:val="002E6E92"/>
    <w:rsid w:val="002E6F79"/>
    <w:rsid w:val="002E7842"/>
    <w:rsid w:val="002F12CA"/>
    <w:rsid w:val="002F161E"/>
    <w:rsid w:val="002F2DB8"/>
    <w:rsid w:val="002F2E76"/>
    <w:rsid w:val="002F2E7B"/>
    <w:rsid w:val="002F3BE2"/>
    <w:rsid w:val="002F3F22"/>
    <w:rsid w:val="002F508B"/>
    <w:rsid w:val="002F52A0"/>
    <w:rsid w:val="00300116"/>
    <w:rsid w:val="003010DD"/>
    <w:rsid w:val="003013A4"/>
    <w:rsid w:val="0030286B"/>
    <w:rsid w:val="00302EAC"/>
    <w:rsid w:val="003032E2"/>
    <w:rsid w:val="003051D2"/>
    <w:rsid w:val="00310CF7"/>
    <w:rsid w:val="00311EEB"/>
    <w:rsid w:val="00312A89"/>
    <w:rsid w:val="003131E9"/>
    <w:rsid w:val="003133EC"/>
    <w:rsid w:val="00313A14"/>
    <w:rsid w:val="0031479F"/>
    <w:rsid w:val="003173CA"/>
    <w:rsid w:val="00317876"/>
    <w:rsid w:val="00321911"/>
    <w:rsid w:val="0032195A"/>
    <w:rsid w:val="003224EC"/>
    <w:rsid w:val="00323417"/>
    <w:rsid w:val="00323C97"/>
    <w:rsid w:val="0032787A"/>
    <w:rsid w:val="00327CAA"/>
    <w:rsid w:val="003338EF"/>
    <w:rsid w:val="0033450B"/>
    <w:rsid w:val="0033455A"/>
    <w:rsid w:val="00334662"/>
    <w:rsid w:val="00334BFF"/>
    <w:rsid w:val="003355E8"/>
    <w:rsid w:val="003358CD"/>
    <w:rsid w:val="00340615"/>
    <w:rsid w:val="003426FE"/>
    <w:rsid w:val="0034293D"/>
    <w:rsid w:val="00343582"/>
    <w:rsid w:val="003438B3"/>
    <w:rsid w:val="00345EF4"/>
    <w:rsid w:val="00345F06"/>
    <w:rsid w:val="003475E5"/>
    <w:rsid w:val="00347676"/>
    <w:rsid w:val="003512AD"/>
    <w:rsid w:val="0035145B"/>
    <w:rsid w:val="00352CAF"/>
    <w:rsid w:val="00353460"/>
    <w:rsid w:val="003572C9"/>
    <w:rsid w:val="0035784C"/>
    <w:rsid w:val="00360663"/>
    <w:rsid w:val="0036282A"/>
    <w:rsid w:val="003665C5"/>
    <w:rsid w:val="00366E79"/>
    <w:rsid w:val="003670AE"/>
    <w:rsid w:val="00371E03"/>
    <w:rsid w:val="003732A3"/>
    <w:rsid w:val="0037355D"/>
    <w:rsid w:val="00373B16"/>
    <w:rsid w:val="00373EA2"/>
    <w:rsid w:val="00375C00"/>
    <w:rsid w:val="00376715"/>
    <w:rsid w:val="00376DD7"/>
    <w:rsid w:val="00376ED3"/>
    <w:rsid w:val="0037787F"/>
    <w:rsid w:val="0037799F"/>
    <w:rsid w:val="003779CE"/>
    <w:rsid w:val="00381196"/>
    <w:rsid w:val="00383E45"/>
    <w:rsid w:val="003843BA"/>
    <w:rsid w:val="0038494C"/>
    <w:rsid w:val="00385EE5"/>
    <w:rsid w:val="0038672C"/>
    <w:rsid w:val="00386ACE"/>
    <w:rsid w:val="003910A6"/>
    <w:rsid w:val="003910DA"/>
    <w:rsid w:val="00393B28"/>
    <w:rsid w:val="0039439A"/>
    <w:rsid w:val="00397CF5"/>
    <w:rsid w:val="003A0FDF"/>
    <w:rsid w:val="003A1C5E"/>
    <w:rsid w:val="003A24F1"/>
    <w:rsid w:val="003A4F98"/>
    <w:rsid w:val="003A50BB"/>
    <w:rsid w:val="003A538A"/>
    <w:rsid w:val="003A5BA3"/>
    <w:rsid w:val="003A6E63"/>
    <w:rsid w:val="003A6E99"/>
    <w:rsid w:val="003B104D"/>
    <w:rsid w:val="003B13D6"/>
    <w:rsid w:val="003B3220"/>
    <w:rsid w:val="003B6ADF"/>
    <w:rsid w:val="003B7248"/>
    <w:rsid w:val="003B7E0B"/>
    <w:rsid w:val="003C0817"/>
    <w:rsid w:val="003C1B3C"/>
    <w:rsid w:val="003C202B"/>
    <w:rsid w:val="003C385A"/>
    <w:rsid w:val="003C3E0B"/>
    <w:rsid w:val="003C5A33"/>
    <w:rsid w:val="003C625F"/>
    <w:rsid w:val="003C62CA"/>
    <w:rsid w:val="003C6EFE"/>
    <w:rsid w:val="003D102B"/>
    <w:rsid w:val="003D1CEC"/>
    <w:rsid w:val="003D1DDD"/>
    <w:rsid w:val="003D270D"/>
    <w:rsid w:val="003D2FFA"/>
    <w:rsid w:val="003D4439"/>
    <w:rsid w:val="003D6D7C"/>
    <w:rsid w:val="003E0516"/>
    <w:rsid w:val="003E48D6"/>
    <w:rsid w:val="003E6091"/>
    <w:rsid w:val="003E7BF4"/>
    <w:rsid w:val="003F1237"/>
    <w:rsid w:val="003F1D94"/>
    <w:rsid w:val="003F283F"/>
    <w:rsid w:val="003F2952"/>
    <w:rsid w:val="003F585B"/>
    <w:rsid w:val="0040274F"/>
    <w:rsid w:val="00403F09"/>
    <w:rsid w:val="00404DCA"/>
    <w:rsid w:val="00406CB5"/>
    <w:rsid w:val="00407428"/>
    <w:rsid w:val="00407629"/>
    <w:rsid w:val="004122DA"/>
    <w:rsid w:val="00414016"/>
    <w:rsid w:val="00414699"/>
    <w:rsid w:val="004157D7"/>
    <w:rsid w:val="00420939"/>
    <w:rsid w:val="0042179A"/>
    <w:rsid w:val="0042220C"/>
    <w:rsid w:val="0042274E"/>
    <w:rsid w:val="004238F5"/>
    <w:rsid w:val="00423B60"/>
    <w:rsid w:val="0042441E"/>
    <w:rsid w:val="00424CD4"/>
    <w:rsid w:val="00425FA9"/>
    <w:rsid w:val="0042675A"/>
    <w:rsid w:val="00431E2E"/>
    <w:rsid w:val="00434366"/>
    <w:rsid w:val="00435DDF"/>
    <w:rsid w:val="004401AD"/>
    <w:rsid w:val="00444546"/>
    <w:rsid w:val="004474B8"/>
    <w:rsid w:val="004507D0"/>
    <w:rsid w:val="004529EB"/>
    <w:rsid w:val="004534AD"/>
    <w:rsid w:val="00456AC3"/>
    <w:rsid w:val="00460A5A"/>
    <w:rsid w:val="00460F2D"/>
    <w:rsid w:val="00461CC2"/>
    <w:rsid w:val="00462759"/>
    <w:rsid w:val="00462DF1"/>
    <w:rsid w:val="00465DE5"/>
    <w:rsid w:val="0046691D"/>
    <w:rsid w:val="004705E1"/>
    <w:rsid w:val="004718C8"/>
    <w:rsid w:val="00471C75"/>
    <w:rsid w:val="00471DFF"/>
    <w:rsid w:val="00472117"/>
    <w:rsid w:val="004726F6"/>
    <w:rsid w:val="004737EB"/>
    <w:rsid w:val="00474A5F"/>
    <w:rsid w:val="004759B1"/>
    <w:rsid w:val="004759CF"/>
    <w:rsid w:val="00477CCA"/>
    <w:rsid w:val="0048051B"/>
    <w:rsid w:val="00481A32"/>
    <w:rsid w:val="00482328"/>
    <w:rsid w:val="004830EF"/>
    <w:rsid w:val="00484374"/>
    <w:rsid w:val="00492B39"/>
    <w:rsid w:val="0049408E"/>
    <w:rsid w:val="004964E3"/>
    <w:rsid w:val="004973F9"/>
    <w:rsid w:val="0049754A"/>
    <w:rsid w:val="004A2076"/>
    <w:rsid w:val="004A5BBB"/>
    <w:rsid w:val="004B0DD1"/>
    <w:rsid w:val="004B24EB"/>
    <w:rsid w:val="004B27DF"/>
    <w:rsid w:val="004B3E96"/>
    <w:rsid w:val="004B42F7"/>
    <w:rsid w:val="004B62E5"/>
    <w:rsid w:val="004C0E2B"/>
    <w:rsid w:val="004C2AD9"/>
    <w:rsid w:val="004C34E8"/>
    <w:rsid w:val="004C3881"/>
    <w:rsid w:val="004C3B3A"/>
    <w:rsid w:val="004C3C3F"/>
    <w:rsid w:val="004C4781"/>
    <w:rsid w:val="004C4DB7"/>
    <w:rsid w:val="004D0492"/>
    <w:rsid w:val="004D0E49"/>
    <w:rsid w:val="004D1BE2"/>
    <w:rsid w:val="004D1D3B"/>
    <w:rsid w:val="004D28E8"/>
    <w:rsid w:val="004D2BC3"/>
    <w:rsid w:val="004D6585"/>
    <w:rsid w:val="004D684E"/>
    <w:rsid w:val="004D6854"/>
    <w:rsid w:val="004D6877"/>
    <w:rsid w:val="004D6BA0"/>
    <w:rsid w:val="004D7E87"/>
    <w:rsid w:val="004E1441"/>
    <w:rsid w:val="004E239A"/>
    <w:rsid w:val="004E377D"/>
    <w:rsid w:val="004E4C40"/>
    <w:rsid w:val="004E5342"/>
    <w:rsid w:val="004E546E"/>
    <w:rsid w:val="004E5724"/>
    <w:rsid w:val="004E68A2"/>
    <w:rsid w:val="004E7242"/>
    <w:rsid w:val="004F02B7"/>
    <w:rsid w:val="004F27B5"/>
    <w:rsid w:val="004F3DBF"/>
    <w:rsid w:val="004F41D7"/>
    <w:rsid w:val="004F7201"/>
    <w:rsid w:val="00500586"/>
    <w:rsid w:val="0050180B"/>
    <w:rsid w:val="005018D8"/>
    <w:rsid w:val="00501D2C"/>
    <w:rsid w:val="0050293F"/>
    <w:rsid w:val="00503C1C"/>
    <w:rsid w:val="005048BB"/>
    <w:rsid w:val="00505417"/>
    <w:rsid w:val="00505F68"/>
    <w:rsid w:val="00506FD6"/>
    <w:rsid w:val="00510BB0"/>
    <w:rsid w:val="00510C75"/>
    <w:rsid w:val="005131F4"/>
    <w:rsid w:val="00514FB3"/>
    <w:rsid w:val="005157DB"/>
    <w:rsid w:val="00515F16"/>
    <w:rsid w:val="0051662C"/>
    <w:rsid w:val="00516B5C"/>
    <w:rsid w:val="00517275"/>
    <w:rsid w:val="0051753A"/>
    <w:rsid w:val="0051789C"/>
    <w:rsid w:val="00517F14"/>
    <w:rsid w:val="00522ACE"/>
    <w:rsid w:val="00522D13"/>
    <w:rsid w:val="00522E9B"/>
    <w:rsid w:val="00523584"/>
    <w:rsid w:val="005301BE"/>
    <w:rsid w:val="00536206"/>
    <w:rsid w:val="00537298"/>
    <w:rsid w:val="00537EA8"/>
    <w:rsid w:val="00537F78"/>
    <w:rsid w:val="00537F8C"/>
    <w:rsid w:val="00541CBA"/>
    <w:rsid w:val="00541F71"/>
    <w:rsid w:val="005431EC"/>
    <w:rsid w:val="00544E78"/>
    <w:rsid w:val="00545DAB"/>
    <w:rsid w:val="00547109"/>
    <w:rsid w:val="00547778"/>
    <w:rsid w:val="00547E36"/>
    <w:rsid w:val="00554B5C"/>
    <w:rsid w:val="00560E6E"/>
    <w:rsid w:val="00561620"/>
    <w:rsid w:val="00561FBE"/>
    <w:rsid w:val="005631C5"/>
    <w:rsid w:val="005647DA"/>
    <w:rsid w:val="00565152"/>
    <w:rsid w:val="00565E47"/>
    <w:rsid w:val="005665D9"/>
    <w:rsid w:val="005677AD"/>
    <w:rsid w:val="0057096A"/>
    <w:rsid w:val="00575082"/>
    <w:rsid w:val="005772B6"/>
    <w:rsid w:val="00582656"/>
    <w:rsid w:val="0058279A"/>
    <w:rsid w:val="005828A3"/>
    <w:rsid w:val="00582DE3"/>
    <w:rsid w:val="0058366D"/>
    <w:rsid w:val="00584492"/>
    <w:rsid w:val="00584ECE"/>
    <w:rsid w:val="0058682E"/>
    <w:rsid w:val="005870AC"/>
    <w:rsid w:val="00590026"/>
    <w:rsid w:val="005905FF"/>
    <w:rsid w:val="005906FA"/>
    <w:rsid w:val="0059235D"/>
    <w:rsid w:val="00592953"/>
    <w:rsid w:val="00593074"/>
    <w:rsid w:val="00595860"/>
    <w:rsid w:val="00595898"/>
    <w:rsid w:val="0059726A"/>
    <w:rsid w:val="005979DD"/>
    <w:rsid w:val="005A093A"/>
    <w:rsid w:val="005A110F"/>
    <w:rsid w:val="005A1ED3"/>
    <w:rsid w:val="005A23E2"/>
    <w:rsid w:val="005A7093"/>
    <w:rsid w:val="005A7ADC"/>
    <w:rsid w:val="005B1574"/>
    <w:rsid w:val="005B2B83"/>
    <w:rsid w:val="005B387E"/>
    <w:rsid w:val="005B3AC6"/>
    <w:rsid w:val="005B4024"/>
    <w:rsid w:val="005B48B8"/>
    <w:rsid w:val="005B6FFB"/>
    <w:rsid w:val="005B788C"/>
    <w:rsid w:val="005C0734"/>
    <w:rsid w:val="005C1125"/>
    <w:rsid w:val="005C210A"/>
    <w:rsid w:val="005C2140"/>
    <w:rsid w:val="005C221F"/>
    <w:rsid w:val="005C3D4A"/>
    <w:rsid w:val="005C3E24"/>
    <w:rsid w:val="005C417B"/>
    <w:rsid w:val="005C6438"/>
    <w:rsid w:val="005C683F"/>
    <w:rsid w:val="005C7825"/>
    <w:rsid w:val="005D1EA4"/>
    <w:rsid w:val="005D3839"/>
    <w:rsid w:val="005D411F"/>
    <w:rsid w:val="005D4483"/>
    <w:rsid w:val="005D50D8"/>
    <w:rsid w:val="005D6F35"/>
    <w:rsid w:val="005D724A"/>
    <w:rsid w:val="005D77BF"/>
    <w:rsid w:val="005E10AF"/>
    <w:rsid w:val="005E3DF8"/>
    <w:rsid w:val="005E6C4C"/>
    <w:rsid w:val="005E6EA0"/>
    <w:rsid w:val="005F0F6B"/>
    <w:rsid w:val="005F20A9"/>
    <w:rsid w:val="005F2895"/>
    <w:rsid w:val="005F4A2B"/>
    <w:rsid w:val="005F51A2"/>
    <w:rsid w:val="005F5A3C"/>
    <w:rsid w:val="005F62A4"/>
    <w:rsid w:val="005F64AB"/>
    <w:rsid w:val="005F6811"/>
    <w:rsid w:val="005F698C"/>
    <w:rsid w:val="00600477"/>
    <w:rsid w:val="0060249B"/>
    <w:rsid w:val="006052BD"/>
    <w:rsid w:val="006056FF"/>
    <w:rsid w:val="00605AA7"/>
    <w:rsid w:val="006063B3"/>
    <w:rsid w:val="006103D6"/>
    <w:rsid w:val="00612DA8"/>
    <w:rsid w:val="006143B1"/>
    <w:rsid w:val="0062059D"/>
    <w:rsid w:val="00621B0A"/>
    <w:rsid w:val="006237E5"/>
    <w:rsid w:val="006240B3"/>
    <w:rsid w:val="00624FAB"/>
    <w:rsid w:val="006251C3"/>
    <w:rsid w:val="00625EE4"/>
    <w:rsid w:val="00627E94"/>
    <w:rsid w:val="0063122C"/>
    <w:rsid w:val="00631CB6"/>
    <w:rsid w:val="00634229"/>
    <w:rsid w:val="0063698A"/>
    <w:rsid w:val="00636D7C"/>
    <w:rsid w:val="00641200"/>
    <w:rsid w:val="0064224C"/>
    <w:rsid w:val="006438C8"/>
    <w:rsid w:val="00643ADB"/>
    <w:rsid w:val="00645883"/>
    <w:rsid w:val="006501FC"/>
    <w:rsid w:val="0065176A"/>
    <w:rsid w:val="006524D4"/>
    <w:rsid w:val="00653F1A"/>
    <w:rsid w:val="00654CC9"/>
    <w:rsid w:val="0065508A"/>
    <w:rsid w:val="0065510C"/>
    <w:rsid w:val="00656CC2"/>
    <w:rsid w:val="00657E4F"/>
    <w:rsid w:val="00661298"/>
    <w:rsid w:val="006612D5"/>
    <w:rsid w:val="00662B19"/>
    <w:rsid w:val="00662EB1"/>
    <w:rsid w:val="00664190"/>
    <w:rsid w:val="00664435"/>
    <w:rsid w:val="00664D87"/>
    <w:rsid w:val="006667FC"/>
    <w:rsid w:val="006668B6"/>
    <w:rsid w:val="006670AC"/>
    <w:rsid w:val="006679BA"/>
    <w:rsid w:val="00670A9A"/>
    <w:rsid w:val="00671014"/>
    <w:rsid w:val="00671AF8"/>
    <w:rsid w:val="006735E5"/>
    <w:rsid w:val="00673CB8"/>
    <w:rsid w:val="006743C0"/>
    <w:rsid w:val="00674E87"/>
    <w:rsid w:val="006773EC"/>
    <w:rsid w:val="0067743C"/>
    <w:rsid w:val="00677FEF"/>
    <w:rsid w:val="00682C36"/>
    <w:rsid w:val="0068436E"/>
    <w:rsid w:val="006929F0"/>
    <w:rsid w:val="006A12DB"/>
    <w:rsid w:val="006A4985"/>
    <w:rsid w:val="006A4D65"/>
    <w:rsid w:val="006A5CF3"/>
    <w:rsid w:val="006A5E53"/>
    <w:rsid w:val="006A63B9"/>
    <w:rsid w:val="006A647B"/>
    <w:rsid w:val="006A6A6B"/>
    <w:rsid w:val="006A6C1D"/>
    <w:rsid w:val="006A7F2B"/>
    <w:rsid w:val="006B09DF"/>
    <w:rsid w:val="006B0E7E"/>
    <w:rsid w:val="006B1A0C"/>
    <w:rsid w:val="006B43C3"/>
    <w:rsid w:val="006B7504"/>
    <w:rsid w:val="006B7E31"/>
    <w:rsid w:val="006C0B93"/>
    <w:rsid w:val="006C0D9B"/>
    <w:rsid w:val="006C245F"/>
    <w:rsid w:val="006C3E78"/>
    <w:rsid w:val="006C430D"/>
    <w:rsid w:val="006C4762"/>
    <w:rsid w:val="006C5E86"/>
    <w:rsid w:val="006D058F"/>
    <w:rsid w:val="006D1BD4"/>
    <w:rsid w:val="006D3495"/>
    <w:rsid w:val="006D3781"/>
    <w:rsid w:val="006D624D"/>
    <w:rsid w:val="006D686C"/>
    <w:rsid w:val="006D6C63"/>
    <w:rsid w:val="006D7664"/>
    <w:rsid w:val="006E04E9"/>
    <w:rsid w:val="006E0544"/>
    <w:rsid w:val="006E1D67"/>
    <w:rsid w:val="006E1F0A"/>
    <w:rsid w:val="006E21CF"/>
    <w:rsid w:val="006E24CF"/>
    <w:rsid w:val="006E5919"/>
    <w:rsid w:val="006E5EB9"/>
    <w:rsid w:val="006E600D"/>
    <w:rsid w:val="006F073D"/>
    <w:rsid w:val="006F138A"/>
    <w:rsid w:val="006F2689"/>
    <w:rsid w:val="006F317A"/>
    <w:rsid w:val="006F37BF"/>
    <w:rsid w:val="006F3EF6"/>
    <w:rsid w:val="006F3F25"/>
    <w:rsid w:val="007010A3"/>
    <w:rsid w:val="007012C9"/>
    <w:rsid w:val="007026C0"/>
    <w:rsid w:val="00702948"/>
    <w:rsid w:val="00702B99"/>
    <w:rsid w:val="007045AD"/>
    <w:rsid w:val="00706346"/>
    <w:rsid w:val="007073F4"/>
    <w:rsid w:val="007101A2"/>
    <w:rsid w:val="00710950"/>
    <w:rsid w:val="0071431F"/>
    <w:rsid w:val="007157A5"/>
    <w:rsid w:val="0072295D"/>
    <w:rsid w:val="0072593B"/>
    <w:rsid w:val="00726B0E"/>
    <w:rsid w:val="00726F03"/>
    <w:rsid w:val="00730218"/>
    <w:rsid w:val="0073023D"/>
    <w:rsid w:val="00730873"/>
    <w:rsid w:val="00730E24"/>
    <w:rsid w:val="00733EF7"/>
    <w:rsid w:val="0073567D"/>
    <w:rsid w:val="00737224"/>
    <w:rsid w:val="007401BB"/>
    <w:rsid w:val="007413DF"/>
    <w:rsid w:val="00741448"/>
    <w:rsid w:val="0074248F"/>
    <w:rsid w:val="007424BC"/>
    <w:rsid w:val="00743E76"/>
    <w:rsid w:val="00744541"/>
    <w:rsid w:val="007452D8"/>
    <w:rsid w:val="0074577F"/>
    <w:rsid w:val="0075115A"/>
    <w:rsid w:val="00752159"/>
    <w:rsid w:val="00752706"/>
    <w:rsid w:val="00752C8A"/>
    <w:rsid w:val="0075459F"/>
    <w:rsid w:val="00754638"/>
    <w:rsid w:val="0075643F"/>
    <w:rsid w:val="00756444"/>
    <w:rsid w:val="0075743C"/>
    <w:rsid w:val="0076046C"/>
    <w:rsid w:val="0076074B"/>
    <w:rsid w:val="007623D8"/>
    <w:rsid w:val="007624AF"/>
    <w:rsid w:val="00762FDC"/>
    <w:rsid w:val="00764B0F"/>
    <w:rsid w:val="007652F8"/>
    <w:rsid w:val="00766E13"/>
    <w:rsid w:val="00767D76"/>
    <w:rsid w:val="00773779"/>
    <w:rsid w:val="00774718"/>
    <w:rsid w:val="00776AE0"/>
    <w:rsid w:val="007804FD"/>
    <w:rsid w:val="00783FB4"/>
    <w:rsid w:val="00785869"/>
    <w:rsid w:val="00785CFA"/>
    <w:rsid w:val="0078652D"/>
    <w:rsid w:val="007872C8"/>
    <w:rsid w:val="0079119B"/>
    <w:rsid w:val="00795460"/>
    <w:rsid w:val="007A0E0D"/>
    <w:rsid w:val="007A2A5B"/>
    <w:rsid w:val="007A4B44"/>
    <w:rsid w:val="007A5CDB"/>
    <w:rsid w:val="007A7244"/>
    <w:rsid w:val="007A7BF9"/>
    <w:rsid w:val="007B00C2"/>
    <w:rsid w:val="007B165F"/>
    <w:rsid w:val="007B18ED"/>
    <w:rsid w:val="007B2814"/>
    <w:rsid w:val="007B49E3"/>
    <w:rsid w:val="007B4CC7"/>
    <w:rsid w:val="007B4DAC"/>
    <w:rsid w:val="007B65E8"/>
    <w:rsid w:val="007C073D"/>
    <w:rsid w:val="007C198E"/>
    <w:rsid w:val="007C1F3D"/>
    <w:rsid w:val="007C1F7F"/>
    <w:rsid w:val="007D0A3A"/>
    <w:rsid w:val="007D1388"/>
    <w:rsid w:val="007D1CCB"/>
    <w:rsid w:val="007D27CB"/>
    <w:rsid w:val="007D28B6"/>
    <w:rsid w:val="007D4AA9"/>
    <w:rsid w:val="007D76C4"/>
    <w:rsid w:val="007E00D8"/>
    <w:rsid w:val="007E08D4"/>
    <w:rsid w:val="007E0B35"/>
    <w:rsid w:val="007E1302"/>
    <w:rsid w:val="007E16CB"/>
    <w:rsid w:val="007E1747"/>
    <w:rsid w:val="007E1A55"/>
    <w:rsid w:val="007E1B25"/>
    <w:rsid w:val="007E1B5F"/>
    <w:rsid w:val="007E260B"/>
    <w:rsid w:val="007E5AD5"/>
    <w:rsid w:val="007E6008"/>
    <w:rsid w:val="007F21EF"/>
    <w:rsid w:val="007F22D2"/>
    <w:rsid w:val="007F35D1"/>
    <w:rsid w:val="007F474C"/>
    <w:rsid w:val="007F6B4C"/>
    <w:rsid w:val="007F71A2"/>
    <w:rsid w:val="00800E24"/>
    <w:rsid w:val="0080212A"/>
    <w:rsid w:val="008026AC"/>
    <w:rsid w:val="00803C0A"/>
    <w:rsid w:val="00803C45"/>
    <w:rsid w:val="00804B38"/>
    <w:rsid w:val="00805376"/>
    <w:rsid w:val="00805424"/>
    <w:rsid w:val="00805EF4"/>
    <w:rsid w:val="00806FE5"/>
    <w:rsid w:val="00807273"/>
    <w:rsid w:val="00807710"/>
    <w:rsid w:val="0081125F"/>
    <w:rsid w:val="008139F9"/>
    <w:rsid w:val="00814A70"/>
    <w:rsid w:val="008162ED"/>
    <w:rsid w:val="0081673C"/>
    <w:rsid w:val="00816E54"/>
    <w:rsid w:val="008172F9"/>
    <w:rsid w:val="00817BDC"/>
    <w:rsid w:val="00817ED9"/>
    <w:rsid w:val="00821322"/>
    <w:rsid w:val="008223D7"/>
    <w:rsid w:val="0082526F"/>
    <w:rsid w:val="00826CD5"/>
    <w:rsid w:val="00826D7F"/>
    <w:rsid w:val="00827958"/>
    <w:rsid w:val="0083204A"/>
    <w:rsid w:val="00833C37"/>
    <w:rsid w:val="00833E4C"/>
    <w:rsid w:val="00840AEF"/>
    <w:rsid w:val="0084579D"/>
    <w:rsid w:val="008465A5"/>
    <w:rsid w:val="00846ED2"/>
    <w:rsid w:val="00847296"/>
    <w:rsid w:val="008538D9"/>
    <w:rsid w:val="008550CF"/>
    <w:rsid w:val="00857039"/>
    <w:rsid w:val="00857273"/>
    <w:rsid w:val="00857F65"/>
    <w:rsid w:val="00860BE4"/>
    <w:rsid w:val="00861042"/>
    <w:rsid w:val="00861C98"/>
    <w:rsid w:val="008621EA"/>
    <w:rsid w:val="00863C66"/>
    <w:rsid w:val="00865953"/>
    <w:rsid w:val="00867099"/>
    <w:rsid w:val="008676E9"/>
    <w:rsid w:val="00872D67"/>
    <w:rsid w:val="0087461E"/>
    <w:rsid w:val="0087483C"/>
    <w:rsid w:val="00875FB0"/>
    <w:rsid w:val="00876A5B"/>
    <w:rsid w:val="0087705E"/>
    <w:rsid w:val="00880219"/>
    <w:rsid w:val="008808FD"/>
    <w:rsid w:val="00883A20"/>
    <w:rsid w:val="008847E4"/>
    <w:rsid w:val="0088729C"/>
    <w:rsid w:val="0088740D"/>
    <w:rsid w:val="008901D1"/>
    <w:rsid w:val="00890FB0"/>
    <w:rsid w:val="00892BB9"/>
    <w:rsid w:val="008931B0"/>
    <w:rsid w:val="00895C0B"/>
    <w:rsid w:val="0089688D"/>
    <w:rsid w:val="00897298"/>
    <w:rsid w:val="0089776F"/>
    <w:rsid w:val="008A0625"/>
    <w:rsid w:val="008A3419"/>
    <w:rsid w:val="008A547A"/>
    <w:rsid w:val="008A6399"/>
    <w:rsid w:val="008A73F4"/>
    <w:rsid w:val="008A795A"/>
    <w:rsid w:val="008B111F"/>
    <w:rsid w:val="008B438E"/>
    <w:rsid w:val="008B4779"/>
    <w:rsid w:val="008B538D"/>
    <w:rsid w:val="008B54DC"/>
    <w:rsid w:val="008B6B3D"/>
    <w:rsid w:val="008C088F"/>
    <w:rsid w:val="008C0ADE"/>
    <w:rsid w:val="008C162D"/>
    <w:rsid w:val="008C2C9C"/>
    <w:rsid w:val="008C4528"/>
    <w:rsid w:val="008C5F46"/>
    <w:rsid w:val="008C677D"/>
    <w:rsid w:val="008C77F5"/>
    <w:rsid w:val="008D0163"/>
    <w:rsid w:val="008D130F"/>
    <w:rsid w:val="008D1A72"/>
    <w:rsid w:val="008D232F"/>
    <w:rsid w:val="008D3EDD"/>
    <w:rsid w:val="008D3FD0"/>
    <w:rsid w:val="008D60CC"/>
    <w:rsid w:val="008E1D68"/>
    <w:rsid w:val="008E2B6A"/>
    <w:rsid w:val="008E7AFE"/>
    <w:rsid w:val="008F021F"/>
    <w:rsid w:val="008F0B9A"/>
    <w:rsid w:val="008F2C05"/>
    <w:rsid w:val="008F33E1"/>
    <w:rsid w:val="008F3D15"/>
    <w:rsid w:val="008F3D9C"/>
    <w:rsid w:val="008F536C"/>
    <w:rsid w:val="008F5CB6"/>
    <w:rsid w:val="008F5DAF"/>
    <w:rsid w:val="009018D2"/>
    <w:rsid w:val="00902092"/>
    <w:rsid w:val="00905C21"/>
    <w:rsid w:val="00912927"/>
    <w:rsid w:val="00913898"/>
    <w:rsid w:val="00914016"/>
    <w:rsid w:val="00914477"/>
    <w:rsid w:val="00914751"/>
    <w:rsid w:val="0091561D"/>
    <w:rsid w:val="00915CA7"/>
    <w:rsid w:val="00917E5C"/>
    <w:rsid w:val="009200AB"/>
    <w:rsid w:val="00920B0E"/>
    <w:rsid w:val="00922D8F"/>
    <w:rsid w:val="009234D5"/>
    <w:rsid w:val="00924157"/>
    <w:rsid w:val="00926929"/>
    <w:rsid w:val="00926CD0"/>
    <w:rsid w:val="00931C2A"/>
    <w:rsid w:val="00932209"/>
    <w:rsid w:val="009346B5"/>
    <w:rsid w:val="00935552"/>
    <w:rsid w:val="009365D5"/>
    <w:rsid w:val="00940876"/>
    <w:rsid w:val="00941553"/>
    <w:rsid w:val="0094179C"/>
    <w:rsid w:val="00943283"/>
    <w:rsid w:val="00943F4B"/>
    <w:rsid w:val="009473AE"/>
    <w:rsid w:val="009532FE"/>
    <w:rsid w:val="00954888"/>
    <w:rsid w:val="00954A0A"/>
    <w:rsid w:val="009553CB"/>
    <w:rsid w:val="00955B63"/>
    <w:rsid w:val="00956BAC"/>
    <w:rsid w:val="009606B3"/>
    <w:rsid w:val="00960857"/>
    <w:rsid w:val="00961960"/>
    <w:rsid w:val="0096221A"/>
    <w:rsid w:val="0096253F"/>
    <w:rsid w:val="00962949"/>
    <w:rsid w:val="00963635"/>
    <w:rsid w:val="00964A1A"/>
    <w:rsid w:val="00964E2E"/>
    <w:rsid w:val="00965350"/>
    <w:rsid w:val="009654EC"/>
    <w:rsid w:val="00966F37"/>
    <w:rsid w:val="00967E40"/>
    <w:rsid w:val="00967FFA"/>
    <w:rsid w:val="00973B8E"/>
    <w:rsid w:val="0097489E"/>
    <w:rsid w:val="00974C10"/>
    <w:rsid w:val="00975267"/>
    <w:rsid w:val="00976416"/>
    <w:rsid w:val="009818B8"/>
    <w:rsid w:val="009823EA"/>
    <w:rsid w:val="009844EB"/>
    <w:rsid w:val="009850E8"/>
    <w:rsid w:val="009855E6"/>
    <w:rsid w:val="00985627"/>
    <w:rsid w:val="00985F65"/>
    <w:rsid w:val="00987429"/>
    <w:rsid w:val="00987A54"/>
    <w:rsid w:val="00987CB8"/>
    <w:rsid w:val="00991085"/>
    <w:rsid w:val="00992DA7"/>
    <w:rsid w:val="00993894"/>
    <w:rsid w:val="00993DE4"/>
    <w:rsid w:val="009961DC"/>
    <w:rsid w:val="009962B6"/>
    <w:rsid w:val="009A04AC"/>
    <w:rsid w:val="009A0E2B"/>
    <w:rsid w:val="009A3787"/>
    <w:rsid w:val="009A3B08"/>
    <w:rsid w:val="009A3D75"/>
    <w:rsid w:val="009A47D6"/>
    <w:rsid w:val="009A49F6"/>
    <w:rsid w:val="009A6D35"/>
    <w:rsid w:val="009B5228"/>
    <w:rsid w:val="009B5423"/>
    <w:rsid w:val="009B6A0C"/>
    <w:rsid w:val="009B77AF"/>
    <w:rsid w:val="009C0FB5"/>
    <w:rsid w:val="009C1A84"/>
    <w:rsid w:val="009C1FAE"/>
    <w:rsid w:val="009C3C76"/>
    <w:rsid w:val="009D0BBD"/>
    <w:rsid w:val="009D133A"/>
    <w:rsid w:val="009D1A89"/>
    <w:rsid w:val="009D461C"/>
    <w:rsid w:val="009D531C"/>
    <w:rsid w:val="009D6444"/>
    <w:rsid w:val="009D71DB"/>
    <w:rsid w:val="009E1B23"/>
    <w:rsid w:val="009E1D29"/>
    <w:rsid w:val="009E26E5"/>
    <w:rsid w:val="009E3217"/>
    <w:rsid w:val="009E5F7E"/>
    <w:rsid w:val="009E636B"/>
    <w:rsid w:val="009F0DCB"/>
    <w:rsid w:val="009F0DD8"/>
    <w:rsid w:val="009F1486"/>
    <w:rsid w:val="009F2561"/>
    <w:rsid w:val="009F34D6"/>
    <w:rsid w:val="009F493C"/>
    <w:rsid w:val="009F5662"/>
    <w:rsid w:val="009F6FCF"/>
    <w:rsid w:val="00A00039"/>
    <w:rsid w:val="00A0249A"/>
    <w:rsid w:val="00A025CC"/>
    <w:rsid w:val="00A0476C"/>
    <w:rsid w:val="00A054A8"/>
    <w:rsid w:val="00A06B77"/>
    <w:rsid w:val="00A06B97"/>
    <w:rsid w:val="00A073CD"/>
    <w:rsid w:val="00A07D23"/>
    <w:rsid w:val="00A1070A"/>
    <w:rsid w:val="00A10C26"/>
    <w:rsid w:val="00A132B9"/>
    <w:rsid w:val="00A13972"/>
    <w:rsid w:val="00A1482D"/>
    <w:rsid w:val="00A14D8E"/>
    <w:rsid w:val="00A16578"/>
    <w:rsid w:val="00A22333"/>
    <w:rsid w:val="00A24CE8"/>
    <w:rsid w:val="00A25A3A"/>
    <w:rsid w:val="00A26036"/>
    <w:rsid w:val="00A2750B"/>
    <w:rsid w:val="00A3062A"/>
    <w:rsid w:val="00A3147C"/>
    <w:rsid w:val="00A314CD"/>
    <w:rsid w:val="00A337C2"/>
    <w:rsid w:val="00A34C6C"/>
    <w:rsid w:val="00A34DA7"/>
    <w:rsid w:val="00A3551F"/>
    <w:rsid w:val="00A35D13"/>
    <w:rsid w:val="00A35FA1"/>
    <w:rsid w:val="00A36268"/>
    <w:rsid w:val="00A37498"/>
    <w:rsid w:val="00A40E61"/>
    <w:rsid w:val="00A412C4"/>
    <w:rsid w:val="00A448B9"/>
    <w:rsid w:val="00A452EA"/>
    <w:rsid w:val="00A46FA9"/>
    <w:rsid w:val="00A47895"/>
    <w:rsid w:val="00A47AC6"/>
    <w:rsid w:val="00A51092"/>
    <w:rsid w:val="00A511C9"/>
    <w:rsid w:val="00A52B85"/>
    <w:rsid w:val="00A53C33"/>
    <w:rsid w:val="00A542AA"/>
    <w:rsid w:val="00A548F3"/>
    <w:rsid w:val="00A54E2E"/>
    <w:rsid w:val="00A552B2"/>
    <w:rsid w:val="00A61B56"/>
    <w:rsid w:val="00A61F3E"/>
    <w:rsid w:val="00A62BA3"/>
    <w:rsid w:val="00A633C9"/>
    <w:rsid w:val="00A63D40"/>
    <w:rsid w:val="00A658E7"/>
    <w:rsid w:val="00A65ACC"/>
    <w:rsid w:val="00A66BD5"/>
    <w:rsid w:val="00A66DE9"/>
    <w:rsid w:val="00A6743D"/>
    <w:rsid w:val="00A70A5B"/>
    <w:rsid w:val="00A72C89"/>
    <w:rsid w:val="00A73F3D"/>
    <w:rsid w:val="00A745D3"/>
    <w:rsid w:val="00A75BE9"/>
    <w:rsid w:val="00A768A2"/>
    <w:rsid w:val="00A76BB5"/>
    <w:rsid w:val="00A76CE1"/>
    <w:rsid w:val="00A77B52"/>
    <w:rsid w:val="00A8097D"/>
    <w:rsid w:val="00A816B3"/>
    <w:rsid w:val="00A83001"/>
    <w:rsid w:val="00A834C3"/>
    <w:rsid w:val="00A83C00"/>
    <w:rsid w:val="00A845E4"/>
    <w:rsid w:val="00A84C06"/>
    <w:rsid w:val="00A851E8"/>
    <w:rsid w:val="00A8619C"/>
    <w:rsid w:val="00A86B91"/>
    <w:rsid w:val="00A90AD0"/>
    <w:rsid w:val="00A90B66"/>
    <w:rsid w:val="00A92DB5"/>
    <w:rsid w:val="00A93121"/>
    <w:rsid w:val="00A93B01"/>
    <w:rsid w:val="00A93EC7"/>
    <w:rsid w:val="00A9515A"/>
    <w:rsid w:val="00A95A59"/>
    <w:rsid w:val="00A96B0D"/>
    <w:rsid w:val="00A97413"/>
    <w:rsid w:val="00A97709"/>
    <w:rsid w:val="00A97B9A"/>
    <w:rsid w:val="00AA18B0"/>
    <w:rsid w:val="00AA2D08"/>
    <w:rsid w:val="00AA4B79"/>
    <w:rsid w:val="00AA4F04"/>
    <w:rsid w:val="00AA5839"/>
    <w:rsid w:val="00AA5EC9"/>
    <w:rsid w:val="00AA74D7"/>
    <w:rsid w:val="00AA79C5"/>
    <w:rsid w:val="00AB169F"/>
    <w:rsid w:val="00AB188A"/>
    <w:rsid w:val="00AB2BF9"/>
    <w:rsid w:val="00AB40AC"/>
    <w:rsid w:val="00AB5097"/>
    <w:rsid w:val="00AC0169"/>
    <w:rsid w:val="00AC1C50"/>
    <w:rsid w:val="00AC38FF"/>
    <w:rsid w:val="00AC5E21"/>
    <w:rsid w:val="00AD0EA4"/>
    <w:rsid w:val="00AD16F5"/>
    <w:rsid w:val="00AD17C1"/>
    <w:rsid w:val="00AD1828"/>
    <w:rsid w:val="00AD19B6"/>
    <w:rsid w:val="00AD32A2"/>
    <w:rsid w:val="00AD40C6"/>
    <w:rsid w:val="00AD5070"/>
    <w:rsid w:val="00AD6DD5"/>
    <w:rsid w:val="00AE04BC"/>
    <w:rsid w:val="00AE13D1"/>
    <w:rsid w:val="00AE2E8B"/>
    <w:rsid w:val="00AE3160"/>
    <w:rsid w:val="00AE5EA3"/>
    <w:rsid w:val="00AE6A87"/>
    <w:rsid w:val="00AE7EB9"/>
    <w:rsid w:val="00AF06CA"/>
    <w:rsid w:val="00AF3E55"/>
    <w:rsid w:val="00AF5F4B"/>
    <w:rsid w:val="00AF62D6"/>
    <w:rsid w:val="00AF6531"/>
    <w:rsid w:val="00AF693C"/>
    <w:rsid w:val="00B01FC7"/>
    <w:rsid w:val="00B02DD8"/>
    <w:rsid w:val="00B037DE"/>
    <w:rsid w:val="00B03C95"/>
    <w:rsid w:val="00B04569"/>
    <w:rsid w:val="00B04703"/>
    <w:rsid w:val="00B05172"/>
    <w:rsid w:val="00B0563D"/>
    <w:rsid w:val="00B101D6"/>
    <w:rsid w:val="00B1024F"/>
    <w:rsid w:val="00B1091F"/>
    <w:rsid w:val="00B118BA"/>
    <w:rsid w:val="00B135E2"/>
    <w:rsid w:val="00B142B0"/>
    <w:rsid w:val="00B14F18"/>
    <w:rsid w:val="00B15722"/>
    <w:rsid w:val="00B170C8"/>
    <w:rsid w:val="00B25ED9"/>
    <w:rsid w:val="00B264DC"/>
    <w:rsid w:val="00B2657B"/>
    <w:rsid w:val="00B30D49"/>
    <w:rsid w:val="00B317DE"/>
    <w:rsid w:val="00B32980"/>
    <w:rsid w:val="00B33747"/>
    <w:rsid w:val="00B33B45"/>
    <w:rsid w:val="00B341A4"/>
    <w:rsid w:val="00B34661"/>
    <w:rsid w:val="00B34AED"/>
    <w:rsid w:val="00B360ED"/>
    <w:rsid w:val="00B40B14"/>
    <w:rsid w:val="00B434AF"/>
    <w:rsid w:val="00B43875"/>
    <w:rsid w:val="00B453A5"/>
    <w:rsid w:val="00B45D32"/>
    <w:rsid w:val="00B45FAA"/>
    <w:rsid w:val="00B46477"/>
    <w:rsid w:val="00B46488"/>
    <w:rsid w:val="00B510D4"/>
    <w:rsid w:val="00B51786"/>
    <w:rsid w:val="00B51D20"/>
    <w:rsid w:val="00B52210"/>
    <w:rsid w:val="00B52825"/>
    <w:rsid w:val="00B52E22"/>
    <w:rsid w:val="00B54459"/>
    <w:rsid w:val="00B54786"/>
    <w:rsid w:val="00B555DA"/>
    <w:rsid w:val="00B56E40"/>
    <w:rsid w:val="00B571E8"/>
    <w:rsid w:val="00B575D0"/>
    <w:rsid w:val="00B60FE8"/>
    <w:rsid w:val="00B623A9"/>
    <w:rsid w:val="00B62922"/>
    <w:rsid w:val="00B63BA1"/>
    <w:rsid w:val="00B65145"/>
    <w:rsid w:val="00B65A0E"/>
    <w:rsid w:val="00B7097F"/>
    <w:rsid w:val="00B714FE"/>
    <w:rsid w:val="00B71927"/>
    <w:rsid w:val="00B71972"/>
    <w:rsid w:val="00B74438"/>
    <w:rsid w:val="00B75348"/>
    <w:rsid w:val="00B8008D"/>
    <w:rsid w:val="00B839F3"/>
    <w:rsid w:val="00B8593F"/>
    <w:rsid w:val="00B85D06"/>
    <w:rsid w:val="00B8699D"/>
    <w:rsid w:val="00B9090A"/>
    <w:rsid w:val="00B918C8"/>
    <w:rsid w:val="00B91B9D"/>
    <w:rsid w:val="00B91BF0"/>
    <w:rsid w:val="00B94673"/>
    <w:rsid w:val="00B95AE6"/>
    <w:rsid w:val="00BA0094"/>
    <w:rsid w:val="00BA1975"/>
    <w:rsid w:val="00BA1A0B"/>
    <w:rsid w:val="00BA2D42"/>
    <w:rsid w:val="00BA446F"/>
    <w:rsid w:val="00BA4A97"/>
    <w:rsid w:val="00BB1F0C"/>
    <w:rsid w:val="00BB24BE"/>
    <w:rsid w:val="00BB30BF"/>
    <w:rsid w:val="00BB32CC"/>
    <w:rsid w:val="00BB3806"/>
    <w:rsid w:val="00BB4049"/>
    <w:rsid w:val="00BB47BE"/>
    <w:rsid w:val="00BB5BFE"/>
    <w:rsid w:val="00BB7C15"/>
    <w:rsid w:val="00BC0915"/>
    <w:rsid w:val="00BC424E"/>
    <w:rsid w:val="00BC4299"/>
    <w:rsid w:val="00BD05A5"/>
    <w:rsid w:val="00BD063E"/>
    <w:rsid w:val="00BD0B00"/>
    <w:rsid w:val="00BD34D0"/>
    <w:rsid w:val="00BD3952"/>
    <w:rsid w:val="00BD3C61"/>
    <w:rsid w:val="00BD7824"/>
    <w:rsid w:val="00BD7BD0"/>
    <w:rsid w:val="00BE0663"/>
    <w:rsid w:val="00BE09C6"/>
    <w:rsid w:val="00BE10C3"/>
    <w:rsid w:val="00BE2ECD"/>
    <w:rsid w:val="00BE4601"/>
    <w:rsid w:val="00BE542D"/>
    <w:rsid w:val="00BE600D"/>
    <w:rsid w:val="00BE61F0"/>
    <w:rsid w:val="00BE6496"/>
    <w:rsid w:val="00BE6714"/>
    <w:rsid w:val="00BE6DC6"/>
    <w:rsid w:val="00BF3681"/>
    <w:rsid w:val="00BF5FE9"/>
    <w:rsid w:val="00C01E49"/>
    <w:rsid w:val="00C01EC2"/>
    <w:rsid w:val="00C046DF"/>
    <w:rsid w:val="00C04B89"/>
    <w:rsid w:val="00C05B33"/>
    <w:rsid w:val="00C07FCA"/>
    <w:rsid w:val="00C104D7"/>
    <w:rsid w:val="00C11F80"/>
    <w:rsid w:val="00C12A91"/>
    <w:rsid w:val="00C1406F"/>
    <w:rsid w:val="00C14C10"/>
    <w:rsid w:val="00C14ED0"/>
    <w:rsid w:val="00C161E3"/>
    <w:rsid w:val="00C16214"/>
    <w:rsid w:val="00C20A87"/>
    <w:rsid w:val="00C20E5A"/>
    <w:rsid w:val="00C22234"/>
    <w:rsid w:val="00C2355D"/>
    <w:rsid w:val="00C23B68"/>
    <w:rsid w:val="00C23FE4"/>
    <w:rsid w:val="00C2516F"/>
    <w:rsid w:val="00C25F25"/>
    <w:rsid w:val="00C2632C"/>
    <w:rsid w:val="00C26D46"/>
    <w:rsid w:val="00C30409"/>
    <w:rsid w:val="00C31259"/>
    <w:rsid w:val="00C31B09"/>
    <w:rsid w:val="00C33CBC"/>
    <w:rsid w:val="00C34A95"/>
    <w:rsid w:val="00C37144"/>
    <w:rsid w:val="00C37F48"/>
    <w:rsid w:val="00C41D8D"/>
    <w:rsid w:val="00C41F3A"/>
    <w:rsid w:val="00C425A0"/>
    <w:rsid w:val="00C42DAA"/>
    <w:rsid w:val="00C42FB4"/>
    <w:rsid w:val="00C46082"/>
    <w:rsid w:val="00C47CE7"/>
    <w:rsid w:val="00C516E5"/>
    <w:rsid w:val="00C530D9"/>
    <w:rsid w:val="00C54607"/>
    <w:rsid w:val="00C55C72"/>
    <w:rsid w:val="00C57D9B"/>
    <w:rsid w:val="00C60B2F"/>
    <w:rsid w:val="00C63505"/>
    <w:rsid w:val="00C64D79"/>
    <w:rsid w:val="00C659BE"/>
    <w:rsid w:val="00C675BF"/>
    <w:rsid w:val="00C678E3"/>
    <w:rsid w:val="00C71354"/>
    <w:rsid w:val="00C72E3A"/>
    <w:rsid w:val="00C732E4"/>
    <w:rsid w:val="00C73ECD"/>
    <w:rsid w:val="00C75F99"/>
    <w:rsid w:val="00C76001"/>
    <w:rsid w:val="00C77C7A"/>
    <w:rsid w:val="00C803BD"/>
    <w:rsid w:val="00C80794"/>
    <w:rsid w:val="00C81BBC"/>
    <w:rsid w:val="00C8357E"/>
    <w:rsid w:val="00C84B72"/>
    <w:rsid w:val="00C84CAE"/>
    <w:rsid w:val="00C879FD"/>
    <w:rsid w:val="00C900EC"/>
    <w:rsid w:val="00C90FF0"/>
    <w:rsid w:val="00C9213B"/>
    <w:rsid w:val="00C92389"/>
    <w:rsid w:val="00C939EB"/>
    <w:rsid w:val="00C94A09"/>
    <w:rsid w:val="00C94CEB"/>
    <w:rsid w:val="00C94D50"/>
    <w:rsid w:val="00C96665"/>
    <w:rsid w:val="00CA0E5F"/>
    <w:rsid w:val="00CA3E0C"/>
    <w:rsid w:val="00CA58A4"/>
    <w:rsid w:val="00CA632F"/>
    <w:rsid w:val="00CB0C70"/>
    <w:rsid w:val="00CB0CDF"/>
    <w:rsid w:val="00CB44D3"/>
    <w:rsid w:val="00CC312D"/>
    <w:rsid w:val="00CC581B"/>
    <w:rsid w:val="00CC5C89"/>
    <w:rsid w:val="00CC6B7E"/>
    <w:rsid w:val="00CD2294"/>
    <w:rsid w:val="00CD2B9D"/>
    <w:rsid w:val="00CD2BD0"/>
    <w:rsid w:val="00CD2DC7"/>
    <w:rsid w:val="00CD45BC"/>
    <w:rsid w:val="00CD67BC"/>
    <w:rsid w:val="00CD7140"/>
    <w:rsid w:val="00CE0947"/>
    <w:rsid w:val="00CE1DF3"/>
    <w:rsid w:val="00CE3CDD"/>
    <w:rsid w:val="00CE41E1"/>
    <w:rsid w:val="00CE4665"/>
    <w:rsid w:val="00CE637B"/>
    <w:rsid w:val="00CE6D69"/>
    <w:rsid w:val="00CE6FB9"/>
    <w:rsid w:val="00CE7E2C"/>
    <w:rsid w:val="00CE7F2C"/>
    <w:rsid w:val="00CF1309"/>
    <w:rsid w:val="00CF1B34"/>
    <w:rsid w:val="00CF1E38"/>
    <w:rsid w:val="00CF4DBD"/>
    <w:rsid w:val="00CF5097"/>
    <w:rsid w:val="00CF69CC"/>
    <w:rsid w:val="00CF7CAF"/>
    <w:rsid w:val="00D00EA8"/>
    <w:rsid w:val="00D01E4E"/>
    <w:rsid w:val="00D01F21"/>
    <w:rsid w:val="00D02FD9"/>
    <w:rsid w:val="00D03791"/>
    <w:rsid w:val="00D03DD8"/>
    <w:rsid w:val="00D0511B"/>
    <w:rsid w:val="00D0568B"/>
    <w:rsid w:val="00D05DFA"/>
    <w:rsid w:val="00D103C8"/>
    <w:rsid w:val="00D12331"/>
    <w:rsid w:val="00D12ED9"/>
    <w:rsid w:val="00D13A1C"/>
    <w:rsid w:val="00D146E2"/>
    <w:rsid w:val="00D16DA1"/>
    <w:rsid w:val="00D17D2C"/>
    <w:rsid w:val="00D27021"/>
    <w:rsid w:val="00D300C4"/>
    <w:rsid w:val="00D343E5"/>
    <w:rsid w:val="00D3574C"/>
    <w:rsid w:val="00D360CE"/>
    <w:rsid w:val="00D36647"/>
    <w:rsid w:val="00D3705B"/>
    <w:rsid w:val="00D3710E"/>
    <w:rsid w:val="00D40D9D"/>
    <w:rsid w:val="00D427B9"/>
    <w:rsid w:val="00D42BB3"/>
    <w:rsid w:val="00D43FFE"/>
    <w:rsid w:val="00D4544E"/>
    <w:rsid w:val="00D4665B"/>
    <w:rsid w:val="00D47029"/>
    <w:rsid w:val="00D47C60"/>
    <w:rsid w:val="00D52B6F"/>
    <w:rsid w:val="00D535F6"/>
    <w:rsid w:val="00D565F3"/>
    <w:rsid w:val="00D56C06"/>
    <w:rsid w:val="00D56F40"/>
    <w:rsid w:val="00D57C55"/>
    <w:rsid w:val="00D60B28"/>
    <w:rsid w:val="00D62CFD"/>
    <w:rsid w:val="00D6376B"/>
    <w:rsid w:val="00D63AAB"/>
    <w:rsid w:val="00D63BE3"/>
    <w:rsid w:val="00D65700"/>
    <w:rsid w:val="00D6624E"/>
    <w:rsid w:val="00D66534"/>
    <w:rsid w:val="00D669E0"/>
    <w:rsid w:val="00D71966"/>
    <w:rsid w:val="00D7480E"/>
    <w:rsid w:val="00D7561A"/>
    <w:rsid w:val="00D75D9A"/>
    <w:rsid w:val="00D77C5B"/>
    <w:rsid w:val="00D81AC5"/>
    <w:rsid w:val="00D82E39"/>
    <w:rsid w:val="00D83231"/>
    <w:rsid w:val="00D83E39"/>
    <w:rsid w:val="00D84E11"/>
    <w:rsid w:val="00D86688"/>
    <w:rsid w:val="00D8697C"/>
    <w:rsid w:val="00D90885"/>
    <w:rsid w:val="00D91138"/>
    <w:rsid w:val="00D95891"/>
    <w:rsid w:val="00DA046D"/>
    <w:rsid w:val="00DA07C3"/>
    <w:rsid w:val="00DA0E9A"/>
    <w:rsid w:val="00DA4063"/>
    <w:rsid w:val="00DA522D"/>
    <w:rsid w:val="00DA60DA"/>
    <w:rsid w:val="00DA646B"/>
    <w:rsid w:val="00DB166A"/>
    <w:rsid w:val="00DB3303"/>
    <w:rsid w:val="00DB3EB2"/>
    <w:rsid w:val="00DB410E"/>
    <w:rsid w:val="00DB484A"/>
    <w:rsid w:val="00DB54EE"/>
    <w:rsid w:val="00DB59B1"/>
    <w:rsid w:val="00DB5F5C"/>
    <w:rsid w:val="00DB627C"/>
    <w:rsid w:val="00DB70D9"/>
    <w:rsid w:val="00DC03D7"/>
    <w:rsid w:val="00DC17F5"/>
    <w:rsid w:val="00DC1F65"/>
    <w:rsid w:val="00DC433E"/>
    <w:rsid w:val="00DC4574"/>
    <w:rsid w:val="00DC4D91"/>
    <w:rsid w:val="00DC500F"/>
    <w:rsid w:val="00DC6205"/>
    <w:rsid w:val="00DC6585"/>
    <w:rsid w:val="00DC6D51"/>
    <w:rsid w:val="00DD07F1"/>
    <w:rsid w:val="00DD1B1F"/>
    <w:rsid w:val="00DD3A6E"/>
    <w:rsid w:val="00DD4262"/>
    <w:rsid w:val="00DD4E5D"/>
    <w:rsid w:val="00DD6CDE"/>
    <w:rsid w:val="00DD6CF4"/>
    <w:rsid w:val="00DD6EA7"/>
    <w:rsid w:val="00DD713D"/>
    <w:rsid w:val="00DD7261"/>
    <w:rsid w:val="00DD7A68"/>
    <w:rsid w:val="00DE03ED"/>
    <w:rsid w:val="00DE0908"/>
    <w:rsid w:val="00DE0E70"/>
    <w:rsid w:val="00DE19E6"/>
    <w:rsid w:val="00DE47E5"/>
    <w:rsid w:val="00DE4F61"/>
    <w:rsid w:val="00DE640A"/>
    <w:rsid w:val="00DE76D4"/>
    <w:rsid w:val="00DF0059"/>
    <w:rsid w:val="00DF0349"/>
    <w:rsid w:val="00DF108F"/>
    <w:rsid w:val="00DF13B3"/>
    <w:rsid w:val="00DF20C7"/>
    <w:rsid w:val="00DF2E44"/>
    <w:rsid w:val="00DF4A3F"/>
    <w:rsid w:val="00DF5A14"/>
    <w:rsid w:val="00DF74DA"/>
    <w:rsid w:val="00E00FA5"/>
    <w:rsid w:val="00E00FCF"/>
    <w:rsid w:val="00E01399"/>
    <w:rsid w:val="00E01E16"/>
    <w:rsid w:val="00E0215C"/>
    <w:rsid w:val="00E030B0"/>
    <w:rsid w:val="00E033E5"/>
    <w:rsid w:val="00E035CC"/>
    <w:rsid w:val="00E05B0B"/>
    <w:rsid w:val="00E06017"/>
    <w:rsid w:val="00E06526"/>
    <w:rsid w:val="00E06809"/>
    <w:rsid w:val="00E06CB0"/>
    <w:rsid w:val="00E0742E"/>
    <w:rsid w:val="00E07B5D"/>
    <w:rsid w:val="00E11BFA"/>
    <w:rsid w:val="00E11C13"/>
    <w:rsid w:val="00E12D37"/>
    <w:rsid w:val="00E12E04"/>
    <w:rsid w:val="00E135B5"/>
    <w:rsid w:val="00E13BC2"/>
    <w:rsid w:val="00E13E00"/>
    <w:rsid w:val="00E145F3"/>
    <w:rsid w:val="00E1467D"/>
    <w:rsid w:val="00E14EDE"/>
    <w:rsid w:val="00E15250"/>
    <w:rsid w:val="00E15F8C"/>
    <w:rsid w:val="00E164A8"/>
    <w:rsid w:val="00E16507"/>
    <w:rsid w:val="00E17708"/>
    <w:rsid w:val="00E17847"/>
    <w:rsid w:val="00E2017C"/>
    <w:rsid w:val="00E2141E"/>
    <w:rsid w:val="00E234F0"/>
    <w:rsid w:val="00E243B7"/>
    <w:rsid w:val="00E248B0"/>
    <w:rsid w:val="00E25DD9"/>
    <w:rsid w:val="00E26A7C"/>
    <w:rsid w:val="00E30081"/>
    <w:rsid w:val="00E30390"/>
    <w:rsid w:val="00E30C98"/>
    <w:rsid w:val="00E33209"/>
    <w:rsid w:val="00E34BF7"/>
    <w:rsid w:val="00E35557"/>
    <w:rsid w:val="00E35ABD"/>
    <w:rsid w:val="00E374B6"/>
    <w:rsid w:val="00E37A9B"/>
    <w:rsid w:val="00E405E3"/>
    <w:rsid w:val="00E40C55"/>
    <w:rsid w:val="00E424B9"/>
    <w:rsid w:val="00E4293B"/>
    <w:rsid w:val="00E434DF"/>
    <w:rsid w:val="00E4395A"/>
    <w:rsid w:val="00E441E4"/>
    <w:rsid w:val="00E456D4"/>
    <w:rsid w:val="00E45804"/>
    <w:rsid w:val="00E51247"/>
    <w:rsid w:val="00E5199D"/>
    <w:rsid w:val="00E524E8"/>
    <w:rsid w:val="00E52A07"/>
    <w:rsid w:val="00E54F3B"/>
    <w:rsid w:val="00E550C8"/>
    <w:rsid w:val="00E56078"/>
    <w:rsid w:val="00E56C58"/>
    <w:rsid w:val="00E60FF8"/>
    <w:rsid w:val="00E61E0B"/>
    <w:rsid w:val="00E6278F"/>
    <w:rsid w:val="00E63163"/>
    <w:rsid w:val="00E65877"/>
    <w:rsid w:val="00E661CC"/>
    <w:rsid w:val="00E664C4"/>
    <w:rsid w:val="00E675D8"/>
    <w:rsid w:val="00E7155B"/>
    <w:rsid w:val="00E7236A"/>
    <w:rsid w:val="00E7292B"/>
    <w:rsid w:val="00E807A3"/>
    <w:rsid w:val="00E80FA9"/>
    <w:rsid w:val="00E81AD3"/>
    <w:rsid w:val="00E82ABB"/>
    <w:rsid w:val="00E84FE6"/>
    <w:rsid w:val="00E851B4"/>
    <w:rsid w:val="00E85A58"/>
    <w:rsid w:val="00E85FC2"/>
    <w:rsid w:val="00E86364"/>
    <w:rsid w:val="00E868AF"/>
    <w:rsid w:val="00E86A94"/>
    <w:rsid w:val="00E87910"/>
    <w:rsid w:val="00E90C12"/>
    <w:rsid w:val="00E92BCC"/>
    <w:rsid w:val="00E92F29"/>
    <w:rsid w:val="00E9338D"/>
    <w:rsid w:val="00E94E87"/>
    <w:rsid w:val="00E97249"/>
    <w:rsid w:val="00EA3E51"/>
    <w:rsid w:val="00EA40D4"/>
    <w:rsid w:val="00EA54EA"/>
    <w:rsid w:val="00EA6261"/>
    <w:rsid w:val="00EA7F62"/>
    <w:rsid w:val="00EB178F"/>
    <w:rsid w:val="00EB20FC"/>
    <w:rsid w:val="00EB2214"/>
    <w:rsid w:val="00EB3DD3"/>
    <w:rsid w:val="00EB5D1C"/>
    <w:rsid w:val="00EB5F0C"/>
    <w:rsid w:val="00EB7347"/>
    <w:rsid w:val="00EB7659"/>
    <w:rsid w:val="00EC053B"/>
    <w:rsid w:val="00EC228C"/>
    <w:rsid w:val="00EC294E"/>
    <w:rsid w:val="00EC45C8"/>
    <w:rsid w:val="00EC5C4C"/>
    <w:rsid w:val="00EC5C62"/>
    <w:rsid w:val="00EC62BE"/>
    <w:rsid w:val="00ED0093"/>
    <w:rsid w:val="00ED0F53"/>
    <w:rsid w:val="00ED2B03"/>
    <w:rsid w:val="00ED2E0C"/>
    <w:rsid w:val="00ED31AE"/>
    <w:rsid w:val="00ED3E0B"/>
    <w:rsid w:val="00ED43B4"/>
    <w:rsid w:val="00ED4BBB"/>
    <w:rsid w:val="00ED5E5F"/>
    <w:rsid w:val="00ED771F"/>
    <w:rsid w:val="00EE0F3D"/>
    <w:rsid w:val="00EE2A97"/>
    <w:rsid w:val="00EE2D83"/>
    <w:rsid w:val="00EE38D0"/>
    <w:rsid w:val="00EE47C7"/>
    <w:rsid w:val="00EE5D90"/>
    <w:rsid w:val="00EE5F11"/>
    <w:rsid w:val="00EE6264"/>
    <w:rsid w:val="00EE771D"/>
    <w:rsid w:val="00EE7F65"/>
    <w:rsid w:val="00EF06C2"/>
    <w:rsid w:val="00EF4F4C"/>
    <w:rsid w:val="00EF710E"/>
    <w:rsid w:val="00F01007"/>
    <w:rsid w:val="00F018B9"/>
    <w:rsid w:val="00F01CC5"/>
    <w:rsid w:val="00F07082"/>
    <w:rsid w:val="00F07CBA"/>
    <w:rsid w:val="00F07CEB"/>
    <w:rsid w:val="00F1022F"/>
    <w:rsid w:val="00F10A1E"/>
    <w:rsid w:val="00F10AD9"/>
    <w:rsid w:val="00F11DAD"/>
    <w:rsid w:val="00F129D3"/>
    <w:rsid w:val="00F1556B"/>
    <w:rsid w:val="00F15DF8"/>
    <w:rsid w:val="00F17130"/>
    <w:rsid w:val="00F1724B"/>
    <w:rsid w:val="00F230AD"/>
    <w:rsid w:val="00F27E74"/>
    <w:rsid w:val="00F30740"/>
    <w:rsid w:val="00F31A52"/>
    <w:rsid w:val="00F3275C"/>
    <w:rsid w:val="00F357A9"/>
    <w:rsid w:val="00F35AB4"/>
    <w:rsid w:val="00F35FCD"/>
    <w:rsid w:val="00F36DA2"/>
    <w:rsid w:val="00F36DA9"/>
    <w:rsid w:val="00F3714B"/>
    <w:rsid w:val="00F371B2"/>
    <w:rsid w:val="00F4009D"/>
    <w:rsid w:val="00F4249A"/>
    <w:rsid w:val="00F44025"/>
    <w:rsid w:val="00F47CA0"/>
    <w:rsid w:val="00F557CD"/>
    <w:rsid w:val="00F561BA"/>
    <w:rsid w:val="00F575F3"/>
    <w:rsid w:val="00F63A12"/>
    <w:rsid w:val="00F63FE6"/>
    <w:rsid w:val="00F65070"/>
    <w:rsid w:val="00F66576"/>
    <w:rsid w:val="00F708D5"/>
    <w:rsid w:val="00F72E1A"/>
    <w:rsid w:val="00F732C8"/>
    <w:rsid w:val="00F73C7F"/>
    <w:rsid w:val="00F75287"/>
    <w:rsid w:val="00F76BA9"/>
    <w:rsid w:val="00F77D0E"/>
    <w:rsid w:val="00F80E27"/>
    <w:rsid w:val="00F80F56"/>
    <w:rsid w:val="00F815C3"/>
    <w:rsid w:val="00F82822"/>
    <w:rsid w:val="00F82E6D"/>
    <w:rsid w:val="00F83049"/>
    <w:rsid w:val="00F8370A"/>
    <w:rsid w:val="00F844F6"/>
    <w:rsid w:val="00F85ED7"/>
    <w:rsid w:val="00F8611B"/>
    <w:rsid w:val="00F8718D"/>
    <w:rsid w:val="00F87601"/>
    <w:rsid w:val="00F913CB"/>
    <w:rsid w:val="00F91A15"/>
    <w:rsid w:val="00F92F50"/>
    <w:rsid w:val="00F93738"/>
    <w:rsid w:val="00F94382"/>
    <w:rsid w:val="00F94B78"/>
    <w:rsid w:val="00FA0503"/>
    <w:rsid w:val="00FA05A6"/>
    <w:rsid w:val="00FA100C"/>
    <w:rsid w:val="00FA17E3"/>
    <w:rsid w:val="00FA1F1A"/>
    <w:rsid w:val="00FA1FA3"/>
    <w:rsid w:val="00FA2545"/>
    <w:rsid w:val="00FA268A"/>
    <w:rsid w:val="00FA4341"/>
    <w:rsid w:val="00FA5636"/>
    <w:rsid w:val="00FA5DDF"/>
    <w:rsid w:val="00FA6360"/>
    <w:rsid w:val="00FA723D"/>
    <w:rsid w:val="00FB14E7"/>
    <w:rsid w:val="00FB1819"/>
    <w:rsid w:val="00FB2E91"/>
    <w:rsid w:val="00FB55B2"/>
    <w:rsid w:val="00FB5CAA"/>
    <w:rsid w:val="00FB6078"/>
    <w:rsid w:val="00FB6DC3"/>
    <w:rsid w:val="00FC13D2"/>
    <w:rsid w:val="00FC17B3"/>
    <w:rsid w:val="00FC385B"/>
    <w:rsid w:val="00FC405C"/>
    <w:rsid w:val="00FC4CB4"/>
    <w:rsid w:val="00FC54DE"/>
    <w:rsid w:val="00FC684D"/>
    <w:rsid w:val="00FC69AC"/>
    <w:rsid w:val="00FC6CBC"/>
    <w:rsid w:val="00FC7056"/>
    <w:rsid w:val="00FD3223"/>
    <w:rsid w:val="00FE068D"/>
    <w:rsid w:val="00FE597D"/>
    <w:rsid w:val="00FE5B1B"/>
    <w:rsid w:val="00FE6C38"/>
    <w:rsid w:val="00FE7397"/>
    <w:rsid w:val="00FF0159"/>
    <w:rsid w:val="00FF42E6"/>
    <w:rsid w:val="00FF47E7"/>
    <w:rsid w:val="00FF50D2"/>
    <w:rsid w:val="00FF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7"/>
    <o:shapelayout v:ext="edit">
      <o:idmap v:ext="edit" data="1"/>
    </o:shapelayout>
  </w:shapeDefaults>
  <w:decimalSymbol w:val="."/>
  <w:listSeparator w:val=","/>
  <w14:docId w14:val="6077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lock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52"/>
    <w:rPr>
      <w:sz w:val="21"/>
      <w:szCs w:val="21"/>
    </w:rPr>
  </w:style>
  <w:style w:type="paragraph" w:styleId="Heading1">
    <w:name w:val="heading 1"/>
    <w:basedOn w:val="Normal"/>
    <w:next w:val="Normal"/>
    <w:link w:val="Heading1Char"/>
    <w:qFormat/>
    <w:rsid w:val="007C073D"/>
    <w:pPr>
      <w:keepNext/>
      <w:spacing w:after="240"/>
      <w:jc w:val="center"/>
      <w:outlineLvl w:val="0"/>
    </w:pPr>
    <w:rPr>
      <w:rFonts w:ascii="Times New Roman Bold" w:hAnsi="Times New Roman Bold" w:cs="Times New Roman Bold"/>
      <w:b/>
      <w:bCs/>
      <w:caps/>
    </w:rPr>
  </w:style>
  <w:style w:type="paragraph" w:styleId="Heading2">
    <w:name w:val="heading 2"/>
    <w:basedOn w:val="Normal"/>
    <w:next w:val="Normal"/>
    <w:link w:val="Heading2Char"/>
    <w:uiPriority w:val="99"/>
    <w:qFormat/>
    <w:rsid w:val="007C073D"/>
    <w:pPr>
      <w:keepNext/>
      <w:keepLines/>
      <w:spacing w:after="240"/>
      <w:outlineLvl w:val="1"/>
    </w:pPr>
    <w:rPr>
      <w:rFonts w:ascii="Times New Roman Bold" w:hAnsi="Times New Roman Bold" w:cs="Times New Roman Bold"/>
      <w:b/>
      <w:bCs/>
    </w:rPr>
  </w:style>
  <w:style w:type="paragraph" w:styleId="Heading3">
    <w:name w:val="heading 3"/>
    <w:basedOn w:val="Normal"/>
    <w:next w:val="Normal"/>
    <w:link w:val="Heading3Char"/>
    <w:uiPriority w:val="99"/>
    <w:qFormat/>
    <w:rsid w:val="007C073D"/>
    <w:pPr>
      <w:keepNext/>
      <w:keepLines/>
      <w:spacing w:after="240"/>
      <w:ind w:firstLine="720"/>
      <w:outlineLvl w:val="2"/>
    </w:pPr>
    <w:rPr>
      <w:rFonts w:ascii="Times New Roman Bold" w:hAnsi="Times New Roman Bold" w:cs="Times New Roman Bold"/>
      <w:b/>
      <w:bCs/>
      <w:i/>
      <w:iCs/>
    </w:rPr>
  </w:style>
  <w:style w:type="paragraph" w:styleId="Heading4">
    <w:name w:val="heading 4"/>
    <w:basedOn w:val="Normal"/>
    <w:next w:val="Normal"/>
    <w:link w:val="Heading4Char"/>
    <w:unhideWhenUsed/>
    <w:qFormat/>
    <w:locked/>
    <w:rsid w:val="00C84CA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locked/>
    <w:rsid w:val="00007198"/>
    <w:pPr>
      <w:spacing w:before="240" w:after="60"/>
      <w:outlineLvl w:val="5"/>
    </w:pPr>
    <w:rPr>
      <w:rFonts w:ascii="Cambria" w:eastAsia="MS Mincho"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C073D"/>
    <w:rPr>
      <w:rFonts w:ascii="Times New Roman Bold" w:hAnsi="Times New Roman Bold" w:cs="Times New Roman Bold"/>
      <w:b/>
      <w:bCs/>
      <w:caps/>
      <w:sz w:val="32"/>
      <w:szCs w:val="32"/>
    </w:rPr>
  </w:style>
  <w:style w:type="character" w:customStyle="1" w:styleId="Heading2Char">
    <w:name w:val="Heading 2 Char"/>
    <w:link w:val="Heading2"/>
    <w:uiPriority w:val="99"/>
    <w:locked/>
    <w:rsid w:val="007C073D"/>
    <w:rPr>
      <w:rFonts w:ascii="Times New Roman Bold" w:hAnsi="Times New Roman Bold" w:cs="Times New Roman Bold"/>
      <w:b/>
      <w:bCs/>
      <w:sz w:val="28"/>
      <w:szCs w:val="28"/>
    </w:rPr>
  </w:style>
  <w:style w:type="character" w:customStyle="1" w:styleId="Heading3Char">
    <w:name w:val="Heading 3 Char"/>
    <w:link w:val="Heading3"/>
    <w:uiPriority w:val="99"/>
    <w:semiHidden/>
    <w:locked/>
    <w:rsid w:val="00895C0B"/>
    <w:rPr>
      <w:rFonts w:ascii="Cambria" w:hAnsi="Cambria" w:cs="Cambria"/>
      <w:b/>
      <w:bCs/>
      <w:sz w:val="26"/>
      <w:szCs w:val="26"/>
    </w:rPr>
  </w:style>
  <w:style w:type="paragraph" w:styleId="BodyText">
    <w:name w:val="Body Text"/>
    <w:aliases w:val="bt,Ctrl+1,o,App A,b Char,Body Text Char1,Body Text Char Char,Body Text Char1 Char Char,Body Text Char Char Char Char,Body Text Char1 Char Char Char Char,Body Text Char Char Char Char Char Char,b,Body Text Char2 Char Char Char,bt Char1 Char Cha"/>
    <w:basedOn w:val="Normal"/>
    <w:link w:val="BodyTextChar"/>
    <w:qFormat/>
    <w:rsid w:val="007C073D"/>
    <w:pPr>
      <w:spacing w:after="240"/>
      <w:ind w:firstLine="720"/>
      <w:jc w:val="both"/>
    </w:pPr>
  </w:style>
  <w:style w:type="character" w:customStyle="1" w:styleId="BodyTextChar">
    <w:name w:val="Body Text Char"/>
    <w:aliases w:val="bt Char,Ctrl+1 Char,o Char,App A Char,b Char Char,Body Text Char1 Char,Body Text Char Char Char,Body Text Char1 Char Char Char,Body Text Char Char Char Char Char,Body Text Char1 Char Char Char Char Char,b Char1,bt Char1 Char Cha Char"/>
    <w:link w:val="BodyText"/>
    <w:locked/>
    <w:rsid w:val="007C073D"/>
    <w:rPr>
      <w:sz w:val="24"/>
      <w:szCs w:val="24"/>
      <w:lang w:val="en-US" w:eastAsia="en-US"/>
    </w:rPr>
  </w:style>
  <w:style w:type="paragraph" w:styleId="Header">
    <w:name w:val="header"/>
    <w:basedOn w:val="Normal"/>
    <w:link w:val="HeaderChar"/>
    <w:uiPriority w:val="99"/>
    <w:rsid w:val="007C073D"/>
    <w:pPr>
      <w:tabs>
        <w:tab w:val="center" w:pos="4320"/>
        <w:tab w:val="right" w:pos="8640"/>
      </w:tabs>
    </w:pPr>
  </w:style>
  <w:style w:type="character" w:customStyle="1" w:styleId="HeaderChar">
    <w:name w:val="Header Char"/>
    <w:link w:val="Header"/>
    <w:uiPriority w:val="99"/>
    <w:semiHidden/>
    <w:locked/>
    <w:rsid w:val="00895C0B"/>
    <w:rPr>
      <w:sz w:val="21"/>
      <w:szCs w:val="21"/>
    </w:rPr>
  </w:style>
  <w:style w:type="paragraph" w:styleId="Footer">
    <w:name w:val="footer"/>
    <w:basedOn w:val="Normal"/>
    <w:link w:val="FooterChar"/>
    <w:uiPriority w:val="99"/>
    <w:rsid w:val="007C073D"/>
    <w:pPr>
      <w:tabs>
        <w:tab w:val="center" w:pos="4320"/>
        <w:tab w:val="right" w:pos="8640"/>
      </w:tabs>
    </w:pPr>
  </w:style>
  <w:style w:type="character" w:customStyle="1" w:styleId="FooterChar">
    <w:name w:val="Footer Char"/>
    <w:link w:val="Footer"/>
    <w:uiPriority w:val="99"/>
    <w:locked/>
    <w:rsid w:val="007C073D"/>
    <w:rPr>
      <w:sz w:val="24"/>
      <w:szCs w:val="24"/>
    </w:rPr>
  </w:style>
  <w:style w:type="table" w:styleId="TableGrid">
    <w:name w:val="Table Grid"/>
    <w:basedOn w:val="TableNormal"/>
    <w:uiPriority w:val="39"/>
    <w:rsid w:val="007C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C073D"/>
    <w:rPr>
      <w:i/>
      <w:iCs/>
      <w:sz w:val="16"/>
      <w:szCs w:val="16"/>
    </w:rPr>
  </w:style>
  <w:style w:type="character" w:customStyle="1" w:styleId="FootnoteTextChar">
    <w:name w:val="Footnote Text Char"/>
    <w:link w:val="FootnoteText"/>
    <w:uiPriority w:val="99"/>
    <w:semiHidden/>
    <w:locked/>
    <w:rsid w:val="00895C0B"/>
    <w:rPr>
      <w:sz w:val="20"/>
      <w:szCs w:val="20"/>
    </w:rPr>
  </w:style>
  <w:style w:type="character" w:styleId="FootnoteReference">
    <w:name w:val="footnote reference"/>
    <w:uiPriority w:val="99"/>
    <w:semiHidden/>
    <w:rsid w:val="007C073D"/>
    <w:rPr>
      <w:vertAlign w:val="superscript"/>
    </w:rPr>
  </w:style>
  <w:style w:type="paragraph" w:styleId="TOC1">
    <w:name w:val="toc 1"/>
    <w:basedOn w:val="Normal"/>
    <w:next w:val="Normal"/>
    <w:autoRedefine/>
    <w:uiPriority w:val="39"/>
    <w:rsid w:val="007C073D"/>
    <w:pPr>
      <w:tabs>
        <w:tab w:val="right" w:leader="dot" w:pos="9350"/>
      </w:tabs>
    </w:pPr>
    <w:rPr>
      <w:caps/>
    </w:rPr>
  </w:style>
  <w:style w:type="paragraph" w:styleId="TOC2">
    <w:name w:val="toc 2"/>
    <w:basedOn w:val="Normal"/>
    <w:next w:val="Normal"/>
    <w:autoRedefine/>
    <w:uiPriority w:val="39"/>
    <w:rsid w:val="007C073D"/>
    <w:pPr>
      <w:ind w:left="210"/>
    </w:pPr>
  </w:style>
  <w:style w:type="character" w:styleId="PageNumber">
    <w:name w:val="page number"/>
    <w:basedOn w:val="DefaultParagraphFont"/>
    <w:uiPriority w:val="99"/>
    <w:rsid w:val="007C073D"/>
  </w:style>
  <w:style w:type="character" w:styleId="Emphasis">
    <w:name w:val="Emphasis"/>
    <w:uiPriority w:val="99"/>
    <w:qFormat/>
    <w:rsid w:val="007C073D"/>
    <w:rPr>
      <w:i/>
      <w:iCs/>
    </w:rPr>
  </w:style>
  <w:style w:type="character" w:customStyle="1" w:styleId="DeltaViewInsertion">
    <w:name w:val="DeltaView Insertion"/>
    <w:uiPriority w:val="99"/>
    <w:rsid w:val="007C073D"/>
    <w:rPr>
      <w:b/>
      <w:bCs/>
      <w:u w:val="double"/>
    </w:rPr>
  </w:style>
  <w:style w:type="paragraph" w:customStyle="1" w:styleId="MacPacTrailer">
    <w:name w:val="MacPac Trailer"/>
    <w:uiPriority w:val="99"/>
    <w:rsid w:val="007C073D"/>
    <w:pPr>
      <w:widowControl w:val="0"/>
      <w:spacing w:line="200" w:lineRule="exact"/>
    </w:pPr>
    <w:rPr>
      <w:sz w:val="16"/>
      <w:szCs w:val="16"/>
    </w:rPr>
  </w:style>
  <w:style w:type="paragraph" w:customStyle="1" w:styleId="Style1">
    <w:name w:val="Style1"/>
    <w:basedOn w:val="Normal"/>
    <w:uiPriority w:val="99"/>
    <w:rsid w:val="007C073D"/>
    <w:pPr>
      <w:keepNext/>
      <w:pBdr>
        <w:bottom w:val="single" w:sz="4" w:space="1" w:color="auto"/>
      </w:pBdr>
      <w:spacing w:after="120"/>
      <w:jc w:val="center"/>
    </w:pPr>
    <w:rPr>
      <w:b/>
      <w:bCs/>
      <w:i/>
      <w:iCs/>
      <w:sz w:val="20"/>
      <w:szCs w:val="20"/>
    </w:rPr>
  </w:style>
  <w:style w:type="paragraph" w:customStyle="1" w:styleId="Style2">
    <w:name w:val="Style2"/>
    <w:basedOn w:val="Normal"/>
    <w:uiPriority w:val="99"/>
    <w:rsid w:val="007C073D"/>
    <w:pPr>
      <w:keepNext/>
      <w:pBdr>
        <w:bottom w:val="single" w:sz="4" w:space="1" w:color="auto"/>
      </w:pBdr>
      <w:jc w:val="center"/>
    </w:pPr>
    <w:rPr>
      <w:b/>
      <w:bCs/>
      <w:i/>
      <w:iCs/>
    </w:rPr>
  </w:style>
  <w:style w:type="paragraph" w:customStyle="1" w:styleId="Style3">
    <w:name w:val="Style3"/>
    <w:basedOn w:val="Normal"/>
    <w:uiPriority w:val="99"/>
    <w:rsid w:val="007C073D"/>
    <w:pPr>
      <w:keepNext/>
      <w:pBdr>
        <w:bottom w:val="single" w:sz="4" w:space="1" w:color="auto"/>
      </w:pBdr>
      <w:jc w:val="center"/>
    </w:pPr>
    <w:rPr>
      <w:b/>
      <w:bCs/>
      <w:i/>
      <w:iCs/>
      <w:sz w:val="16"/>
      <w:szCs w:val="16"/>
    </w:rPr>
  </w:style>
  <w:style w:type="paragraph" w:customStyle="1" w:styleId="Style4">
    <w:name w:val="Style4"/>
    <w:basedOn w:val="Normal"/>
    <w:uiPriority w:val="99"/>
    <w:rsid w:val="007C073D"/>
    <w:pPr>
      <w:keepNext/>
      <w:pBdr>
        <w:bottom w:val="single" w:sz="4" w:space="1" w:color="auto"/>
      </w:pBdr>
      <w:tabs>
        <w:tab w:val="decimal" w:pos="853"/>
      </w:tabs>
    </w:pPr>
    <w:rPr>
      <w:sz w:val="16"/>
      <w:szCs w:val="16"/>
    </w:rPr>
  </w:style>
  <w:style w:type="paragraph" w:customStyle="1" w:styleId="Style5">
    <w:name w:val="Style5"/>
    <w:basedOn w:val="Normal"/>
    <w:uiPriority w:val="99"/>
    <w:rsid w:val="007C073D"/>
    <w:pPr>
      <w:keepNext/>
      <w:pBdr>
        <w:bottom w:val="single" w:sz="4" w:space="1" w:color="auto"/>
      </w:pBdr>
      <w:tabs>
        <w:tab w:val="decimal" w:pos="853"/>
      </w:tabs>
    </w:pPr>
    <w:rPr>
      <w:sz w:val="16"/>
      <w:szCs w:val="16"/>
    </w:rPr>
  </w:style>
  <w:style w:type="paragraph" w:customStyle="1" w:styleId="Style6">
    <w:name w:val="Style6"/>
    <w:basedOn w:val="Normal"/>
    <w:uiPriority w:val="99"/>
    <w:rsid w:val="007C073D"/>
    <w:pPr>
      <w:keepNext/>
      <w:pBdr>
        <w:bottom w:val="single" w:sz="4" w:space="1" w:color="auto"/>
      </w:pBdr>
      <w:tabs>
        <w:tab w:val="decimal" w:pos="853"/>
      </w:tabs>
    </w:pPr>
    <w:rPr>
      <w:sz w:val="16"/>
      <w:szCs w:val="16"/>
    </w:rPr>
  </w:style>
  <w:style w:type="paragraph" w:customStyle="1" w:styleId="Style7">
    <w:name w:val="Style7"/>
    <w:basedOn w:val="Normal"/>
    <w:uiPriority w:val="99"/>
    <w:rsid w:val="007C073D"/>
    <w:pPr>
      <w:keepNext/>
      <w:pBdr>
        <w:bottom w:val="single" w:sz="4" w:space="1" w:color="auto"/>
      </w:pBdr>
      <w:tabs>
        <w:tab w:val="decimal" w:pos="853"/>
      </w:tabs>
    </w:pPr>
    <w:rPr>
      <w:sz w:val="16"/>
      <w:szCs w:val="16"/>
    </w:rPr>
  </w:style>
  <w:style w:type="paragraph" w:customStyle="1" w:styleId="Style8">
    <w:name w:val="Style8"/>
    <w:basedOn w:val="Normal"/>
    <w:uiPriority w:val="99"/>
    <w:rsid w:val="007C073D"/>
    <w:pPr>
      <w:keepNext/>
      <w:pBdr>
        <w:bottom w:val="single" w:sz="4" w:space="1" w:color="auto"/>
      </w:pBdr>
      <w:tabs>
        <w:tab w:val="decimal" w:pos="853"/>
      </w:tabs>
    </w:pPr>
    <w:rPr>
      <w:sz w:val="16"/>
      <w:szCs w:val="16"/>
    </w:rPr>
  </w:style>
  <w:style w:type="paragraph" w:customStyle="1" w:styleId="Style9">
    <w:name w:val="Style9"/>
    <w:basedOn w:val="Normal"/>
    <w:uiPriority w:val="99"/>
    <w:rsid w:val="007C073D"/>
    <w:pPr>
      <w:keepNext/>
      <w:pBdr>
        <w:bottom w:val="single" w:sz="4" w:space="1" w:color="auto"/>
      </w:pBdr>
      <w:jc w:val="center"/>
    </w:pPr>
    <w:rPr>
      <w:b/>
      <w:bCs/>
      <w:i/>
      <w:iCs/>
      <w:sz w:val="16"/>
      <w:szCs w:val="16"/>
    </w:rPr>
  </w:style>
  <w:style w:type="paragraph" w:customStyle="1" w:styleId="Style10">
    <w:name w:val="Style10"/>
    <w:basedOn w:val="Normal"/>
    <w:uiPriority w:val="99"/>
    <w:rsid w:val="007C073D"/>
    <w:pPr>
      <w:keepNext/>
      <w:pBdr>
        <w:bottom w:val="single" w:sz="4" w:space="1" w:color="auto"/>
      </w:pBdr>
      <w:tabs>
        <w:tab w:val="decimal" w:pos="853"/>
      </w:tabs>
    </w:pPr>
    <w:rPr>
      <w:sz w:val="16"/>
      <w:szCs w:val="16"/>
    </w:rPr>
  </w:style>
  <w:style w:type="paragraph" w:customStyle="1" w:styleId="Style11">
    <w:name w:val="Style11"/>
    <w:basedOn w:val="Normal"/>
    <w:uiPriority w:val="99"/>
    <w:rsid w:val="007C073D"/>
    <w:pPr>
      <w:keepNext/>
      <w:pBdr>
        <w:bottom w:val="single" w:sz="4" w:space="1" w:color="auto"/>
      </w:pBdr>
      <w:tabs>
        <w:tab w:val="decimal" w:pos="853"/>
      </w:tabs>
    </w:pPr>
    <w:rPr>
      <w:sz w:val="16"/>
      <w:szCs w:val="16"/>
    </w:rPr>
  </w:style>
  <w:style w:type="paragraph" w:customStyle="1" w:styleId="Style12">
    <w:name w:val="Style12"/>
    <w:basedOn w:val="Normal"/>
    <w:uiPriority w:val="99"/>
    <w:rsid w:val="007C073D"/>
    <w:pPr>
      <w:keepNext/>
      <w:pBdr>
        <w:bottom w:val="single" w:sz="4" w:space="1" w:color="auto"/>
      </w:pBdr>
      <w:tabs>
        <w:tab w:val="decimal" w:pos="944"/>
      </w:tabs>
    </w:pPr>
    <w:rPr>
      <w:sz w:val="20"/>
      <w:szCs w:val="20"/>
    </w:rPr>
  </w:style>
  <w:style w:type="paragraph" w:customStyle="1" w:styleId="Style13">
    <w:name w:val="Style13"/>
    <w:basedOn w:val="Normal"/>
    <w:uiPriority w:val="99"/>
    <w:rsid w:val="007C073D"/>
    <w:pPr>
      <w:keepNext/>
      <w:pBdr>
        <w:bottom w:val="single" w:sz="4" w:space="1" w:color="auto"/>
      </w:pBdr>
      <w:tabs>
        <w:tab w:val="decimal" w:pos="944"/>
      </w:tabs>
    </w:pPr>
    <w:rPr>
      <w:sz w:val="20"/>
      <w:szCs w:val="20"/>
    </w:rPr>
  </w:style>
  <w:style w:type="paragraph" w:customStyle="1" w:styleId="Style14">
    <w:name w:val="Style14"/>
    <w:basedOn w:val="Normal"/>
    <w:uiPriority w:val="99"/>
    <w:rsid w:val="007C073D"/>
    <w:pPr>
      <w:keepNext/>
      <w:pBdr>
        <w:bottom w:val="single" w:sz="4" w:space="1" w:color="auto"/>
      </w:pBdr>
      <w:tabs>
        <w:tab w:val="decimal" w:pos="944"/>
      </w:tabs>
    </w:pPr>
    <w:rPr>
      <w:sz w:val="20"/>
      <w:szCs w:val="20"/>
    </w:rPr>
  </w:style>
  <w:style w:type="paragraph" w:customStyle="1" w:styleId="Style15">
    <w:name w:val="Style15"/>
    <w:basedOn w:val="Normal"/>
    <w:uiPriority w:val="99"/>
    <w:rsid w:val="007C073D"/>
    <w:pPr>
      <w:keepNext/>
      <w:keepLines/>
      <w:pBdr>
        <w:bottom w:val="single" w:sz="4" w:space="1" w:color="auto"/>
      </w:pBdr>
      <w:jc w:val="center"/>
    </w:pPr>
    <w:rPr>
      <w:sz w:val="20"/>
      <w:szCs w:val="20"/>
    </w:rPr>
  </w:style>
  <w:style w:type="paragraph" w:styleId="ListParagraph">
    <w:name w:val="List Paragraph"/>
    <w:basedOn w:val="Normal"/>
    <w:uiPriority w:val="34"/>
    <w:qFormat/>
    <w:rsid w:val="007C073D"/>
    <w:pPr>
      <w:spacing w:after="200" w:line="276" w:lineRule="auto"/>
      <w:ind w:left="720"/>
    </w:pPr>
    <w:rPr>
      <w:rFonts w:ascii="Calibri" w:hAnsi="Calibri" w:cs="Calibri"/>
      <w:sz w:val="22"/>
      <w:szCs w:val="22"/>
    </w:rPr>
  </w:style>
  <w:style w:type="paragraph" w:customStyle="1" w:styleId="Style16">
    <w:name w:val="Style16"/>
    <w:basedOn w:val="Normal"/>
    <w:uiPriority w:val="99"/>
    <w:rsid w:val="007C073D"/>
    <w:pPr>
      <w:keepNext/>
      <w:pBdr>
        <w:bottom w:val="single" w:sz="4" w:space="1" w:color="auto"/>
      </w:pBdr>
      <w:jc w:val="center"/>
    </w:pPr>
    <w:rPr>
      <w:sz w:val="20"/>
      <w:szCs w:val="20"/>
    </w:rPr>
  </w:style>
  <w:style w:type="paragraph" w:customStyle="1" w:styleId="Style17">
    <w:name w:val="Style17"/>
    <w:basedOn w:val="Normal"/>
    <w:uiPriority w:val="99"/>
    <w:rsid w:val="007C073D"/>
    <w:pPr>
      <w:keepNext/>
      <w:keepLines/>
      <w:pBdr>
        <w:bottom w:val="single" w:sz="4" w:space="1" w:color="auto"/>
      </w:pBdr>
      <w:jc w:val="center"/>
    </w:pPr>
    <w:rPr>
      <w:b/>
      <w:bCs/>
      <w:sz w:val="20"/>
      <w:szCs w:val="20"/>
    </w:rPr>
  </w:style>
  <w:style w:type="paragraph" w:customStyle="1" w:styleId="Style18">
    <w:name w:val="Style18"/>
    <w:basedOn w:val="ListParagraph"/>
    <w:uiPriority w:val="99"/>
    <w:rsid w:val="007C073D"/>
    <w:pPr>
      <w:pBdr>
        <w:bottom w:val="single" w:sz="4" w:space="1" w:color="auto"/>
      </w:pBdr>
      <w:spacing w:after="0" w:line="240" w:lineRule="auto"/>
      <w:ind w:left="0"/>
    </w:pPr>
    <w:rPr>
      <w:rFonts w:ascii="Times New Roman" w:hAnsi="Times New Roman" w:cs="Times New Roman"/>
      <w:b/>
      <w:bCs/>
      <w:sz w:val="20"/>
      <w:szCs w:val="20"/>
    </w:rPr>
  </w:style>
  <w:style w:type="paragraph" w:customStyle="1" w:styleId="Style19">
    <w:name w:val="Style19"/>
    <w:basedOn w:val="ListParagraph"/>
    <w:uiPriority w:val="99"/>
    <w:rsid w:val="007C073D"/>
    <w:pPr>
      <w:pBdr>
        <w:bottom w:val="single" w:sz="4" w:space="1" w:color="auto"/>
      </w:pBdr>
      <w:spacing w:after="0" w:line="240" w:lineRule="auto"/>
      <w:ind w:left="0"/>
      <w:jc w:val="center"/>
    </w:pPr>
    <w:rPr>
      <w:rFonts w:ascii="Times New Roman" w:hAnsi="Times New Roman" w:cs="Times New Roman"/>
      <w:b/>
      <w:bCs/>
      <w:sz w:val="20"/>
      <w:szCs w:val="20"/>
    </w:rPr>
  </w:style>
  <w:style w:type="paragraph" w:customStyle="1" w:styleId="Style20">
    <w:name w:val="Style20"/>
    <w:basedOn w:val="ListParagraph"/>
    <w:uiPriority w:val="99"/>
    <w:rsid w:val="007C073D"/>
    <w:pPr>
      <w:pBdr>
        <w:bottom w:val="single" w:sz="4" w:space="1" w:color="auto"/>
      </w:pBdr>
      <w:spacing w:after="0" w:line="240" w:lineRule="auto"/>
      <w:ind w:left="0"/>
      <w:jc w:val="center"/>
    </w:pPr>
    <w:rPr>
      <w:rFonts w:ascii="Times New Roman" w:hAnsi="Times New Roman" w:cs="Times New Roman"/>
      <w:b/>
      <w:bCs/>
      <w:sz w:val="20"/>
      <w:szCs w:val="20"/>
    </w:rPr>
  </w:style>
  <w:style w:type="paragraph" w:customStyle="1" w:styleId="Style21">
    <w:name w:val="Style21"/>
    <w:basedOn w:val="ListParagraph"/>
    <w:uiPriority w:val="99"/>
    <w:rsid w:val="007C073D"/>
    <w:pPr>
      <w:pBdr>
        <w:bottom w:val="single" w:sz="4" w:space="1" w:color="auto"/>
      </w:pBdr>
      <w:spacing w:after="0" w:line="240" w:lineRule="auto"/>
      <w:ind w:left="0"/>
      <w:jc w:val="center"/>
    </w:pPr>
    <w:rPr>
      <w:b/>
      <w:bCs/>
    </w:rPr>
  </w:style>
  <w:style w:type="paragraph" w:styleId="BlockText">
    <w:name w:val="Block Text"/>
    <w:basedOn w:val="Normal"/>
    <w:next w:val="BodyText"/>
    <w:uiPriority w:val="99"/>
    <w:rsid w:val="007C073D"/>
    <w:pPr>
      <w:spacing w:after="240"/>
      <w:ind w:left="1440" w:right="1440"/>
      <w:jc w:val="both"/>
    </w:pPr>
    <w:rPr>
      <w:sz w:val="24"/>
      <w:szCs w:val="24"/>
    </w:rPr>
  </w:style>
  <w:style w:type="paragraph" w:styleId="NormalWeb">
    <w:name w:val="Normal (Web)"/>
    <w:basedOn w:val="Normal"/>
    <w:uiPriority w:val="99"/>
    <w:rsid w:val="007C073D"/>
    <w:pPr>
      <w:spacing w:before="100" w:beforeAutospacing="1" w:after="100" w:afterAutospacing="1"/>
    </w:pPr>
    <w:rPr>
      <w:sz w:val="24"/>
      <w:szCs w:val="24"/>
    </w:rPr>
  </w:style>
  <w:style w:type="character" w:styleId="Strong">
    <w:name w:val="Strong"/>
    <w:uiPriority w:val="99"/>
    <w:qFormat/>
    <w:rsid w:val="007C073D"/>
    <w:rPr>
      <w:b/>
      <w:bCs/>
    </w:rPr>
  </w:style>
  <w:style w:type="paragraph" w:customStyle="1" w:styleId="Style22">
    <w:name w:val="Style22"/>
    <w:basedOn w:val="Normal"/>
    <w:uiPriority w:val="99"/>
    <w:rsid w:val="007C073D"/>
    <w:pPr>
      <w:pBdr>
        <w:bottom w:val="single" w:sz="4" w:space="1" w:color="auto"/>
      </w:pBdr>
      <w:jc w:val="both"/>
    </w:pPr>
  </w:style>
  <w:style w:type="paragraph" w:customStyle="1" w:styleId="Style23">
    <w:name w:val="Style23"/>
    <w:basedOn w:val="Normal"/>
    <w:uiPriority w:val="99"/>
    <w:rsid w:val="007C073D"/>
    <w:pPr>
      <w:keepNext/>
      <w:pBdr>
        <w:bottom w:val="single" w:sz="4" w:space="1" w:color="auto"/>
      </w:pBdr>
      <w:tabs>
        <w:tab w:val="decimal" w:pos="792"/>
      </w:tabs>
    </w:pPr>
    <w:rPr>
      <w:sz w:val="18"/>
      <w:szCs w:val="18"/>
    </w:rPr>
  </w:style>
  <w:style w:type="paragraph" w:customStyle="1" w:styleId="Style24">
    <w:name w:val="Style24"/>
    <w:basedOn w:val="Normal"/>
    <w:uiPriority w:val="99"/>
    <w:rsid w:val="007C073D"/>
    <w:pPr>
      <w:keepNext/>
      <w:pBdr>
        <w:bottom w:val="single" w:sz="4" w:space="1" w:color="auto"/>
      </w:pBdr>
      <w:tabs>
        <w:tab w:val="decimal" w:pos="792"/>
      </w:tabs>
    </w:pPr>
    <w:rPr>
      <w:sz w:val="18"/>
      <w:szCs w:val="18"/>
    </w:rPr>
  </w:style>
  <w:style w:type="paragraph" w:customStyle="1" w:styleId="Style25">
    <w:name w:val="Style25"/>
    <w:basedOn w:val="Normal"/>
    <w:uiPriority w:val="99"/>
    <w:rsid w:val="007C073D"/>
    <w:pPr>
      <w:keepNext/>
      <w:pBdr>
        <w:bottom w:val="single" w:sz="4" w:space="1" w:color="auto"/>
      </w:pBdr>
      <w:tabs>
        <w:tab w:val="decimal" w:pos="792"/>
      </w:tabs>
    </w:pPr>
    <w:rPr>
      <w:sz w:val="18"/>
      <w:szCs w:val="18"/>
    </w:rPr>
  </w:style>
  <w:style w:type="paragraph" w:customStyle="1" w:styleId="Style26">
    <w:name w:val="Style26"/>
    <w:basedOn w:val="Normal"/>
    <w:uiPriority w:val="99"/>
    <w:rsid w:val="007C073D"/>
    <w:pPr>
      <w:keepNext/>
      <w:pBdr>
        <w:bottom w:val="single" w:sz="4" w:space="1" w:color="auto"/>
      </w:pBdr>
      <w:tabs>
        <w:tab w:val="decimal" w:pos="792"/>
      </w:tabs>
    </w:pPr>
    <w:rPr>
      <w:sz w:val="18"/>
      <w:szCs w:val="18"/>
    </w:rPr>
  </w:style>
  <w:style w:type="paragraph" w:customStyle="1" w:styleId="Style27">
    <w:name w:val="Style27"/>
    <w:basedOn w:val="Normal"/>
    <w:uiPriority w:val="99"/>
    <w:rsid w:val="007C073D"/>
    <w:pPr>
      <w:keepNext/>
      <w:pBdr>
        <w:bottom w:val="double" w:sz="4" w:space="1" w:color="auto"/>
      </w:pBdr>
      <w:tabs>
        <w:tab w:val="decimal" w:pos="792"/>
      </w:tabs>
    </w:pPr>
    <w:rPr>
      <w:sz w:val="18"/>
      <w:szCs w:val="18"/>
    </w:rPr>
  </w:style>
  <w:style w:type="paragraph" w:customStyle="1" w:styleId="Style28">
    <w:name w:val="Style28"/>
    <w:basedOn w:val="Normal"/>
    <w:uiPriority w:val="99"/>
    <w:rsid w:val="007C073D"/>
    <w:pPr>
      <w:keepNext/>
      <w:pBdr>
        <w:bottom w:val="single" w:sz="4" w:space="1" w:color="auto"/>
      </w:pBdr>
      <w:jc w:val="center"/>
    </w:pPr>
    <w:rPr>
      <w:b/>
      <w:bCs/>
      <w:i/>
      <w:iCs/>
      <w:sz w:val="18"/>
      <w:szCs w:val="18"/>
    </w:rPr>
  </w:style>
  <w:style w:type="character" w:styleId="CommentReference">
    <w:name w:val="annotation reference"/>
    <w:uiPriority w:val="99"/>
    <w:semiHidden/>
    <w:rsid w:val="007C073D"/>
    <w:rPr>
      <w:sz w:val="16"/>
      <w:szCs w:val="16"/>
    </w:rPr>
  </w:style>
  <w:style w:type="paragraph" w:styleId="CommentText">
    <w:name w:val="annotation text"/>
    <w:basedOn w:val="Normal"/>
    <w:link w:val="CommentTextChar"/>
    <w:uiPriority w:val="99"/>
    <w:semiHidden/>
    <w:rsid w:val="007C073D"/>
    <w:rPr>
      <w:sz w:val="20"/>
      <w:szCs w:val="20"/>
    </w:rPr>
  </w:style>
  <w:style w:type="character" w:customStyle="1" w:styleId="CommentTextChar">
    <w:name w:val="Comment Text Char"/>
    <w:basedOn w:val="DefaultParagraphFont"/>
    <w:link w:val="CommentText"/>
    <w:uiPriority w:val="99"/>
    <w:locked/>
    <w:rsid w:val="007C073D"/>
  </w:style>
  <w:style w:type="paragraph" w:styleId="BalloonText">
    <w:name w:val="Balloon Text"/>
    <w:basedOn w:val="Normal"/>
    <w:link w:val="BalloonTextChar"/>
    <w:uiPriority w:val="99"/>
    <w:semiHidden/>
    <w:rsid w:val="007C073D"/>
    <w:rPr>
      <w:rFonts w:ascii="Tahoma" w:hAnsi="Tahoma" w:cs="Tahoma"/>
      <w:sz w:val="16"/>
      <w:szCs w:val="16"/>
    </w:rPr>
  </w:style>
  <w:style w:type="character" w:customStyle="1" w:styleId="BalloonTextChar">
    <w:name w:val="Balloon Text Char"/>
    <w:link w:val="BalloonText"/>
    <w:uiPriority w:val="99"/>
    <w:locked/>
    <w:rsid w:val="007C073D"/>
    <w:rPr>
      <w:rFonts w:ascii="Tahoma" w:hAnsi="Tahoma" w:cs="Tahoma"/>
      <w:sz w:val="16"/>
      <w:szCs w:val="16"/>
    </w:rPr>
  </w:style>
  <w:style w:type="paragraph" w:styleId="PlainText">
    <w:name w:val="Plain Text"/>
    <w:basedOn w:val="Normal"/>
    <w:link w:val="PlainTextChar"/>
    <w:uiPriority w:val="99"/>
    <w:rsid w:val="007C073D"/>
    <w:rPr>
      <w:rFonts w:ascii="Consolas" w:hAnsi="Consolas" w:cs="Consolas"/>
    </w:rPr>
  </w:style>
  <w:style w:type="character" w:customStyle="1" w:styleId="PlainTextChar">
    <w:name w:val="Plain Text Char"/>
    <w:link w:val="PlainText"/>
    <w:uiPriority w:val="99"/>
    <w:locked/>
    <w:rsid w:val="007C073D"/>
    <w:rPr>
      <w:rFonts w:ascii="Consolas" w:hAnsi="Consolas" w:cs="Consolas"/>
      <w:sz w:val="21"/>
      <w:szCs w:val="21"/>
    </w:rPr>
  </w:style>
  <w:style w:type="paragraph" w:customStyle="1" w:styleId="Style29">
    <w:name w:val="Style29"/>
    <w:basedOn w:val="BodyText"/>
    <w:uiPriority w:val="99"/>
    <w:rsid w:val="007C073D"/>
    <w:pPr>
      <w:keepNext/>
      <w:keepLines/>
      <w:pBdr>
        <w:bottom w:val="single" w:sz="4" w:space="1" w:color="auto"/>
      </w:pBdr>
      <w:spacing w:after="0"/>
      <w:ind w:firstLine="0"/>
      <w:jc w:val="center"/>
    </w:pPr>
  </w:style>
  <w:style w:type="paragraph" w:customStyle="1" w:styleId="O-BodyText5J">
    <w:name w:val="O-Body Text .5&quot; (J)"/>
    <w:basedOn w:val="Normal"/>
    <w:link w:val="O-BodyText5JChar"/>
    <w:uiPriority w:val="99"/>
    <w:rsid w:val="007C073D"/>
    <w:pPr>
      <w:spacing w:after="240"/>
      <w:ind w:firstLine="720"/>
      <w:jc w:val="both"/>
    </w:pPr>
    <w:rPr>
      <w:sz w:val="20"/>
      <w:szCs w:val="20"/>
    </w:rPr>
  </w:style>
  <w:style w:type="paragraph" w:customStyle="1" w:styleId="BodySglSpJ5">
    <w:name w:val="Body Sgl Sp J .5"/>
    <w:basedOn w:val="Normal"/>
    <w:uiPriority w:val="99"/>
    <w:rsid w:val="007C073D"/>
    <w:pPr>
      <w:spacing w:after="240"/>
      <w:ind w:firstLine="720"/>
      <w:jc w:val="both"/>
    </w:pPr>
    <w:rPr>
      <w:sz w:val="18"/>
      <w:szCs w:val="18"/>
    </w:rPr>
  </w:style>
  <w:style w:type="character" w:customStyle="1" w:styleId="O-BodyText5JChar">
    <w:name w:val="O-Body Text .5&quot; (J) Char"/>
    <w:basedOn w:val="DefaultParagraphFont"/>
    <w:link w:val="O-BodyText5J"/>
    <w:uiPriority w:val="99"/>
    <w:locked/>
    <w:rsid w:val="007C073D"/>
  </w:style>
  <w:style w:type="paragraph" w:customStyle="1" w:styleId="O-BodyText">
    <w:name w:val="O-Body Text ()"/>
    <w:basedOn w:val="Normal"/>
    <w:uiPriority w:val="99"/>
    <w:rsid w:val="007C073D"/>
    <w:pPr>
      <w:spacing w:after="240"/>
    </w:pPr>
  </w:style>
  <w:style w:type="character" w:styleId="Hyperlink">
    <w:name w:val="Hyperlink"/>
    <w:uiPriority w:val="99"/>
    <w:rsid w:val="00456AC3"/>
    <w:rPr>
      <w:color w:val="0000FF"/>
      <w:u w:val="single"/>
      <w:lang w:val="en-US" w:eastAsia="x-none"/>
    </w:rPr>
  </w:style>
  <w:style w:type="paragraph" w:styleId="z-BottomofForm">
    <w:name w:val="HTML Bottom of Form"/>
    <w:basedOn w:val="Normal"/>
    <w:next w:val="Normal"/>
    <w:link w:val="z-BottomofFormChar"/>
    <w:hidden/>
    <w:uiPriority w:val="99"/>
    <w:rsid w:val="00B45D3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locked/>
    <w:rsid w:val="00B45D32"/>
    <w:rPr>
      <w:rFonts w:ascii="Arial" w:hAnsi="Arial" w:cs="Arial"/>
      <w:vanish/>
      <w:sz w:val="16"/>
      <w:szCs w:val="16"/>
    </w:rPr>
  </w:style>
  <w:style w:type="character" w:customStyle="1" w:styleId="Heading6Char">
    <w:name w:val="Heading 6 Char"/>
    <w:link w:val="Heading6"/>
    <w:rsid w:val="00007198"/>
    <w:rPr>
      <w:rFonts w:ascii="Cambria" w:eastAsia="MS Mincho" w:hAnsi="Cambria"/>
      <w:b/>
      <w:bCs/>
      <w:sz w:val="22"/>
      <w:szCs w:val="22"/>
    </w:rPr>
  </w:style>
  <w:style w:type="character" w:customStyle="1" w:styleId="Heading4Char">
    <w:name w:val="Heading 4 Char"/>
    <w:basedOn w:val="DefaultParagraphFont"/>
    <w:link w:val="Heading4"/>
    <w:uiPriority w:val="9"/>
    <w:rsid w:val="00C84CAE"/>
    <w:rPr>
      <w:rFonts w:asciiTheme="majorHAnsi" w:eastAsiaTheme="majorEastAsia" w:hAnsiTheme="majorHAnsi" w:cstheme="majorBidi"/>
      <w:b/>
      <w:bCs/>
      <w:i/>
      <w:iCs/>
      <w:color w:val="4F81BD" w:themeColor="accent1"/>
      <w:sz w:val="21"/>
      <w:szCs w:val="21"/>
    </w:rPr>
  </w:style>
  <w:style w:type="table" w:styleId="LightList-Accent1">
    <w:name w:val="Light List Accent 1"/>
    <w:basedOn w:val="TableNormal"/>
    <w:uiPriority w:val="61"/>
    <w:rsid w:val="000F2D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01399"/>
    <w:rPr>
      <w:color w:val="800080" w:themeColor="followedHyperlink"/>
      <w:u w:val="single"/>
    </w:rPr>
  </w:style>
  <w:style w:type="character" w:customStyle="1" w:styleId="BodyTextChar2">
    <w:name w:val="Body Text Char2"/>
    <w:aliases w:val="bt Char1,Ctrl+1 Char1,o Char1,App A Char1,b Char Char1,Body Text Char1 Char1,Body Text Char Char Char1,Body Text Char1 Char Char Char1,Body Text Char Char Char Char Char1,Body Text Char1 Char Char Char Char Char1,b Char2,bt Char2,o Char2"/>
    <w:basedOn w:val="DefaultParagraphFont"/>
    <w:rsid w:val="00E01399"/>
    <w:rPr>
      <w:sz w:val="21"/>
      <w:szCs w:val="21"/>
    </w:rPr>
  </w:style>
  <w:style w:type="character" w:styleId="UnresolvedMention">
    <w:name w:val="Unresolved Mention"/>
    <w:basedOn w:val="DefaultParagraphFont"/>
    <w:uiPriority w:val="99"/>
    <w:semiHidden/>
    <w:unhideWhenUsed/>
    <w:rsid w:val="0076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835">
      <w:bodyDiv w:val="1"/>
      <w:marLeft w:val="0"/>
      <w:marRight w:val="0"/>
      <w:marTop w:val="0"/>
      <w:marBottom w:val="0"/>
      <w:divBdr>
        <w:top w:val="none" w:sz="0" w:space="0" w:color="auto"/>
        <w:left w:val="none" w:sz="0" w:space="0" w:color="auto"/>
        <w:bottom w:val="none" w:sz="0" w:space="0" w:color="auto"/>
        <w:right w:val="none" w:sz="0" w:space="0" w:color="auto"/>
      </w:divBdr>
    </w:div>
    <w:div w:id="176695678">
      <w:bodyDiv w:val="1"/>
      <w:marLeft w:val="0"/>
      <w:marRight w:val="0"/>
      <w:marTop w:val="0"/>
      <w:marBottom w:val="0"/>
      <w:divBdr>
        <w:top w:val="none" w:sz="0" w:space="0" w:color="auto"/>
        <w:left w:val="none" w:sz="0" w:space="0" w:color="auto"/>
        <w:bottom w:val="none" w:sz="0" w:space="0" w:color="auto"/>
        <w:right w:val="none" w:sz="0" w:space="0" w:color="auto"/>
      </w:divBdr>
    </w:div>
    <w:div w:id="554126440">
      <w:bodyDiv w:val="1"/>
      <w:marLeft w:val="0"/>
      <w:marRight w:val="0"/>
      <w:marTop w:val="0"/>
      <w:marBottom w:val="0"/>
      <w:divBdr>
        <w:top w:val="none" w:sz="0" w:space="0" w:color="auto"/>
        <w:left w:val="none" w:sz="0" w:space="0" w:color="auto"/>
        <w:bottom w:val="none" w:sz="0" w:space="0" w:color="auto"/>
        <w:right w:val="none" w:sz="0" w:space="0" w:color="auto"/>
      </w:divBdr>
    </w:div>
    <w:div w:id="868641269">
      <w:bodyDiv w:val="1"/>
      <w:marLeft w:val="0"/>
      <w:marRight w:val="0"/>
      <w:marTop w:val="0"/>
      <w:marBottom w:val="0"/>
      <w:divBdr>
        <w:top w:val="none" w:sz="0" w:space="0" w:color="auto"/>
        <w:left w:val="none" w:sz="0" w:space="0" w:color="auto"/>
        <w:bottom w:val="none" w:sz="0" w:space="0" w:color="auto"/>
        <w:right w:val="none" w:sz="0" w:space="0" w:color="auto"/>
      </w:divBdr>
    </w:div>
    <w:div w:id="1286232537">
      <w:bodyDiv w:val="1"/>
      <w:marLeft w:val="0"/>
      <w:marRight w:val="0"/>
      <w:marTop w:val="0"/>
      <w:marBottom w:val="0"/>
      <w:divBdr>
        <w:top w:val="none" w:sz="0" w:space="0" w:color="auto"/>
        <w:left w:val="none" w:sz="0" w:space="0" w:color="auto"/>
        <w:bottom w:val="none" w:sz="0" w:space="0" w:color="auto"/>
        <w:right w:val="none" w:sz="0" w:space="0" w:color="auto"/>
      </w:divBdr>
    </w:div>
    <w:div w:id="1416127122">
      <w:bodyDiv w:val="1"/>
      <w:marLeft w:val="0"/>
      <w:marRight w:val="0"/>
      <w:marTop w:val="0"/>
      <w:marBottom w:val="0"/>
      <w:divBdr>
        <w:top w:val="none" w:sz="0" w:space="0" w:color="auto"/>
        <w:left w:val="none" w:sz="0" w:space="0" w:color="auto"/>
        <w:bottom w:val="none" w:sz="0" w:space="0" w:color="auto"/>
        <w:right w:val="none" w:sz="0" w:space="0" w:color="auto"/>
      </w:divBdr>
    </w:div>
    <w:div w:id="1432162532">
      <w:bodyDiv w:val="1"/>
      <w:marLeft w:val="0"/>
      <w:marRight w:val="0"/>
      <w:marTop w:val="0"/>
      <w:marBottom w:val="0"/>
      <w:divBdr>
        <w:top w:val="none" w:sz="0" w:space="0" w:color="auto"/>
        <w:left w:val="none" w:sz="0" w:space="0" w:color="auto"/>
        <w:bottom w:val="none" w:sz="0" w:space="0" w:color="auto"/>
        <w:right w:val="none" w:sz="0" w:space="0" w:color="auto"/>
      </w:divBdr>
    </w:div>
    <w:div w:id="1558976266">
      <w:bodyDiv w:val="1"/>
      <w:marLeft w:val="0"/>
      <w:marRight w:val="0"/>
      <w:marTop w:val="0"/>
      <w:marBottom w:val="0"/>
      <w:divBdr>
        <w:top w:val="none" w:sz="0" w:space="0" w:color="auto"/>
        <w:left w:val="none" w:sz="0" w:space="0" w:color="auto"/>
        <w:bottom w:val="none" w:sz="0" w:space="0" w:color="auto"/>
        <w:right w:val="none" w:sz="0" w:space="0" w:color="auto"/>
      </w:divBdr>
    </w:div>
    <w:div w:id="1940017489">
      <w:bodyDiv w:val="1"/>
      <w:marLeft w:val="0"/>
      <w:marRight w:val="0"/>
      <w:marTop w:val="0"/>
      <w:marBottom w:val="0"/>
      <w:divBdr>
        <w:top w:val="none" w:sz="0" w:space="0" w:color="auto"/>
        <w:left w:val="none" w:sz="0" w:space="0" w:color="auto"/>
        <w:bottom w:val="none" w:sz="0" w:space="0" w:color="auto"/>
        <w:right w:val="none" w:sz="0" w:space="0" w:color="auto"/>
      </w:divBdr>
    </w:div>
    <w:div w:id="1997610878">
      <w:bodyDiv w:val="1"/>
      <w:marLeft w:val="0"/>
      <w:marRight w:val="0"/>
      <w:marTop w:val="0"/>
      <w:marBottom w:val="0"/>
      <w:divBdr>
        <w:top w:val="none" w:sz="0" w:space="0" w:color="auto"/>
        <w:left w:val="none" w:sz="0" w:space="0" w:color="auto"/>
        <w:bottom w:val="none" w:sz="0" w:space="0" w:color="auto"/>
        <w:right w:val="none" w:sz="0" w:space="0" w:color="auto"/>
      </w:divBdr>
    </w:div>
    <w:div w:id="20671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emma.msrb.org/IssueView/Details/ER37724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alpers.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lstr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ma.msrb.org/P11573670-P11214889-P11635530.pdf" TargetMode="External"/><Relationship Id="rId14" Type="http://schemas.openxmlformats.org/officeDocument/2006/relationships/image" Target="media/image3.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Sheet1!$A$4</c:f>
              <c:strCache>
                <c:ptCount val="1"/>
                <c:pt idx="0">
                  <c:v>The School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Sheet1!$B$3:$C$3</c:f>
              <c:strCache>
                <c:ptCount val="2"/>
                <c:pt idx="0">
                  <c:v>2018-19</c:v>
                </c:pt>
                <c:pt idx="1">
                  <c:v>2020-21</c:v>
                </c:pt>
              </c:strCache>
            </c:strRef>
          </c:cat>
          <c:val>
            <c:numRef>
              <c:f>Sheet1!$B$4:$C$4</c:f>
              <c:numCache>
                <c:formatCode>0.00%</c:formatCode>
                <c:ptCount val="2"/>
                <c:pt idx="0">
                  <c:v>0.45490000000000003</c:v>
                </c:pt>
                <c:pt idx="1">
                  <c:v>0.28370000000000001</c:v>
                </c:pt>
              </c:numCache>
            </c:numRef>
          </c:val>
          <c:extLst>
            <c:ext xmlns:c16="http://schemas.microsoft.com/office/drawing/2014/chart" uri="{C3380CC4-5D6E-409C-BE32-E72D297353CC}">
              <c16:uniqueId val="{00000000-7ABA-4EC0-9F59-24302E23DAEA}"/>
            </c:ext>
          </c:extLst>
        </c:ser>
        <c:ser>
          <c:idx val="1"/>
          <c:order val="1"/>
          <c:tx>
            <c:strRef>
              <c:f>Sheet1!$A$5</c:f>
              <c:strCache>
                <c:ptCount val="1"/>
                <c:pt idx="0">
                  <c:v>Hesperia USD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Sheet1!$B$3:$C$3</c:f>
              <c:strCache>
                <c:ptCount val="2"/>
                <c:pt idx="0">
                  <c:v>2018-19</c:v>
                </c:pt>
                <c:pt idx="1">
                  <c:v>2020-21</c:v>
                </c:pt>
              </c:strCache>
            </c:strRef>
          </c:cat>
          <c:val>
            <c:numRef>
              <c:f>Sheet1!$B$5:$C$5</c:f>
              <c:numCache>
                <c:formatCode>0.00%</c:formatCode>
                <c:ptCount val="2"/>
                <c:pt idx="0">
                  <c:v>0.34110000000000001</c:v>
                </c:pt>
                <c:pt idx="1">
                  <c:v>0.39939999999999998</c:v>
                </c:pt>
              </c:numCache>
            </c:numRef>
          </c:val>
          <c:extLst>
            <c:ext xmlns:c16="http://schemas.microsoft.com/office/drawing/2014/chart" uri="{C3380CC4-5D6E-409C-BE32-E72D297353CC}">
              <c16:uniqueId val="{00000001-7ABA-4EC0-9F59-24302E23DAEA}"/>
            </c:ext>
          </c:extLst>
        </c:ser>
        <c:dLbls>
          <c:showLegendKey val="0"/>
          <c:showVal val="0"/>
          <c:showCatName val="0"/>
          <c:showSerName val="0"/>
          <c:showPercent val="0"/>
          <c:showBubbleSize val="0"/>
        </c:dLbls>
        <c:gapWidth val="219"/>
        <c:overlap val="-27"/>
        <c:axId val="821538096"/>
        <c:axId val="821551408"/>
      </c:barChart>
      <c:catAx>
        <c:axId val="82153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51408"/>
        <c:crosses val="autoZero"/>
        <c:auto val="1"/>
        <c:lblAlgn val="ctr"/>
        <c:lblOffset val="100"/>
        <c:noMultiLvlLbl val="0"/>
      </c:catAx>
      <c:valAx>
        <c:axId val="821551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380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Sheet1!$A$12</c:f>
              <c:strCache>
                <c:ptCount val="1"/>
                <c:pt idx="0">
                  <c:v>The School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Sheet1!$B$3:$C$3</c:f>
              <c:strCache>
                <c:ptCount val="2"/>
                <c:pt idx="0">
                  <c:v>2018-19</c:v>
                </c:pt>
                <c:pt idx="1">
                  <c:v>2020-21</c:v>
                </c:pt>
              </c:strCache>
            </c:strRef>
          </c:cat>
          <c:val>
            <c:numRef>
              <c:f>Sheet1!$B$12:$C$12</c:f>
              <c:numCache>
                <c:formatCode>0.00%</c:formatCode>
                <c:ptCount val="2"/>
                <c:pt idx="0">
                  <c:v>0.1288</c:v>
                </c:pt>
                <c:pt idx="1">
                  <c:v>6.3799999999999996E-2</c:v>
                </c:pt>
              </c:numCache>
            </c:numRef>
          </c:val>
          <c:extLst>
            <c:ext xmlns:c16="http://schemas.microsoft.com/office/drawing/2014/chart" uri="{C3380CC4-5D6E-409C-BE32-E72D297353CC}">
              <c16:uniqueId val="{00000000-45EF-412D-8E93-0553F7336E1A}"/>
            </c:ext>
          </c:extLst>
        </c:ser>
        <c:ser>
          <c:idx val="1"/>
          <c:order val="1"/>
          <c:tx>
            <c:strRef>
              <c:f>Sheet1!$A$13</c:f>
              <c:strCache>
                <c:ptCount val="1"/>
                <c:pt idx="0">
                  <c:v>Hesperia USD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Sheet1!$B$3:$C$3</c:f>
              <c:strCache>
                <c:ptCount val="2"/>
                <c:pt idx="0">
                  <c:v>2018-19</c:v>
                </c:pt>
                <c:pt idx="1">
                  <c:v>2020-21</c:v>
                </c:pt>
              </c:strCache>
            </c:strRef>
          </c:cat>
          <c:val>
            <c:numRef>
              <c:f>Sheet1!$B$13:$C$13</c:f>
              <c:numCache>
                <c:formatCode>0.00%</c:formatCode>
                <c:ptCount val="2"/>
                <c:pt idx="0">
                  <c:v>0.1797</c:v>
                </c:pt>
                <c:pt idx="1">
                  <c:v>0.20449999999999999</c:v>
                </c:pt>
              </c:numCache>
            </c:numRef>
          </c:val>
          <c:extLst>
            <c:ext xmlns:c16="http://schemas.microsoft.com/office/drawing/2014/chart" uri="{C3380CC4-5D6E-409C-BE32-E72D297353CC}">
              <c16:uniqueId val="{00000001-45EF-412D-8E93-0553F7336E1A}"/>
            </c:ext>
          </c:extLst>
        </c:ser>
        <c:dLbls>
          <c:dLblPos val="outEnd"/>
          <c:showLegendKey val="0"/>
          <c:showVal val="1"/>
          <c:showCatName val="0"/>
          <c:showSerName val="0"/>
          <c:showPercent val="0"/>
          <c:showBubbleSize val="0"/>
        </c:dLbls>
        <c:gapWidth val="219"/>
        <c:overlap val="-27"/>
        <c:axId val="821538096"/>
        <c:axId val="821551408"/>
      </c:barChart>
      <c:catAx>
        <c:axId val="82153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51408"/>
        <c:crosses val="autoZero"/>
        <c:auto val="1"/>
        <c:lblAlgn val="ctr"/>
        <c:lblOffset val="100"/>
        <c:noMultiLvlLbl val="0"/>
      </c:catAx>
      <c:valAx>
        <c:axId val="821551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380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7E64-3D84-4510-A05A-6965F6B8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12130</Words>
  <Characters>69145</Characters>
  <Application>Microsoft Office Word</Application>
  <DocSecurity>0</DocSecurity>
  <Lines>3006</Lines>
  <Paragraphs>3386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77889</CharactersWithSpaces>
  <SharedDoc>false</SharedDoc>
  <HLinks>
    <vt:vector size="114" baseType="variant">
      <vt:variant>
        <vt:i4>4128877</vt:i4>
      </vt:variant>
      <vt:variant>
        <vt:i4>195</vt:i4>
      </vt:variant>
      <vt:variant>
        <vt:i4>0</vt:i4>
      </vt:variant>
      <vt:variant>
        <vt:i4>5</vt:i4>
      </vt:variant>
      <vt:variant>
        <vt:lpwstr>http://www.calpers.ca.gov/</vt:lpwstr>
      </vt:variant>
      <vt:variant>
        <vt:lpwstr/>
      </vt:variant>
      <vt:variant>
        <vt:i4>2949233</vt:i4>
      </vt:variant>
      <vt:variant>
        <vt:i4>192</vt:i4>
      </vt:variant>
      <vt:variant>
        <vt:i4>0</vt:i4>
      </vt:variant>
      <vt:variant>
        <vt:i4>5</vt:i4>
      </vt:variant>
      <vt:variant>
        <vt:lpwstr>http://www.calstrs.com/</vt:lpwstr>
      </vt:variant>
      <vt:variant>
        <vt:lpwstr/>
      </vt:variant>
      <vt:variant>
        <vt:i4>2752623</vt:i4>
      </vt:variant>
      <vt:variant>
        <vt:i4>189</vt:i4>
      </vt:variant>
      <vt:variant>
        <vt:i4>0</vt:i4>
      </vt:variant>
      <vt:variant>
        <vt:i4>5</vt:i4>
      </vt:variant>
      <vt:variant>
        <vt:lpwstr>http://data1.cde.ca.gov/dataquest/Acnt2012/2012GrowthSch.aspx?cYear=2005-06&amp;allcds=37-735696115299</vt:lpwstr>
      </vt:variant>
      <vt:variant>
        <vt:lpwstr/>
      </vt:variant>
      <vt:variant>
        <vt:i4>2818152</vt:i4>
      </vt:variant>
      <vt:variant>
        <vt:i4>186</vt:i4>
      </vt:variant>
      <vt:variant>
        <vt:i4>0</vt:i4>
      </vt:variant>
      <vt:variant>
        <vt:i4>5</vt:i4>
      </vt:variant>
      <vt:variant>
        <vt:lpwstr>http://data1.cde.ca.gov/dataquest/Acnt2012/2012GrowthSch.aspx?cYear=2005-06&amp;allcds=37-735696038921</vt:lpwstr>
      </vt:variant>
      <vt:variant>
        <vt:lpwstr/>
      </vt:variant>
      <vt:variant>
        <vt:i4>2687083</vt:i4>
      </vt:variant>
      <vt:variant>
        <vt:i4>183</vt:i4>
      </vt:variant>
      <vt:variant>
        <vt:i4>0</vt:i4>
      </vt:variant>
      <vt:variant>
        <vt:i4>5</vt:i4>
      </vt:variant>
      <vt:variant>
        <vt:lpwstr>http://data1.cde.ca.gov/dataquest/Acnt2012/2012GrowthSch.aspx?cYear=2005-06&amp;allcds=37-735696038913</vt:lpwstr>
      </vt:variant>
      <vt:variant>
        <vt:lpwstr/>
      </vt:variant>
      <vt:variant>
        <vt:i4>3080298</vt:i4>
      </vt:variant>
      <vt:variant>
        <vt:i4>180</vt:i4>
      </vt:variant>
      <vt:variant>
        <vt:i4>0</vt:i4>
      </vt:variant>
      <vt:variant>
        <vt:i4>5</vt:i4>
      </vt:variant>
      <vt:variant>
        <vt:lpwstr>http://data1.cde.ca.gov/dataquest/Acnt2012/2012GrowthSch.aspx?cYear=2005-06&amp;allcds=37-735696038905</vt:lpwstr>
      </vt:variant>
      <vt:variant>
        <vt:lpwstr/>
      </vt:variant>
      <vt:variant>
        <vt:i4>2293857</vt:i4>
      </vt:variant>
      <vt:variant>
        <vt:i4>177</vt:i4>
      </vt:variant>
      <vt:variant>
        <vt:i4>0</vt:i4>
      </vt:variant>
      <vt:variant>
        <vt:i4>5</vt:i4>
      </vt:variant>
      <vt:variant>
        <vt:lpwstr>http://data1.cde.ca.gov/dataquest/Acnt2012/2012GrowthSch.aspx?cYear=2005-06&amp;allcds=37-735696106546</vt:lpwstr>
      </vt:variant>
      <vt:variant>
        <vt:lpwstr/>
      </vt:variant>
      <vt:variant>
        <vt:i4>2883683</vt:i4>
      </vt:variant>
      <vt:variant>
        <vt:i4>174</vt:i4>
      </vt:variant>
      <vt:variant>
        <vt:i4>0</vt:i4>
      </vt:variant>
      <vt:variant>
        <vt:i4>5</vt:i4>
      </vt:variant>
      <vt:variant>
        <vt:lpwstr>http://data1.cde.ca.gov/dataquest/Acnt2012/2012GrowthSch.aspx?cYear=2005-06&amp;allcds=37-735696038897</vt:lpwstr>
      </vt:variant>
      <vt:variant>
        <vt:lpwstr/>
      </vt:variant>
      <vt:variant>
        <vt:i4>2228322</vt:i4>
      </vt:variant>
      <vt:variant>
        <vt:i4>171</vt:i4>
      </vt:variant>
      <vt:variant>
        <vt:i4>0</vt:i4>
      </vt:variant>
      <vt:variant>
        <vt:i4>5</vt:i4>
      </vt:variant>
      <vt:variant>
        <vt:lpwstr>http://data1.cde.ca.gov/dataquest/Acnt2012/2012GrowthSch.aspx?cYear=2005-06&amp;allcds=37-735696038889</vt:lpwstr>
      </vt:variant>
      <vt:variant>
        <vt:lpwstr/>
      </vt:variant>
      <vt:variant>
        <vt:i4>2424939</vt:i4>
      </vt:variant>
      <vt:variant>
        <vt:i4>168</vt:i4>
      </vt:variant>
      <vt:variant>
        <vt:i4>0</vt:i4>
      </vt:variant>
      <vt:variant>
        <vt:i4>5</vt:i4>
      </vt:variant>
      <vt:variant>
        <vt:lpwstr>http://data1.cde.ca.gov/dataquest/Acnt2012/2012GrowthSch.aspx?cYear=2005-06&amp;allcds=37-735696119713</vt:lpwstr>
      </vt:variant>
      <vt:variant>
        <vt:lpwstr/>
      </vt:variant>
      <vt:variant>
        <vt:i4>2752621</vt:i4>
      </vt:variant>
      <vt:variant>
        <vt:i4>165</vt:i4>
      </vt:variant>
      <vt:variant>
        <vt:i4>0</vt:i4>
      </vt:variant>
      <vt:variant>
        <vt:i4>5</vt:i4>
      </vt:variant>
      <vt:variant>
        <vt:lpwstr>http://data1.cde.ca.gov/dataquest/Acnt2012/2012GrowthSch.aspx?cYear=2005-06&amp;allcds=37-735696038871</vt:lpwstr>
      </vt:variant>
      <vt:variant>
        <vt:lpwstr/>
      </vt:variant>
      <vt:variant>
        <vt:i4>2490465</vt:i4>
      </vt:variant>
      <vt:variant>
        <vt:i4>162</vt:i4>
      </vt:variant>
      <vt:variant>
        <vt:i4>0</vt:i4>
      </vt:variant>
      <vt:variant>
        <vt:i4>5</vt:i4>
      </vt:variant>
      <vt:variant>
        <vt:lpwstr>http://data1.cde.ca.gov/dataquest/Acnt2012/2012GrowthSch.aspx?cYear=2005-06&amp;allcds=37-735690113514</vt:lpwstr>
      </vt:variant>
      <vt:variant>
        <vt:lpwstr/>
      </vt:variant>
      <vt:variant>
        <vt:i4>3014767</vt:i4>
      </vt:variant>
      <vt:variant>
        <vt:i4>159</vt:i4>
      </vt:variant>
      <vt:variant>
        <vt:i4>0</vt:i4>
      </vt:variant>
      <vt:variant>
        <vt:i4>5</vt:i4>
      </vt:variant>
      <vt:variant>
        <vt:lpwstr>http://data1.cde.ca.gov/dataquest/Acnt2012/2012GrowthSch.aspx?cYear=2005-06&amp;allcds=37-735696038855</vt:lpwstr>
      </vt:variant>
      <vt:variant>
        <vt:lpwstr/>
      </vt:variant>
      <vt:variant>
        <vt:i4>2293870</vt:i4>
      </vt:variant>
      <vt:variant>
        <vt:i4>156</vt:i4>
      </vt:variant>
      <vt:variant>
        <vt:i4>0</vt:i4>
      </vt:variant>
      <vt:variant>
        <vt:i4>5</vt:i4>
      </vt:variant>
      <vt:variant>
        <vt:lpwstr>http://data1.cde.ca.gov/dataquest/Acnt2012/2012GrowthSch.aspx?cYear=2005-06&amp;allcds=37-735696038848</vt:lpwstr>
      </vt:variant>
      <vt:variant>
        <vt:lpwstr/>
      </vt:variant>
      <vt:variant>
        <vt:i4>2883683</vt:i4>
      </vt:variant>
      <vt:variant>
        <vt:i4>153</vt:i4>
      </vt:variant>
      <vt:variant>
        <vt:i4>0</vt:i4>
      </vt:variant>
      <vt:variant>
        <vt:i4>5</vt:i4>
      </vt:variant>
      <vt:variant>
        <vt:lpwstr>http://data1.cde.ca.gov/dataquest/Acnt2012/2012GrowthSch.aspx?cYear=2005-06&amp;allcds=37-735696109995</vt:lpwstr>
      </vt:variant>
      <vt:variant>
        <vt:lpwstr/>
      </vt:variant>
      <vt:variant>
        <vt:i4>3080299</vt:i4>
      </vt:variant>
      <vt:variant>
        <vt:i4>150</vt:i4>
      </vt:variant>
      <vt:variant>
        <vt:i4>0</vt:i4>
      </vt:variant>
      <vt:variant>
        <vt:i4>5</vt:i4>
      </vt:variant>
      <vt:variant>
        <vt:lpwstr>http://data1.cde.ca.gov/dataquest/Acnt2012/2012GrowthSch.aspx?cYear=2005-06&amp;allcds=37-735696069108</vt:lpwstr>
      </vt:variant>
      <vt:variant>
        <vt:lpwstr/>
      </vt:variant>
      <vt:variant>
        <vt:i4>2097251</vt:i4>
      </vt:variant>
      <vt:variant>
        <vt:i4>147</vt:i4>
      </vt:variant>
      <vt:variant>
        <vt:i4>0</vt:i4>
      </vt:variant>
      <vt:variant>
        <vt:i4>5</vt:i4>
      </vt:variant>
      <vt:variant>
        <vt:lpwstr>http://data1.cde.ca.gov/dataquest/Acnt2012/2012GrowthSch.aspx?cYear=2005-06&amp;allcds=37-735696088991</vt:lpwstr>
      </vt:variant>
      <vt:variant>
        <vt:lpwstr/>
      </vt:variant>
      <vt:variant>
        <vt:i4>1507400</vt:i4>
      </vt:variant>
      <vt:variant>
        <vt:i4>144</vt:i4>
      </vt:variant>
      <vt:variant>
        <vt:i4>0</vt:i4>
      </vt:variant>
      <vt:variant>
        <vt:i4>5</vt:i4>
      </vt:variant>
      <vt:variant>
        <vt:lpwstr>http://data1.cde.ca.gov/dataquest/Acnt2012/2012GrowthSch.aspx?cYear=2011-12%20&amp;allcds=37-735696108211</vt:lpwstr>
      </vt:variant>
      <vt:variant>
        <vt:lpwstr/>
      </vt:variant>
      <vt:variant>
        <vt:i4>2556005</vt:i4>
      </vt:variant>
      <vt:variant>
        <vt:i4>141</vt:i4>
      </vt:variant>
      <vt:variant>
        <vt:i4>0</vt:i4>
      </vt:variant>
      <vt:variant>
        <vt:i4>5</vt:i4>
      </vt:variant>
      <vt:variant>
        <vt:lpwstr>http://data1.cde.ca.gov/dataquest/Acnt2012/2012GrowthSch.aspx?cYear=2005-06&amp;allcds=37-735690101071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2021-04-28T22:49:00Z</dcterms:created>
  <dcterms:modified xsi:type="dcterms:W3CDTF">2022-04-20T22:47:00Z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4831-9312-9656v9/200237-0015</vt:lpwstr>
  </property>
</Properties>
</file>