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10D02" w14:textId="77777777" w:rsidR="00E67CD1" w:rsidRPr="00F71AD2" w:rsidRDefault="00E67CD1">
      <w:pPr>
        <w:pStyle w:val="Normal1"/>
        <w:rPr>
          <w:rFonts w:asciiTheme="majorHAnsi" w:hAnsiTheme="majorHAnsi" w:cstheme="majorHAnsi"/>
          <w:sz w:val="8"/>
          <w:szCs w:val="8"/>
        </w:rPr>
      </w:pPr>
      <w:bookmarkStart w:id="0" w:name="_GoBack"/>
      <w:bookmarkEnd w:id="0"/>
    </w:p>
    <w:p w14:paraId="15C4AF40" w14:textId="3583D5EF" w:rsidR="00F71AD2" w:rsidRDefault="00F71AD2" w:rsidP="00F71AD2">
      <w:pPr>
        <w:pStyle w:val="Normal1"/>
        <w:jc w:val="center"/>
        <w:rPr>
          <w:rFonts w:asciiTheme="majorHAnsi" w:hAnsiTheme="majorHAnsi" w:cstheme="majorHAnsi"/>
          <w:sz w:val="32"/>
          <w:szCs w:val="32"/>
        </w:rPr>
      </w:pPr>
      <w:r w:rsidRPr="00F71AD2">
        <w:rPr>
          <w:rFonts w:asciiTheme="majorHAnsi" w:hAnsiTheme="majorHAnsi" w:cstheme="majorHAnsi"/>
          <w:sz w:val="32"/>
          <w:szCs w:val="32"/>
        </w:rPr>
        <w:t>Research Triangle High School</w:t>
      </w:r>
    </w:p>
    <w:p w14:paraId="1DB307B2" w14:textId="77777777" w:rsidR="00F71AD2" w:rsidRPr="00F71AD2" w:rsidRDefault="00F71AD2" w:rsidP="00F71AD2">
      <w:pPr>
        <w:pStyle w:val="Normal1"/>
        <w:jc w:val="center"/>
        <w:rPr>
          <w:rFonts w:asciiTheme="majorHAnsi" w:hAnsiTheme="majorHAnsi" w:cstheme="majorHAnsi"/>
          <w:sz w:val="32"/>
          <w:szCs w:val="32"/>
        </w:rPr>
      </w:pPr>
    </w:p>
    <w:p w14:paraId="3F6DA556" w14:textId="7A39C843" w:rsidR="00E67CD1" w:rsidRDefault="00E67CD1">
      <w:pPr>
        <w:pStyle w:val="Normal1"/>
        <w:rPr>
          <w:rFonts w:asciiTheme="majorHAnsi" w:hAnsiTheme="majorHAnsi" w:cstheme="majorHAnsi"/>
          <w:sz w:val="40"/>
          <w:szCs w:val="40"/>
        </w:rPr>
      </w:pPr>
      <w:r w:rsidRPr="00E67CD1">
        <w:rPr>
          <w:rFonts w:asciiTheme="majorHAnsi" w:hAnsiTheme="majorHAnsi" w:cstheme="majorHAnsi"/>
          <w:sz w:val="40"/>
          <w:szCs w:val="40"/>
        </w:rPr>
        <w:t>Public Participation at Board Meetings</w:t>
      </w:r>
    </w:p>
    <w:p w14:paraId="200BD10E" w14:textId="77777777" w:rsidR="00E67CD1" w:rsidRDefault="00E67CD1">
      <w:pPr>
        <w:pStyle w:val="Normal1"/>
        <w:rPr>
          <w:rFonts w:asciiTheme="majorHAnsi" w:hAnsiTheme="majorHAnsi" w:cstheme="majorHAnsi"/>
          <w:sz w:val="40"/>
          <w:szCs w:val="40"/>
        </w:rPr>
      </w:pPr>
    </w:p>
    <w:p w14:paraId="0F1F1F1D" w14:textId="5D7DC48B" w:rsidR="00F71AD2" w:rsidRDefault="00E67CD1" w:rsidP="00F71AD2">
      <w:pPr>
        <w:pStyle w:val="Normal1"/>
        <w:jc w:val="both"/>
        <w:rPr>
          <w:rFonts w:asciiTheme="majorHAnsi" w:hAnsiTheme="majorHAnsi" w:cstheme="majorHAnsi"/>
          <w:sz w:val="24"/>
          <w:szCs w:val="24"/>
        </w:rPr>
      </w:pPr>
      <w:r w:rsidRPr="00E67CD1">
        <w:rPr>
          <w:rFonts w:asciiTheme="majorHAnsi" w:hAnsiTheme="majorHAnsi" w:cstheme="majorHAnsi"/>
          <w:sz w:val="24"/>
          <w:szCs w:val="24"/>
        </w:rPr>
        <w:t xml:space="preserve">The </w:t>
      </w:r>
      <w:r>
        <w:rPr>
          <w:rFonts w:asciiTheme="majorHAnsi" w:hAnsiTheme="majorHAnsi" w:cstheme="majorHAnsi"/>
          <w:sz w:val="24"/>
          <w:szCs w:val="24"/>
        </w:rPr>
        <w:t xml:space="preserve">Research Triangle High School </w:t>
      </w:r>
      <w:r w:rsidR="00CB2F0A">
        <w:rPr>
          <w:rFonts w:asciiTheme="majorHAnsi" w:hAnsiTheme="majorHAnsi" w:cstheme="majorHAnsi"/>
          <w:sz w:val="24"/>
          <w:szCs w:val="24"/>
        </w:rPr>
        <w:t xml:space="preserve">(RTHS) </w:t>
      </w:r>
      <w:r w:rsidRPr="00E67CD1">
        <w:rPr>
          <w:rFonts w:asciiTheme="majorHAnsi" w:hAnsiTheme="majorHAnsi" w:cstheme="majorHAnsi"/>
          <w:sz w:val="24"/>
          <w:szCs w:val="24"/>
        </w:rPr>
        <w:t xml:space="preserve">Board of Directors recognizes the value of public comment on educational issues and the importance of hearing from members of the public during the session designated for public comment at its meetings. In compliance with the Open Meetings laws, the public may attend all open meetings of the </w:t>
      </w:r>
      <w:r w:rsidR="00CB2F0A">
        <w:rPr>
          <w:rFonts w:asciiTheme="majorHAnsi" w:hAnsiTheme="majorHAnsi" w:cstheme="majorHAnsi"/>
          <w:sz w:val="24"/>
          <w:szCs w:val="24"/>
        </w:rPr>
        <w:t>RTHS</w:t>
      </w:r>
      <w:r w:rsidRPr="00E67CD1">
        <w:rPr>
          <w:rFonts w:asciiTheme="majorHAnsi" w:hAnsiTheme="majorHAnsi" w:cstheme="majorHAnsi"/>
          <w:sz w:val="24"/>
          <w:szCs w:val="24"/>
        </w:rPr>
        <w:t xml:space="preserve"> Board of Directors.</w:t>
      </w:r>
    </w:p>
    <w:p w14:paraId="52E4E4D1" w14:textId="37F954DB" w:rsidR="00E67CD1" w:rsidRPr="00E67CD1" w:rsidRDefault="00E67CD1" w:rsidP="00F71AD2">
      <w:pPr>
        <w:pStyle w:val="Normal1"/>
        <w:jc w:val="both"/>
        <w:rPr>
          <w:rFonts w:asciiTheme="majorHAnsi" w:hAnsiTheme="majorHAnsi" w:cstheme="majorHAnsi"/>
          <w:sz w:val="24"/>
          <w:szCs w:val="24"/>
        </w:rPr>
      </w:pPr>
    </w:p>
    <w:p w14:paraId="20886CFB" w14:textId="32C8A765" w:rsidR="00E67CD1" w:rsidRPr="00E67CD1" w:rsidRDefault="00E67CD1" w:rsidP="00F71AD2">
      <w:pPr>
        <w:pStyle w:val="Normal1"/>
        <w:jc w:val="both"/>
        <w:rPr>
          <w:rFonts w:asciiTheme="majorHAnsi" w:hAnsiTheme="majorHAnsi" w:cstheme="majorHAnsi"/>
          <w:sz w:val="24"/>
          <w:szCs w:val="24"/>
        </w:rPr>
      </w:pPr>
      <w:r w:rsidRPr="00E67CD1">
        <w:rPr>
          <w:rFonts w:asciiTheme="majorHAnsi" w:hAnsiTheme="majorHAnsi" w:cstheme="majorHAnsi"/>
          <w:sz w:val="24"/>
          <w:szCs w:val="24"/>
        </w:rPr>
        <w:t xml:space="preserve">In order for the Board to complete its planned agenda in an effective and efficient manner, a Public Comment period will be scheduled at each regular monthly meeting of the board. Individuals seeking to address the board must: </w:t>
      </w:r>
    </w:p>
    <w:p w14:paraId="78424E47" w14:textId="0800ECC7" w:rsidR="00E67CD1" w:rsidRPr="00E67CD1" w:rsidRDefault="00E67CD1" w:rsidP="00F71AD2">
      <w:pPr>
        <w:pStyle w:val="Normal1"/>
        <w:numPr>
          <w:ilvl w:val="0"/>
          <w:numId w:val="32"/>
        </w:numPr>
        <w:jc w:val="both"/>
        <w:rPr>
          <w:rFonts w:asciiTheme="majorHAnsi" w:hAnsiTheme="majorHAnsi" w:cstheme="majorHAnsi"/>
          <w:sz w:val="24"/>
          <w:szCs w:val="24"/>
        </w:rPr>
      </w:pPr>
      <w:r w:rsidRPr="00E67CD1">
        <w:rPr>
          <w:rFonts w:asciiTheme="majorHAnsi" w:hAnsiTheme="majorHAnsi" w:cstheme="majorHAnsi"/>
          <w:sz w:val="24"/>
          <w:szCs w:val="24"/>
        </w:rPr>
        <w:t xml:space="preserve">Sign up at least 2 hours before the start of the meeting by contacting the Board </w:t>
      </w:r>
      <w:r w:rsidR="00CB2F0A">
        <w:rPr>
          <w:rFonts w:asciiTheme="majorHAnsi" w:hAnsiTheme="majorHAnsi" w:cstheme="majorHAnsi"/>
          <w:sz w:val="24"/>
          <w:szCs w:val="24"/>
        </w:rPr>
        <w:t xml:space="preserve">Chair </w:t>
      </w:r>
      <w:r w:rsidRPr="00E67CD1">
        <w:rPr>
          <w:rFonts w:asciiTheme="majorHAnsi" w:hAnsiTheme="majorHAnsi" w:cstheme="majorHAnsi"/>
          <w:sz w:val="24"/>
          <w:szCs w:val="24"/>
        </w:rPr>
        <w:t xml:space="preserve">in writing, </w:t>
      </w:r>
    </w:p>
    <w:p w14:paraId="5731F674" w14:textId="77777777" w:rsidR="00E67CD1" w:rsidRPr="00E67CD1" w:rsidRDefault="00E67CD1" w:rsidP="00F71AD2">
      <w:pPr>
        <w:pStyle w:val="Normal1"/>
        <w:numPr>
          <w:ilvl w:val="0"/>
          <w:numId w:val="32"/>
        </w:numPr>
        <w:jc w:val="both"/>
        <w:rPr>
          <w:rFonts w:asciiTheme="majorHAnsi" w:hAnsiTheme="majorHAnsi" w:cstheme="majorHAnsi"/>
          <w:sz w:val="24"/>
          <w:szCs w:val="24"/>
        </w:rPr>
      </w:pPr>
      <w:r w:rsidRPr="00E67CD1">
        <w:rPr>
          <w:rFonts w:asciiTheme="majorHAnsi" w:hAnsiTheme="majorHAnsi" w:cstheme="majorHAnsi"/>
          <w:sz w:val="24"/>
          <w:szCs w:val="24"/>
        </w:rPr>
        <w:t xml:space="preserve">Their request must include listing the name of the speaker, contact information and the subject of public comment. </w:t>
      </w:r>
    </w:p>
    <w:p w14:paraId="2DC818F0" w14:textId="0F6288A3" w:rsidR="00E67CD1" w:rsidRPr="00E67CD1" w:rsidRDefault="00E67CD1" w:rsidP="00F71AD2">
      <w:pPr>
        <w:pStyle w:val="Normal1"/>
        <w:numPr>
          <w:ilvl w:val="0"/>
          <w:numId w:val="32"/>
        </w:numPr>
        <w:jc w:val="both"/>
        <w:rPr>
          <w:rFonts w:asciiTheme="majorHAnsi" w:hAnsiTheme="majorHAnsi" w:cstheme="majorHAnsi"/>
          <w:sz w:val="24"/>
          <w:szCs w:val="24"/>
        </w:rPr>
      </w:pPr>
      <w:r w:rsidRPr="00E67CD1">
        <w:rPr>
          <w:rFonts w:asciiTheme="majorHAnsi" w:hAnsiTheme="majorHAnsi" w:cstheme="majorHAnsi"/>
          <w:sz w:val="24"/>
          <w:szCs w:val="24"/>
        </w:rPr>
        <w:t xml:space="preserve">Each speaker will have no more than </w:t>
      </w:r>
      <w:r w:rsidR="00FC48D7">
        <w:rPr>
          <w:rFonts w:asciiTheme="majorHAnsi" w:hAnsiTheme="majorHAnsi" w:cstheme="majorHAnsi"/>
          <w:sz w:val="24"/>
          <w:szCs w:val="24"/>
        </w:rPr>
        <w:t xml:space="preserve">two to </w:t>
      </w:r>
      <w:r w:rsidR="00CB2F0A">
        <w:rPr>
          <w:rFonts w:asciiTheme="majorHAnsi" w:hAnsiTheme="majorHAnsi" w:cstheme="majorHAnsi"/>
          <w:sz w:val="24"/>
          <w:szCs w:val="24"/>
        </w:rPr>
        <w:t>three</w:t>
      </w:r>
      <w:r w:rsidRPr="00E67CD1">
        <w:rPr>
          <w:rFonts w:asciiTheme="majorHAnsi" w:hAnsiTheme="majorHAnsi" w:cstheme="majorHAnsi"/>
          <w:sz w:val="24"/>
          <w:szCs w:val="24"/>
        </w:rPr>
        <w:t xml:space="preserve"> minutes to address the board.</w:t>
      </w:r>
    </w:p>
    <w:p w14:paraId="25CE1068" w14:textId="77777777" w:rsidR="00E67CD1" w:rsidRPr="00E67CD1" w:rsidRDefault="00E67CD1" w:rsidP="00F71AD2">
      <w:pPr>
        <w:pStyle w:val="Normal1"/>
        <w:jc w:val="both"/>
        <w:rPr>
          <w:rFonts w:asciiTheme="majorHAnsi" w:hAnsiTheme="majorHAnsi" w:cstheme="majorHAnsi"/>
          <w:sz w:val="24"/>
          <w:szCs w:val="24"/>
        </w:rPr>
      </w:pPr>
    </w:p>
    <w:p w14:paraId="0B4B5149" w14:textId="6E680283" w:rsidR="00E67CD1" w:rsidRDefault="00E67CD1" w:rsidP="00F71AD2">
      <w:pPr>
        <w:pStyle w:val="Normal1"/>
        <w:jc w:val="both"/>
        <w:rPr>
          <w:rFonts w:asciiTheme="majorHAnsi" w:hAnsiTheme="majorHAnsi" w:cstheme="majorHAnsi"/>
          <w:sz w:val="24"/>
          <w:szCs w:val="24"/>
        </w:rPr>
      </w:pPr>
      <w:r>
        <w:rPr>
          <w:rFonts w:asciiTheme="majorHAnsi" w:hAnsiTheme="majorHAnsi" w:cstheme="majorHAnsi"/>
          <w:sz w:val="24"/>
          <w:szCs w:val="24"/>
        </w:rPr>
        <w:t>Public Comments must follow the following guidelines:</w:t>
      </w:r>
    </w:p>
    <w:p w14:paraId="3DB32DE0" w14:textId="14F1620D" w:rsidR="00E67CD1" w:rsidRPr="00E67CD1" w:rsidRDefault="00E67CD1" w:rsidP="00F71AD2">
      <w:pPr>
        <w:pStyle w:val="Normal1"/>
        <w:numPr>
          <w:ilvl w:val="0"/>
          <w:numId w:val="31"/>
        </w:numPr>
        <w:jc w:val="both"/>
        <w:rPr>
          <w:rFonts w:asciiTheme="majorHAnsi" w:hAnsiTheme="majorHAnsi" w:cstheme="majorHAnsi"/>
          <w:sz w:val="24"/>
          <w:szCs w:val="24"/>
        </w:rPr>
      </w:pPr>
      <w:r w:rsidRPr="00E67CD1">
        <w:rPr>
          <w:rFonts w:asciiTheme="majorHAnsi" w:hAnsiTheme="majorHAnsi" w:cstheme="majorHAnsi"/>
          <w:sz w:val="24"/>
          <w:szCs w:val="24"/>
        </w:rPr>
        <w:t xml:space="preserve">All public comments will be directed to the board. </w:t>
      </w:r>
    </w:p>
    <w:p w14:paraId="285CEA74" w14:textId="77777777" w:rsidR="00E67CD1" w:rsidRPr="00E67CD1" w:rsidRDefault="00E67CD1" w:rsidP="00F71AD2">
      <w:pPr>
        <w:pStyle w:val="Normal1"/>
        <w:numPr>
          <w:ilvl w:val="0"/>
          <w:numId w:val="31"/>
        </w:numPr>
        <w:jc w:val="both"/>
        <w:rPr>
          <w:rFonts w:asciiTheme="majorHAnsi" w:hAnsiTheme="majorHAnsi" w:cstheme="majorHAnsi"/>
          <w:sz w:val="24"/>
          <w:szCs w:val="24"/>
        </w:rPr>
      </w:pPr>
      <w:r w:rsidRPr="00E67CD1">
        <w:rPr>
          <w:rFonts w:asciiTheme="majorHAnsi" w:hAnsiTheme="majorHAnsi" w:cstheme="majorHAnsi"/>
          <w:sz w:val="24"/>
          <w:szCs w:val="24"/>
        </w:rPr>
        <w:t xml:space="preserve">No profanity or personal attacks will be permitted. </w:t>
      </w:r>
    </w:p>
    <w:p w14:paraId="076FF4D7" w14:textId="52208ACA" w:rsidR="00E67CD1" w:rsidRPr="00E67CD1" w:rsidRDefault="00E67CD1" w:rsidP="00F71AD2">
      <w:pPr>
        <w:pStyle w:val="Normal1"/>
        <w:numPr>
          <w:ilvl w:val="0"/>
          <w:numId w:val="31"/>
        </w:numPr>
        <w:jc w:val="both"/>
        <w:rPr>
          <w:rFonts w:asciiTheme="majorHAnsi" w:hAnsiTheme="majorHAnsi" w:cstheme="majorHAnsi"/>
          <w:sz w:val="24"/>
          <w:szCs w:val="24"/>
        </w:rPr>
      </w:pPr>
      <w:r w:rsidRPr="00E67CD1">
        <w:rPr>
          <w:rFonts w:asciiTheme="majorHAnsi" w:hAnsiTheme="majorHAnsi" w:cstheme="majorHAnsi"/>
          <w:sz w:val="24"/>
          <w:szCs w:val="24"/>
        </w:rPr>
        <w:t xml:space="preserve">Board interaction with the speakers during the time for public comment is left to the discretion of the Board </w:t>
      </w:r>
      <w:r w:rsidR="00CB2F0A">
        <w:rPr>
          <w:rFonts w:asciiTheme="majorHAnsi" w:hAnsiTheme="majorHAnsi" w:cstheme="majorHAnsi"/>
          <w:sz w:val="24"/>
          <w:szCs w:val="24"/>
        </w:rPr>
        <w:t>Chair</w:t>
      </w:r>
      <w:r w:rsidRPr="00E67CD1">
        <w:rPr>
          <w:rFonts w:asciiTheme="majorHAnsi" w:hAnsiTheme="majorHAnsi" w:cstheme="majorHAnsi"/>
          <w:sz w:val="24"/>
          <w:szCs w:val="24"/>
        </w:rPr>
        <w:t>.</w:t>
      </w:r>
    </w:p>
    <w:p w14:paraId="723D91C3" w14:textId="570D21C9" w:rsidR="00E67CD1" w:rsidRPr="00E67CD1" w:rsidRDefault="00E67CD1" w:rsidP="00F71AD2">
      <w:pPr>
        <w:pStyle w:val="Normal1"/>
        <w:numPr>
          <w:ilvl w:val="0"/>
          <w:numId w:val="31"/>
        </w:numPr>
        <w:jc w:val="both"/>
        <w:rPr>
          <w:rFonts w:asciiTheme="majorHAnsi" w:hAnsiTheme="majorHAnsi" w:cstheme="majorHAnsi"/>
          <w:sz w:val="24"/>
          <w:szCs w:val="24"/>
        </w:rPr>
      </w:pPr>
      <w:r w:rsidRPr="00E67CD1">
        <w:rPr>
          <w:rFonts w:asciiTheme="majorHAnsi" w:hAnsiTheme="majorHAnsi" w:cstheme="majorHAnsi"/>
          <w:sz w:val="24"/>
          <w:szCs w:val="24"/>
        </w:rPr>
        <w:t xml:space="preserve">Employee complaints are best addressed through the procedures set forth in the board’s </w:t>
      </w:r>
      <w:r w:rsidR="00CB2F0A">
        <w:rPr>
          <w:rFonts w:asciiTheme="majorHAnsi" w:hAnsiTheme="majorHAnsi" w:cstheme="majorHAnsi"/>
          <w:sz w:val="24"/>
          <w:szCs w:val="24"/>
        </w:rPr>
        <w:t xml:space="preserve">Employee Grievance Policy and Procedures. </w:t>
      </w:r>
    </w:p>
    <w:p w14:paraId="0F329645" w14:textId="619A29AC" w:rsidR="00E67CD1" w:rsidRPr="00E67CD1" w:rsidRDefault="00E67CD1" w:rsidP="00F71AD2">
      <w:pPr>
        <w:pStyle w:val="Normal1"/>
        <w:numPr>
          <w:ilvl w:val="0"/>
          <w:numId w:val="31"/>
        </w:numPr>
        <w:jc w:val="both"/>
        <w:rPr>
          <w:rFonts w:asciiTheme="majorHAnsi" w:hAnsiTheme="majorHAnsi" w:cstheme="majorHAnsi"/>
          <w:sz w:val="24"/>
          <w:szCs w:val="24"/>
        </w:rPr>
      </w:pPr>
      <w:r w:rsidRPr="00E67CD1">
        <w:rPr>
          <w:rFonts w:asciiTheme="majorHAnsi" w:hAnsiTheme="majorHAnsi" w:cstheme="majorHAnsi"/>
          <w:sz w:val="24"/>
          <w:szCs w:val="24"/>
        </w:rPr>
        <w:t>As permitted by law, the board’s discussion of personnel matters or attorney-client privileged issues will be discussed in closed session.</w:t>
      </w:r>
    </w:p>
    <w:p w14:paraId="6237A0A3" w14:textId="77777777" w:rsidR="00E67CD1" w:rsidRPr="00E67CD1" w:rsidRDefault="00E67CD1" w:rsidP="00F71AD2">
      <w:pPr>
        <w:pStyle w:val="Normal1"/>
        <w:jc w:val="both"/>
        <w:rPr>
          <w:rFonts w:asciiTheme="majorHAnsi" w:hAnsiTheme="majorHAnsi" w:cstheme="majorHAnsi"/>
          <w:sz w:val="24"/>
          <w:szCs w:val="24"/>
        </w:rPr>
      </w:pPr>
    </w:p>
    <w:p w14:paraId="00000035" w14:textId="22A79C8C" w:rsidR="009D279E" w:rsidRPr="00E67CD1" w:rsidRDefault="00E67CD1" w:rsidP="00F71AD2">
      <w:pPr>
        <w:pStyle w:val="Normal1"/>
        <w:jc w:val="both"/>
        <w:rPr>
          <w:rFonts w:asciiTheme="majorHAnsi" w:hAnsiTheme="majorHAnsi" w:cstheme="majorHAnsi"/>
          <w:sz w:val="24"/>
          <w:szCs w:val="24"/>
        </w:rPr>
      </w:pPr>
      <w:r w:rsidRPr="00E67CD1">
        <w:rPr>
          <w:rFonts w:asciiTheme="majorHAnsi" w:hAnsiTheme="majorHAnsi" w:cstheme="majorHAnsi"/>
          <w:sz w:val="24"/>
          <w:szCs w:val="24"/>
        </w:rPr>
        <w:t xml:space="preserve">Other than during the designated public comment session of the agenda, discussion from the audience will not be permitted. The Board may, in the discretion of the board </w:t>
      </w:r>
      <w:r w:rsidR="00CB2F0A">
        <w:rPr>
          <w:rFonts w:asciiTheme="majorHAnsi" w:hAnsiTheme="majorHAnsi" w:cstheme="majorHAnsi"/>
          <w:sz w:val="24"/>
          <w:szCs w:val="24"/>
        </w:rPr>
        <w:t>Chair</w:t>
      </w:r>
      <w:r w:rsidRPr="00E67CD1">
        <w:rPr>
          <w:rFonts w:asciiTheme="majorHAnsi" w:hAnsiTheme="majorHAnsi" w:cstheme="majorHAnsi"/>
          <w:sz w:val="24"/>
          <w:szCs w:val="24"/>
        </w:rPr>
        <w:t xml:space="preserve">, recognize individuals to speak or ask questions. The </w:t>
      </w:r>
      <w:r w:rsidR="00CB2F0A">
        <w:rPr>
          <w:rFonts w:asciiTheme="majorHAnsi" w:hAnsiTheme="majorHAnsi" w:cstheme="majorHAnsi"/>
          <w:sz w:val="24"/>
          <w:szCs w:val="24"/>
        </w:rPr>
        <w:t>Chair</w:t>
      </w:r>
      <w:r w:rsidRPr="00E67CD1">
        <w:rPr>
          <w:rFonts w:asciiTheme="majorHAnsi" w:hAnsiTheme="majorHAnsi" w:cstheme="majorHAnsi"/>
          <w:sz w:val="24"/>
          <w:szCs w:val="24"/>
        </w:rPr>
        <w:t xml:space="preserve"> may choose to answer or refer such questions to the Chief </w:t>
      </w:r>
      <w:r w:rsidR="00F71AD2">
        <w:rPr>
          <w:rFonts w:asciiTheme="majorHAnsi" w:hAnsiTheme="majorHAnsi" w:cstheme="majorHAnsi"/>
          <w:sz w:val="24"/>
          <w:szCs w:val="24"/>
        </w:rPr>
        <w:t>School Officer</w:t>
      </w:r>
      <w:r w:rsidR="006E2D2C">
        <w:rPr>
          <w:rFonts w:asciiTheme="majorHAnsi" w:hAnsiTheme="majorHAnsi" w:cstheme="majorHAnsi"/>
          <w:sz w:val="24"/>
          <w:szCs w:val="24"/>
        </w:rPr>
        <w:t xml:space="preserve"> for consideration </w:t>
      </w:r>
      <w:r w:rsidRPr="00E67CD1">
        <w:rPr>
          <w:rFonts w:asciiTheme="majorHAnsi" w:hAnsiTheme="majorHAnsi" w:cstheme="majorHAnsi"/>
          <w:sz w:val="24"/>
          <w:szCs w:val="24"/>
        </w:rPr>
        <w:t>and response either during the meeting or within a reasonable time subsequent to the close of the meeting, as appropriate and deemed necessary</w:t>
      </w:r>
      <w:r w:rsidR="00AF5698" w:rsidRPr="00E67CD1">
        <w:rPr>
          <w:rFonts w:asciiTheme="majorHAnsi" w:hAnsiTheme="majorHAnsi" w:cstheme="majorHAnsi"/>
          <w:sz w:val="24"/>
          <w:szCs w:val="24"/>
        </w:rPr>
        <w:t>.</w:t>
      </w:r>
    </w:p>
    <w:p w14:paraId="00000036" w14:textId="77777777" w:rsidR="009D279E" w:rsidRPr="00E67CD1" w:rsidRDefault="009D279E">
      <w:pPr>
        <w:pStyle w:val="Normal1"/>
        <w:rPr>
          <w:rFonts w:asciiTheme="majorHAnsi" w:hAnsiTheme="majorHAnsi" w:cstheme="majorHAnsi"/>
        </w:rPr>
      </w:pPr>
    </w:p>
    <w:p w14:paraId="0000017B" w14:textId="77777777" w:rsidR="009D279E" w:rsidRPr="00E67CD1" w:rsidRDefault="009D279E">
      <w:pPr>
        <w:pStyle w:val="Normal1"/>
        <w:ind w:left="720"/>
        <w:rPr>
          <w:rFonts w:asciiTheme="majorHAnsi" w:hAnsiTheme="majorHAnsi" w:cstheme="majorHAnsi"/>
        </w:rPr>
      </w:pPr>
    </w:p>
    <w:sectPr w:rsidR="009D279E" w:rsidRPr="00E67CD1" w:rsidSect="00E67CD1">
      <w:headerReference w:type="default" r:id="rId8"/>
      <w:footerReference w:type="default" r:id="rId9"/>
      <w:headerReference w:type="first" r:id="rId10"/>
      <w:pgSz w:w="12240" w:h="15840"/>
      <w:pgMar w:top="1440" w:right="1080" w:bottom="1440" w:left="1080" w:header="720" w:footer="585"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A58E0" w14:textId="77777777" w:rsidR="00EE5337" w:rsidRDefault="00EE5337">
      <w:pPr>
        <w:spacing w:line="240" w:lineRule="auto"/>
      </w:pPr>
      <w:r>
        <w:separator/>
      </w:r>
    </w:p>
  </w:endnote>
  <w:endnote w:type="continuationSeparator" w:id="0">
    <w:p w14:paraId="2F8479AA" w14:textId="77777777" w:rsidR="00EE5337" w:rsidRDefault="00EE5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87E3" w14:textId="40AD02AF" w:rsidR="00C46925" w:rsidRDefault="00C46925">
    <w:pPr>
      <w:pStyle w:val="Normal1"/>
      <w:pBdr>
        <w:bottom w:val="single" w:sz="12" w:space="1" w:color="auto"/>
      </w:pBdr>
      <w:jc w:val="right"/>
      <w:rPr>
        <w:sz w:val="20"/>
      </w:rPr>
    </w:pPr>
  </w:p>
  <w:p w14:paraId="0000017C" w14:textId="0645D946" w:rsidR="00C46925" w:rsidRPr="00E67CD1" w:rsidRDefault="00C46925">
    <w:pPr>
      <w:pStyle w:val="Normal1"/>
      <w:jc w:val="right"/>
      <w:rPr>
        <w:sz w:val="20"/>
      </w:rPr>
    </w:pPr>
    <w:r w:rsidRPr="00E67CD1">
      <w:rPr>
        <w:sz w:val="20"/>
      </w:rPr>
      <w:fldChar w:fldCharType="begin"/>
    </w:r>
    <w:r w:rsidRPr="00E67CD1">
      <w:rPr>
        <w:sz w:val="20"/>
      </w:rPr>
      <w:instrText>PAGE</w:instrText>
    </w:r>
    <w:r w:rsidRPr="00E67CD1">
      <w:rPr>
        <w:sz w:val="20"/>
      </w:rPr>
      <w:fldChar w:fldCharType="separate"/>
    </w:r>
    <w:r w:rsidR="006F446D">
      <w:rPr>
        <w:noProof/>
        <w:sz w:val="20"/>
      </w:rPr>
      <w:t>19</w:t>
    </w:r>
    <w:r w:rsidRPr="00E67CD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A6EA4" w14:textId="77777777" w:rsidR="00EE5337" w:rsidRDefault="00EE5337">
      <w:pPr>
        <w:spacing w:line="240" w:lineRule="auto"/>
      </w:pPr>
      <w:r>
        <w:separator/>
      </w:r>
    </w:p>
  </w:footnote>
  <w:footnote w:type="continuationSeparator" w:id="0">
    <w:p w14:paraId="21D9D7B2" w14:textId="77777777" w:rsidR="00EE5337" w:rsidRDefault="00EE53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C82AB" w14:textId="645F5574" w:rsidR="00C46925" w:rsidRPr="00E67CD1" w:rsidRDefault="00C46925">
    <w:pPr>
      <w:pStyle w:val="Header"/>
      <w:rPr>
        <w:rFonts w:asciiTheme="majorHAnsi" w:hAnsiTheme="majorHAnsi" w:cstheme="majorHAnsi"/>
        <w:b/>
        <w:sz w:val="20"/>
      </w:rPr>
    </w:pPr>
    <w:r w:rsidRPr="00E67CD1">
      <w:rPr>
        <w:rFonts w:asciiTheme="majorHAnsi" w:hAnsiTheme="majorHAnsi" w:cstheme="majorHAnsi"/>
        <w:b/>
        <w:sz w:val="20"/>
      </w:rPr>
      <w:t>RTHS Fiscal Policies and Procedures Handbook</w:t>
    </w:r>
    <w:r w:rsidRPr="00E67CD1">
      <w:rPr>
        <w:rFonts w:asciiTheme="majorHAnsi" w:hAnsiTheme="majorHAnsi" w:cstheme="majorHAnsi"/>
        <w:b/>
        <w:noProof/>
        <w:sz w:val="20"/>
        <w:lang w:val="en-US"/>
      </w:rPr>
      <w:drawing>
        <wp:anchor distT="0" distB="0" distL="114300" distR="114300" simplePos="0" relativeHeight="251659776" behindDoc="0" locked="0" layoutInCell="1" allowOverlap="1" wp14:anchorId="4FB1FCBA" wp14:editId="51104448">
          <wp:simplePos x="0" y="0"/>
          <wp:positionH relativeFrom="column">
            <wp:posOffset>5676900</wp:posOffset>
          </wp:positionH>
          <wp:positionV relativeFrom="paragraph">
            <wp:posOffset>-219075</wp:posOffset>
          </wp:positionV>
          <wp:extent cx="638175" cy="638175"/>
          <wp:effectExtent l="38100" t="38100" r="104775" b="1047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HS Raptor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8175" cy="6381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52336" w14:textId="0AFA3835" w:rsidR="006F446D" w:rsidRDefault="00E67CD1" w:rsidP="00F71AD2">
    <w:pPr>
      <w:pStyle w:val="Header"/>
      <w:tabs>
        <w:tab w:val="clear" w:pos="4680"/>
        <w:tab w:val="center" w:pos="5040"/>
      </w:tabs>
    </w:pPr>
    <w:r w:rsidRPr="00E67CD1">
      <w:rPr>
        <w:rFonts w:asciiTheme="majorHAnsi" w:hAnsiTheme="majorHAnsi" w:cstheme="majorHAnsi"/>
        <w:b/>
        <w:noProof/>
        <w:sz w:val="20"/>
        <w:lang w:val="en-US"/>
      </w:rPr>
      <w:drawing>
        <wp:anchor distT="0" distB="0" distL="114300" distR="114300" simplePos="0" relativeHeight="251661824" behindDoc="0" locked="0" layoutInCell="1" allowOverlap="1" wp14:anchorId="3C4B0FD6" wp14:editId="0A2ED44D">
          <wp:simplePos x="0" y="0"/>
          <wp:positionH relativeFrom="margin">
            <wp:align>center</wp:align>
          </wp:positionH>
          <wp:positionV relativeFrom="paragraph">
            <wp:posOffset>-275590</wp:posOffset>
          </wp:positionV>
          <wp:extent cx="638175" cy="638175"/>
          <wp:effectExtent l="38100" t="38100" r="104775" b="1047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HS Raptor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38175" cy="6381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DDA"/>
    <w:multiLevelType w:val="multilevel"/>
    <w:tmpl w:val="4D401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A266EE"/>
    <w:multiLevelType w:val="multilevel"/>
    <w:tmpl w:val="F6ACDF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71BE6"/>
    <w:multiLevelType w:val="multilevel"/>
    <w:tmpl w:val="1D00F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5040BB"/>
    <w:multiLevelType w:val="multilevel"/>
    <w:tmpl w:val="19206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7D107E"/>
    <w:multiLevelType w:val="multilevel"/>
    <w:tmpl w:val="A934C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0A24F4"/>
    <w:multiLevelType w:val="multilevel"/>
    <w:tmpl w:val="A1D0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D86AE7"/>
    <w:multiLevelType w:val="multilevel"/>
    <w:tmpl w:val="EBB64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4387B"/>
    <w:multiLevelType w:val="multilevel"/>
    <w:tmpl w:val="118A4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C64ED8"/>
    <w:multiLevelType w:val="multilevel"/>
    <w:tmpl w:val="FCD8A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257034"/>
    <w:multiLevelType w:val="multilevel"/>
    <w:tmpl w:val="B0064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2C5AAA"/>
    <w:multiLevelType w:val="multilevel"/>
    <w:tmpl w:val="EE689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9C6B7A"/>
    <w:multiLevelType w:val="multilevel"/>
    <w:tmpl w:val="FF90D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2251957"/>
    <w:multiLevelType w:val="multilevel"/>
    <w:tmpl w:val="C5E0A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6D2F61"/>
    <w:multiLevelType w:val="multilevel"/>
    <w:tmpl w:val="D32E3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E24A99"/>
    <w:multiLevelType w:val="multilevel"/>
    <w:tmpl w:val="08CCD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59045A"/>
    <w:multiLevelType w:val="multilevel"/>
    <w:tmpl w:val="2CAE6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C94F86"/>
    <w:multiLevelType w:val="hybridMultilevel"/>
    <w:tmpl w:val="1690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07596"/>
    <w:multiLevelType w:val="multilevel"/>
    <w:tmpl w:val="85720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313F44"/>
    <w:multiLevelType w:val="multilevel"/>
    <w:tmpl w:val="C8526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897A77"/>
    <w:multiLevelType w:val="multilevel"/>
    <w:tmpl w:val="D1869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6B3092"/>
    <w:multiLevelType w:val="hybridMultilevel"/>
    <w:tmpl w:val="1F36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C076A"/>
    <w:multiLevelType w:val="multilevel"/>
    <w:tmpl w:val="24F65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EA04DE"/>
    <w:multiLevelType w:val="multilevel"/>
    <w:tmpl w:val="D60C4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2F7929"/>
    <w:multiLevelType w:val="multilevel"/>
    <w:tmpl w:val="C6F09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24638C"/>
    <w:multiLevelType w:val="multilevel"/>
    <w:tmpl w:val="91087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CB2D89"/>
    <w:multiLevelType w:val="multilevel"/>
    <w:tmpl w:val="34923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E06C20"/>
    <w:multiLevelType w:val="multilevel"/>
    <w:tmpl w:val="BA7A8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DD1E33"/>
    <w:multiLevelType w:val="multilevel"/>
    <w:tmpl w:val="634AA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ECF6C1D"/>
    <w:multiLevelType w:val="multilevel"/>
    <w:tmpl w:val="C7B04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43347EF"/>
    <w:multiLevelType w:val="multilevel"/>
    <w:tmpl w:val="C930E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44A87"/>
    <w:multiLevelType w:val="multilevel"/>
    <w:tmpl w:val="B4A4A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9302AE0"/>
    <w:multiLevelType w:val="multilevel"/>
    <w:tmpl w:val="26588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3"/>
  </w:num>
  <w:num w:numId="3">
    <w:abstractNumId w:val="3"/>
  </w:num>
  <w:num w:numId="4">
    <w:abstractNumId w:val="22"/>
  </w:num>
  <w:num w:numId="5">
    <w:abstractNumId w:val="27"/>
  </w:num>
  <w:num w:numId="6">
    <w:abstractNumId w:val="12"/>
  </w:num>
  <w:num w:numId="7">
    <w:abstractNumId w:val="19"/>
  </w:num>
  <w:num w:numId="8">
    <w:abstractNumId w:val="11"/>
  </w:num>
  <w:num w:numId="9">
    <w:abstractNumId w:val="10"/>
  </w:num>
  <w:num w:numId="10">
    <w:abstractNumId w:val="30"/>
  </w:num>
  <w:num w:numId="11">
    <w:abstractNumId w:val="15"/>
  </w:num>
  <w:num w:numId="12">
    <w:abstractNumId w:val="18"/>
  </w:num>
  <w:num w:numId="13">
    <w:abstractNumId w:val="1"/>
  </w:num>
  <w:num w:numId="14">
    <w:abstractNumId w:val="26"/>
  </w:num>
  <w:num w:numId="15">
    <w:abstractNumId w:val="14"/>
  </w:num>
  <w:num w:numId="16">
    <w:abstractNumId w:val="25"/>
  </w:num>
  <w:num w:numId="17">
    <w:abstractNumId w:val="4"/>
  </w:num>
  <w:num w:numId="18">
    <w:abstractNumId w:val="2"/>
  </w:num>
  <w:num w:numId="19">
    <w:abstractNumId w:val="7"/>
  </w:num>
  <w:num w:numId="20">
    <w:abstractNumId w:val="9"/>
  </w:num>
  <w:num w:numId="21">
    <w:abstractNumId w:val="8"/>
  </w:num>
  <w:num w:numId="22">
    <w:abstractNumId w:val="21"/>
  </w:num>
  <w:num w:numId="23">
    <w:abstractNumId w:val="5"/>
  </w:num>
  <w:num w:numId="24">
    <w:abstractNumId w:val="28"/>
  </w:num>
  <w:num w:numId="25">
    <w:abstractNumId w:val="0"/>
  </w:num>
  <w:num w:numId="26">
    <w:abstractNumId w:val="24"/>
  </w:num>
  <w:num w:numId="27">
    <w:abstractNumId w:val="17"/>
  </w:num>
  <w:num w:numId="28">
    <w:abstractNumId w:val="29"/>
  </w:num>
  <w:num w:numId="29">
    <w:abstractNumId w:val="13"/>
  </w:num>
  <w:num w:numId="30">
    <w:abstractNumId w:val="31"/>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9E"/>
    <w:rsid w:val="000C32FA"/>
    <w:rsid w:val="001010C2"/>
    <w:rsid w:val="0027168F"/>
    <w:rsid w:val="002A4E93"/>
    <w:rsid w:val="00313F92"/>
    <w:rsid w:val="006242F5"/>
    <w:rsid w:val="006E2D2C"/>
    <w:rsid w:val="006F446D"/>
    <w:rsid w:val="00762683"/>
    <w:rsid w:val="00880722"/>
    <w:rsid w:val="00991CEE"/>
    <w:rsid w:val="009D279E"/>
    <w:rsid w:val="00AF5698"/>
    <w:rsid w:val="00BA46B6"/>
    <w:rsid w:val="00C1126B"/>
    <w:rsid w:val="00C46925"/>
    <w:rsid w:val="00C701FF"/>
    <w:rsid w:val="00CB2F0A"/>
    <w:rsid w:val="00CE6D68"/>
    <w:rsid w:val="00E67CD1"/>
    <w:rsid w:val="00EE5337"/>
    <w:rsid w:val="00F71AD2"/>
    <w:rsid w:val="00FC4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67566"/>
  <w15:docId w15:val="{53B70488-2098-426A-95E1-8C2B6DB9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F5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98"/>
    <w:rPr>
      <w:rFonts w:ascii="Lucida Grande" w:hAnsi="Lucida Grande" w:cs="Lucida Grande"/>
      <w:sz w:val="18"/>
      <w:szCs w:val="18"/>
    </w:rPr>
  </w:style>
  <w:style w:type="paragraph" w:styleId="TOC1">
    <w:name w:val="toc 1"/>
    <w:basedOn w:val="Normal"/>
    <w:next w:val="Normal"/>
    <w:autoRedefine/>
    <w:uiPriority w:val="39"/>
    <w:unhideWhenUsed/>
    <w:rsid w:val="00BA46B6"/>
    <w:pPr>
      <w:tabs>
        <w:tab w:val="right" w:pos="10070"/>
      </w:tabs>
      <w:spacing w:before="120" w:line="240" w:lineRule="auto"/>
    </w:pPr>
  </w:style>
  <w:style w:type="paragraph" w:styleId="TOC2">
    <w:name w:val="toc 2"/>
    <w:basedOn w:val="Normal"/>
    <w:next w:val="Normal"/>
    <w:autoRedefine/>
    <w:uiPriority w:val="39"/>
    <w:unhideWhenUsed/>
    <w:rsid w:val="00C701FF"/>
    <w:pPr>
      <w:spacing w:after="100"/>
      <w:ind w:left="220"/>
    </w:pPr>
  </w:style>
  <w:style w:type="character" w:styleId="Hyperlink">
    <w:name w:val="Hyperlink"/>
    <w:basedOn w:val="DefaultParagraphFont"/>
    <w:uiPriority w:val="99"/>
    <w:unhideWhenUsed/>
    <w:rsid w:val="00C701FF"/>
    <w:rPr>
      <w:color w:val="0000FF" w:themeColor="hyperlink"/>
      <w:u w:val="single"/>
    </w:rPr>
  </w:style>
  <w:style w:type="paragraph" w:styleId="Header">
    <w:name w:val="header"/>
    <w:basedOn w:val="Normal"/>
    <w:link w:val="HeaderChar"/>
    <w:uiPriority w:val="99"/>
    <w:unhideWhenUsed/>
    <w:rsid w:val="00C701FF"/>
    <w:pPr>
      <w:tabs>
        <w:tab w:val="center" w:pos="4680"/>
        <w:tab w:val="right" w:pos="9360"/>
      </w:tabs>
      <w:spacing w:line="240" w:lineRule="auto"/>
    </w:pPr>
  </w:style>
  <w:style w:type="character" w:customStyle="1" w:styleId="HeaderChar">
    <w:name w:val="Header Char"/>
    <w:basedOn w:val="DefaultParagraphFont"/>
    <w:link w:val="Header"/>
    <w:uiPriority w:val="99"/>
    <w:rsid w:val="00C701FF"/>
  </w:style>
  <w:style w:type="paragraph" w:styleId="Footer">
    <w:name w:val="footer"/>
    <w:basedOn w:val="Normal"/>
    <w:link w:val="FooterChar"/>
    <w:uiPriority w:val="99"/>
    <w:unhideWhenUsed/>
    <w:rsid w:val="00C701FF"/>
    <w:pPr>
      <w:tabs>
        <w:tab w:val="center" w:pos="4680"/>
        <w:tab w:val="right" w:pos="9360"/>
      </w:tabs>
      <w:spacing w:line="240" w:lineRule="auto"/>
    </w:pPr>
  </w:style>
  <w:style w:type="character" w:customStyle="1" w:styleId="FooterChar">
    <w:name w:val="Footer Char"/>
    <w:basedOn w:val="DefaultParagraphFont"/>
    <w:link w:val="Footer"/>
    <w:uiPriority w:val="99"/>
    <w:rsid w:val="00C7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1629-F9A1-4596-B9EA-62FC1982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Contemporary Science Center</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Gary R (US)</dc:creator>
  <cp:keywords>Unrestricted</cp:keywords>
  <cp:lastModifiedBy>Carmen</cp:lastModifiedBy>
  <cp:revision>2</cp:revision>
  <cp:lastPrinted>2019-03-19T22:08:00Z</cp:lastPrinted>
  <dcterms:created xsi:type="dcterms:W3CDTF">2021-11-23T21:13:00Z</dcterms:created>
  <dcterms:modified xsi:type="dcterms:W3CDTF">2021-11-23T21:13:00Z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ACCT04\grodgers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