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2408" w14:textId="77777777" w:rsidR="00324271" w:rsidRDefault="00524BAD">
      <w:r>
        <w:t>California Department of Education</w:t>
      </w:r>
      <w:r>
        <w:br/>
        <w:t>March 2021</w:t>
      </w:r>
    </w:p>
    <w:p w14:paraId="0F061A14" w14:textId="77777777" w:rsidR="00324271" w:rsidRDefault="00524BAD">
      <w:pPr>
        <w:pStyle w:val="Heading1"/>
        <w:spacing w:before="360" w:after="240"/>
      </w:pPr>
      <w:bookmarkStart w:id="0" w:name="_heading=h.gjdgxs" w:colFirst="0" w:colLast="0"/>
      <w:bookmarkEnd w:id="0"/>
      <w:r>
        <w:t>Expanded Learning Opportunities Grant Plan</w:t>
      </w:r>
    </w:p>
    <w:tbl>
      <w:tblPr>
        <w:tblStyle w:val="a3"/>
        <w:tblW w:w="14389"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00" w:firstRow="0" w:lastRow="0" w:firstColumn="0" w:lastColumn="0" w:noHBand="0" w:noVBand="1"/>
      </w:tblPr>
      <w:tblGrid>
        <w:gridCol w:w="5292"/>
        <w:gridCol w:w="5309"/>
        <w:gridCol w:w="3788"/>
      </w:tblGrid>
      <w:tr w:rsidR="00324271" w14:paraId="6CF703DD" w14:textId="77777777">
        <w:trPr>
          <w:trHeight w:val="650"/>
        </w:trPr>
        <w:tc>
          <w:tcPr>
            <w:tcW w:w="5293" w:type="dxa"/>
            <w:shd w:val="clear" w:color="auto" w:fill="FFFF79"/>
            <w:vAlign w:val="center"/>
          </w:tcPr>
          <w:p w14:paraId="78233C91" w14:textId="77777777" w:rsidR="00324271" w:rsidRDefault="00524BAD">
            <w:pPr>
              <w:tabs>
                <w:tab w:val="left" w:pos="5093"/>
              </w:tabs>
              <w:rPr>
                <w:b/>
                <w:color w:val="000000"/>
              </w:rPr>
            </w:pPr>
            <w:r>
              <w:rPr>
                <w:b/>
                <w:color w:val="000000"/>
              </w:rPr>
              <w:t>Local Educational Agency (LEA) Name</w:t>
            </w:r>
          </w:p>
        </w:tc>
        <w:tc>
          <w:tcPr>
            <w:tcW w:w="5309" w:type="dxa"/>
            <w:shd w:val="clear" w:color="auto" w:fill="FFFF79"/>
            <w:vAlign w:val="center"/>
          </w:tcPr>
          <w:p w14:paraId="7AD77591" w14:textId="77777777" w:rsidR="00324271" w:rsidRDefault="00524BAD">
            <w:pPr>
              <w:tabs>
                <w:tab w:val="left" w:pos="5093"/>
              </w:tabs>
              <w:rPr>
                <w:b/>
                <w:color w:val="000000"/>
              </w:rPr>
            </w:pPr>
            <w:r>
              <w:rPr>
                <w:b/>
                <w:color w:val="000000"/>
              </w:rPr>
              <w:t>Contact Name and Title</w:t>
            </w:r>
          </w:p>
        </w:tc>
        <w:tc>
          <w:tcPr>
            <w:tcW w:w="3788" w:type="dxa"/>
            <w:shd w:val="clear" w:color="auto" w:fill="FFFF79"/>
            <w:vAlign w:val="center"/>
          </w:tcPr>
          <w:p w14:paraId="36C63549" w14:textId="77777777" w:rsidR="00324271" w:rsidRDefault="00524BAD">
            <w:pPr>
              <w:tabs>
                <w:tab w:val="left" w:pos="5093"/>
              </w:tabs>
              <w:rPr>
                <w:b/>
                <w:color w:val="000000"/>
              </w:rPr>
            </w:pPr>
            <w:r>
              <w:rPr>
                <w:b/>
                <w:color w:val="000000"/>
              </w:rPr>
              <w:t>Email and Phone</w:t>
            </w:r>
          </w:p>
        </w:tc>
      </w:tr>
      <w:tr w:rsidR="00324271" w14:paraId="7D9D46AD" w14:textId="77777777">
        <w:trPr>
          <w:trHeight w:val="770"/>
        </w:trPr>
        <w:tc>
          <w:tcPr>
            <w:tcW w:w="5293" w:type="dxa"/>
            <w:shd w:val="clear" w:color="auto" w:fill="auto"/>
            <w:vAlign w:val="center"/>
          </w:tcPr>
          <w:p w14:paraId="5B5C2706" w14:textId="39FBA336" w:rsidR="00324271" w:rsidRDefault="00F17A55">
            <w:pPr>
              <w:tabs>
                <w:tab w:val="left" w:pos="5093"/>
              </w:tabs>
              <w:rPr>
                <w:color w:val="000000"/>
              </w:rPr>
            </w:pPr>
            <w:r>
              <w:rPr>
                <w:color w:val="000000"/>
              </w:rPr>
              <w:t>Encore Jr/Sr. High School for the Performing &amp; Visual Arts</w:t>
            </w:r>
          </w:p>
        </w:tc>
        <w:tc>
          <w:tcPr>
            <w:tcW w:w="5309" w:type="dxa"/>
            <w:shd w:val="clear" w:color="auto" w:fill="auto"/>
            <w:vAlign w:val="center"/>
          </w:tcPr>
          <w:p w14:paraId="79520730" w14:textId="25C90139" w:rsidR="00324271" w:rsidRDefault="00F17A55">
            <w:pPr>
              <w:tabs>
                <w:tab w:val="left" w:pos="5093"/>
              </w:tabs>
              <w:rPr>
                <w:color w:val="000000"/>
              </w:rPr>
            </w:pPr>
            <w:r>
              <w:rPr>
                <w:color w:val="000000"/>
              </w:rPr>
              <w:t>Denise Griffin, CEO/Executive Director</w:t>
            </w:r>
          </w:p>
        </w:tc>
        <w:tc>
          <w:tcPr>
            <w:tcW w:w="3788" w:type="dxa"/>
            <w:shd w:val="clear" w:color="auto" w:fill="auto"/>
            <w:vAlign w:val="center"/>
          </w:tcPr>
          <w:p w14:paraId="7ACF4BD6" w14:textId="694E7DFD" w:rsidR="00324271" w:rsidRDefault="00F17A55">
            <w:pPr>
              <w:tabs>
                <w:tab w:val="left" w:pos="5093"/>
              </w:tabs>
              <w:rPr>
                <w:color w:val="000000"/>
              </w:rPr>
            </w:pPr>
            <w:hyperlink r:id="rId8" w:history="1">
              <w:r w:rsidRPr="001D1761">
                <w:rPr>
                  <w:rStyle w:val="Hyperlink"/>
                </w:rPr>
                <w:t>dg@officerteam.com</w:t>
              </w:r>
            </w:hyperlink>
            <w:r>
              <w:rPr>
                <w:color w:val="000000"/>
              </w:rPr>
              <w:t xml:space="preserve"> / </w:t>
            </w:r>
            <w:r>
              <w:rPr>
                <w:color w:val="000000"/>
              </w:rPr>
              <w:br/>
              <w:t>760-949-2036</w:t>
            </w:r>
          </w:p>
        </w:tc>
      </w:tr>
    </w:tbl>
    <w:p w14:paraId="15AD5775" w14:textId="77777777" w:rsidR="00324271" w:rsidRDefault="00524BAD">
      <w:pPr>
        <w:spacing w:before="120" w:after="120"/>
        <w:rPr>
          <w:color w:val="000000"/>
        </w:rPr>
      </w:pPr>
      <w:r>
        <w:rPr>
          <w:color w:val="000000"/>
        </w:rPr>
        <w:t>The following is the local educational agency’s (LEA’s) plan for providing supplemental instruction and support to students, including those identified as needing academic, social-emotional, and other supports, including the provision of meals and snacks. The plan will explain how the LEA will use the funds it receives through the Expanded Learning Opportunities (ELO) Grant to implement a learning recovery program for at least the students included in one or more of the following groups: low-income students, English learners, foster youth, homeless students, students with disabilities, students at risk of abuse, neglect, or exploitation, disengaged students, and students who are below grade level, including, but not limited to, those who did not enroll in kindergarten in the 2020–21 school year, credit-deficient students, high school students at risk of not graduating, and other students identified by certificated staff.</w:t>
      </w:r>
    </w:p>
    <w:p w14:paraId="3600D9AE" w14:textId="77777777" w:rsidR="00324271" w:rsidRDefault="00524BAD">
      <w:pPr>
        <w:spacing w:before="120" w:after="120"/>
        <w:rPr>
          <w:color w:val="000000"/>
        </w:rPr>
      </w:pPr>
      <w:r>
        <w:rPr>
          <w:color w:val="000000"/>
        </w:rPr>
        <w:t>For specific requirements please refer to the Expanded Learning Opportunities Grant Plan Instructions.</w:t>
      </w:r>
    </w:p>
    <w:p w14:paraId="59ABA833" w14:textId="77777777" w:rsidR="00324271" w:rsidRDefault="00524BAD">
      <w:pPr>
        <w:pStyle w:val="Heading2"/>
      </w:pPr>
      <w:r>
        <w:t>Plan Descriptions</w:t>
      </w:r>
    </w:p>
    <w:p w14:paraId="29608B03" w14:textId="77777777" w:rsidR="00324271" w:rsidRDefault="00524BAD">
      <w:pPr>
        <w:spacing w:before="240" w:after="60"/>
        <w:rPr>
          <w:color w:val="000000"/>
        </w:rPr>
      </w:pPr>
      <w:bookmarkStart w:id="1" w:name="_heading=h.30j0zll" w:colFirst="0" w:colLast="0"/>
      <w:bookmarkEnd w:id="1"/>
      <w:r>
        <w:rPr>
          <w:color w:val="000000"/>
        </w:rPr>
        <w:t>A description of how parents, teachers, and school staff were involved in the development of the plan.</w:t>
      </w:r>
    </w:p>
    <w:p w14:paraId="77C1CDCD" w14:textId="66D617D0" w:rsidR="00324271" w:rsidRDefault="00F17A55" w:rsidP="003507DF">
      <w:pPr>
        <w:pBdr>
          <w:top w:val="single" w:sz="4" w:space="6" w:color="806000"/>
          <w:left w:val="single" w:sz="4" w:space="4" w:color="806000"/>
          <w:bottom w:val="single" w:sz="4" w:space="6" w:color="806000"/>
          <w:right w:val="single" w:sz="4" w:space="4" w:color="806000"/>
        </w:pBdr>
        <w:shd w:val="clear" w:color="auto" w:fill="FFFF79"/>
        <w:spacing w:after="120"/>
      </w:pPr>
      <w:r>
        <w:t xml:space="preserve">Encore is an independent charter authorized by Hesperia Unified School District.  The school staff and leadership team engaged stakeholders through various opportunities to gather input in building the Expanded Learning Opportunity ELO plan.  There was a review of schoolwide performance based on </w:t>
      </w:r>
      <w:r w:rsidR="003507DF">
        <w:t xml:space="preserve">benchmark data administered by NWEA to identify the highest levels of need throughout the campus.  Special attention was given to English Learners, and special education students that have not taken advantage of the </w:t>
      </w:r>
      <w:proofErr w:type="gramStart"/>
      <w:r w:rsidR="003507DF">
        <w:t>on campus</w:t>
      </w:r>
      <w:proofErr w:type="gramEnd"/>
      <w:r w:rsidR="003507DF">
        <w:t xml:space="preserve"> opportunities for learning this year. Over the last 6 months, Encore has collected data form a variety of methods including professional </w:t>
      </w:r>
      <w:proofErr w:type="gramStart"/>
      <w:r w:rsidR="003507DF">
        <w:t>third party</w:t>
      </w:r>
      <w:proofErr w:type="gramEnd"/>
      <w:r w:rsidR="003507DF">
        <w:t xml:space="preserve"> consultants, parent and student surveys, weekly professional development meeting with teachers and administrative meetings. </w:t>
      </w:r>
    </w:p>
    <w:p w14:paraId="37CD5D67" w14:textId="77777777" w:rsidR="00D548BF" w:rsidRDefault="00D548BF">
      <w:pPr>
        <w:spacing w:before="240" w:after="60"/>
        <w:rPr>
          <w:color w:val="000000"/>
        </w:rPr>
      </w:pPr>
    </w:p>
    <w:p w14:paraId="751AC22D" w14:textId="77777777" w:rsidR="00D548BF" w:rsidRDefault="00D548BF">
      <w:pPr>
        <w:spacing w:before="240" w:after="60"/>
        <w:rPr>
          <w:color w:val="000000"/>
        </w:rPr>
      </w:pPr>
    </w:p>
    <w:p w14:paraId="610117E6" w14:textId="5C84FE40" w:rsidR="00324271" w:rsidRDefault="00524BAD">
      <w:pPr>
        <w:spacing w:before="240" w:after="60"/>
        <w:rPr>
          <w:color w:val="000000"/>
        </w:rPr>
      </w:pPr>
      <w:r>
        <w:rPr>
          <w:color w:val="000000"/>
        </w:rPr>
        <w:lastRenderedPageBreak/>
        <w:t xml:space="preserve">A description of how </w:t>
      </w:r>
      <w:r>
        <w:t xml:space="preserve">students will be </w:t>
      </w:r>
      <w:proofErr w:type="gramStart"/>
      <w:r>
        <w:t>identified</w:t>
      </w:r>
      <w:proofErr w:type="gramEnd"/>
      <w:r>
        <w:t xml:space="preserve"> and </w:t>
      </w:r>
      <w:r>
        <w:rPr>
          <w:color w:val="000000"/>
        </w:rPr>
        <w:t xml:space="preserve">the needs of students will be assessed.  </w:t>
      </w:r>
    </w:p>
    <w:p w14:paraId="2360AC74" w14:textId="36E679BE" w:rsidR="003507DF" w:rsidRDefault="003507DF">
      <w:pPr>
        <w:pBdr>
          <w:top w:val="single" w:sz="4" w:space="6" w:color="806000"/>
          <w:left w:val="single" w:sz="4" w:space="4" w:color="806000"/>
          <w:bottom w:val="single" w:sz="4" w:space="6" w:color="806000"/>
          <w:right w:val="single" w:sz="4" w:space="4" w:color="806000"/>
        </w:pBdr>
        <w:shd w:val="clear" w:color="auto" w:fill="FFFF79"/>
        <w:spacing w:after="120"/>
      </w:pPr>
      <w:r>
        <w:t xml:space="preserve">Encore is using resources to promote learning opportunities for the entire learning community including direct contact via </w:t>
      </w:r>
      <w:proofErr w:type="spellStart"/>
      <w:r>
        <w:t>emal</w:t>
      </w:r>
      <w:proofErr w:type="spellEnd"/>
      <w:r>
        <w:t xml:space="preserve"> and phone call, social media, all call text and phone calls, web postings, blogs, and mass email communication while teachers and counselors have been reaching out to parents and students.  </w:t>
      </w:r>
      <w:r w:rsidR="00524BAD">
        <w:t xml:space="preserve">The team will utilize MAP/NWEA data, individual formative assessments, and parent or educational coordinator learning data to align students with needs to </w:t>
      </w:r>
      <w:proofErr w:type="gramStart"/>
      <w:r w:rsidR="00524BAD">
        <w:t>planned</w:t>
      </w:r>
      <w:proofErr w:type="gramEnd"/>
      <w:r w:rsidR="00524BAD">
        <w:t xml:space="preserve"> additional opportunities.  </w:t>
      </w:r>
      <w:r>
        <w:t xml:space="preserve">Students with Ds or Fs in the 20/21 school year have been encouraged to attend in person and distance learning summer school to be able to work on catching up for the fall.  Teachers will monitor student growth through </w:t>
      </w:r>
      <w:proofErr w:type="gramStart"/>
      <w:r>
        <w:t>NWEA</w:t>
      </w:r>
      <w:proofErr w:type="gramEnd"/>
      <w:r>
        <w:t xml:space="preserve"> and class based formative assessments to follow growth. Results of the support will be shared with learning teams throughout the school year to help create appropriate action plans for individual support. </w:t>
      </w:r>
    </w:p>
    <w:p w14:paraId="23E8DC31" w14:textId="77777777" w:rsidR="00324271" w:rsidRDefault="00524BAD">
      <w:pPr>
        <w:spacing w:before="240" w:after="60"/>
        <w:rPr>
          <w:color w:val="000000"/>
        </w:rPr>
      </w:pPr>
      <w:bookmarkStart w:id="2" w:name="_heading=h.1fob9te" w:colFirst="0" w:colLast="0"/>
      <w:bookmarkEnd w:id="2"/>
      <w:r>
        <w:rPr>
          <w:color w:val="000000"/>
        </w:rPr>
        <w:t>A description of how parents and guardians of students will be informed of the opportunities for supplemental instruction and support.</w:t>
      </w:r>
    </w:p>
    <w:p w14:paraId="3754001F" w14:textId="60149284" w:rsidR="00324271" w:rsidRDefault="003507DF">
      <w:pPr>
        <w:pBdr>
          <w:top w:val="single" w:sz="4" w:space="6" w:color="806000"/>
          <w:left w:val="single" w:sz="4" w:space="4" w:color="806000"/>
          <w:bottom w:val="single" w:sz="4" w:space="6" w:color="806000"/>
          <w:right w:val="single" w:sz="4" w:space="4" w:color="806000"/>
        </w:pBdr>
        <w:shd w:val="clear" w:color="auto" w:fill="FFFF79"/>
        <w:spacing w:after="120"/>
      </w:pPr>
      <w:r>
        <w:t xml:space="preserve">Encore </w:t>
      </w:r>
      <w:r w:rsidR="00524BAD">
        <w:t xml:space="preserve">will use all communication resources available to promote the available learning opportunities and support to parents, guardians and students including the broader learning community.  The information will be posted on the school website under a section dedicated to additional resources and support through Extended Learning Opportunities. Parents and students will receive emails, phone calls and texts along with general paper notifications, and through </w:t>
      </w:r>
      <w:r>
        <w:t xml:space="preserve">Encore social media sites.  Teachers use email blasts and counselors hold frequent meetings for students and quarterly meetings for parents. </w:t>
      </w:r>
    </w:p>
    <w:p w14:paraId="2C957835" w14:textId="77777777" w:rsidR="00324271" w:rsidRDefault="00524BAD">
      <w:pPr>
        <w:spacing w:before="240" w:after="60"/>
      </w:pPr>
      <w:bookmarkStart w:id="3" w:name="_heading=h.3znysh7" w:colFirst="0" w:colLast="0"/>
      <w:bookmarkEnd w:id="3"/>
      <w:r>
        <w:rPr>
          <w:color w:val="000000"/>
        </w:rPr>
        <w:t xml:space="preserve">A description of the LEA’s plan to provide supplemental instruction and support. </w:t>
      </w:r>
    </w:p>
    <w:p w14:paraId="5EA81C37" w14:textId="715AA60F" w:rsidR="003507DF" w:rsidRDefault="00524BAD">
      <w:pPr>
        <w:pBdr>
          <w:top w:val="single" w:sz="4" w:space="6" w:color="806000"/>
          <w:left w:val="single" w:sz="4" w:space="4" w:color="806000"/>
          <w:bottom w:val="single" w:sz="4" w:space="6" w:color="806000"/>
          <w:right w:val="single" w:sz="4" w:space="4" w:color="806000"/>
        </w:pBdr>
        <w:shd w:val="clear" w:color="auto" w:fill="FFFF79"/>
        <w:spacing w:after="120"/>
      </w:pPr>
      <w:r>
        <w:t>1.</w:t>
      </w:r>
      <w:r w:rsidR="003507DF">
        <w:t xml:space="preserve"> Encore will provide two new SPED Aides to specifically work with the SPED population to mitigate learning loss.  The two new SPED Aide positions are temporary for one year to work to fill gaps created by COVID learning loss. </w:t>
      </w:r>
    </w:p>
    <w:p w14:paraId="3DA18B1B" w14:textId="65B12E9A"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 xml:space="preserve">2. Encore will provide two new Instructional Aides to specifically work with junior high students on “push in and pull out” remediation Monday through Thursday for the 21/22 school year.  These positions are temporary for one year to work to fill gaps created by COVID learning loss. </w:t>
      </w:r>
    </w:p>
    <w:p w14:paraId="5955A49C" w14:textId="4C374569"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3. Encore will provide in person summer school for some courses and other courses will be offered online through the summer.</w:t>
      </w:r>
    </w:p>
    <w:p w14:paraId="7F6EB42B" w14:textId="6957BDB3"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t>a. In person summer school is offered for two full weeks, (9am – 3pm) with a student taking one course for the two full weeks.</w:t>
      </w:r>
    </w:p>
    <w:p w14:paraId="66156167" w14:textId="7D059D40"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t>b. Online summer school is offered for the entire summer with students required to meet with their coordinator once per week.</w:t>
      </w:r>
    </w:p>
    <w:p w14:paraId="5B6E9AFB" w14:textId="4AF420F1"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t xml:space="preserve">c. Students wishing to make up part of their grade will also be given summer project assignments that can improve their grade.  </w:t>
      </w:r>
    </w:p>
    <w:p w14:paraId="12A0A6D4" w14:textId="52A83338"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r>
      <w:r>
        <w:tab/>
        <w:t>One summer project per course up to a 15% grade improvement.</w:t>
      </w:r>
    </w:p>
    <w:p w14:paraId="19C1BB4B" w14:textId="5E8A54A8"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t>d. 8 teachers are providing summer school in person for a total enrollment opportunity of 280 students.</w:t>
      </w:r>
    </w:p>
    <w:p w14:paraId="7BDE98BB" w14:textId="27C1B1F6"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ab/>
        <w:t>e. Online summer school is available for 35 students.</w:t>
      </w:r>
    </w:p>
    <w:p w14:paraId="4CD4E770" w14:textId="1E886BD7" w:rsidR="00870824"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lastRenderedPageBreak/>
        <w:t>4. Encore has changed Friday schedules to include morning remediation, testing, and support help for students prior to lunch for all students.  After lunch, PBL will be offered to the entire campus to work on specific needs based on CTE and benchmark results.  Students will work on projects and/or “push in/pull out” remediation and tutoring.</w:t>
      </w:r>
    </w:p>
    <w:p w14:paraId="4C1BD9E0" w14:textId="77777777" w:rsidR="007F75F6" w:rsidRDefault="00870824">
      <w:pPr>
        <w:pBdr>
          <w:top w:val="single" w:sz="4" w:space="6" w:color="806000"/>
          <w:left w:val="single" w:sz="4" w:space="4" w:color="806000"/>
          <w:bottom w:val="single" w:sz="4" w:space="6" w:color="806000"/>
          <w:right w:val="single" w:sz="4" w:space="4" w:color="806000"/>
        </w:pBdr>
        <w:shd w:val="clear" w:color="auto" w:fill="FFFF79"/>
        <w:spacing w:after="120"/>
      </w:pPr>
      <w:r>
        <w:t xml:space="preserve">5. Encore is realigning the counseling department to include two intern counselors. </w:t>
      </w:r>
      <w:r w:rsidR="007F75F6">
        <w:t xml:space="preserve">The interns will work directly with the counseling department to build social emotional support for students including academic supports, CTE completion and </w:t>
      </w:r>
      <w:proofErr w:type="gramStart"/>
      <w:r w:rsidR="007F75F6">
        <w:t>work based</w:t>
      </w:r>
      <w:proofErr w:type="gramEnd"/>
      <w:r w:rsidR="007F75F6">
        <w:t xml:space="preserve"> learning, focused goals, and any other areas that will improve student social and academic growth</w:t>
      </w:r>
      <w:r w:rsidR="00524BAD">
        <w:t>.</w:t>
      </w:r>
    </w:p>
    <w:p w14:paraId="2AFA02ED" w14:textId="5AD409C9" w:rsidR="00324271" w:rsidRDefault="007F75F6">
      <w:pPr>
        <w:pBdr>
          <w:top w:val="single" w:sz="4" w:space="6" w:color="806000"/>
          <w:left w:val="single" w:sz="4" w:space="4" w:color="806000"/>
          <w:bottom w:val="single" w:sz="4" w:space="6" w:color="806000"/>
          <w:right w:val="single" w:sz="4" w:space="4" w:color="806000"/>
        </w:pBdr>
        <w:shd w:val="clear" w:color="auto" w:fill="FFFF79"/>
        <w:spacing w:after="120"/>
      </w:pPr>
      <w:r>
        <w:t xml:space="preserve">6. Instructional staff will receive training provided by internal and external resources in the areas of targeted growth/improvement, SEL, and data analysis.  Workshops will be available to students and parents to help improve academic success.  </w:t>
      </w:r>
      <w:r w:rsidR="00524BAD">
        <w:t xml:space="preserve"> </w:t>
      </w:r>
    </w:p>
    <w:p w14:paraId="41AE8CD7" w14:textId="0EEA2578" w:rsidR="007F75F6" w:rsidRDefault="007F75F6">
      <w:pPr>
        <w:pBdr>
          <w:top w:val="single" w:sz="4" w:space="6" w:color="806000"/>
          <w:left w:val="single" w:sz="4" w:space="4" w:color="806000"/>
          <w:bottom w:val="single" w:sz="4" w:space="6" w:color="806000"/>
          <w:right w:val="single" w:sz="4" w:space="4" w:color="806000"/>
        </w:pBdr>
        <w:shd w:val="clear" w:color="auto" w:fill="FFFF79"/>
        <w:spacing w:after="120"/>
      </w:pPr>
      <w:r>
        <w:t xml:space="preserve">7. Updated curriculum – Encore is working to adopt new curriculum in Math and English to help improve </w:t>
      </w:r>
      <w:proofErr w:type="gramStart"/>
      <w:r>
        <w:t>technology based</w:t>
      </w:r>
      <w:proofErr w:type="gramEnd"/>
      <w:r>
        <w:t xml:space="preserve"> education and remediation opportunities for students. </w:t>
      </w:r>
    </w:p>
    <w:p w14:paraId="74513DAA" w14:textId="77777777" w:rsidR="00324271" w:rsidRDefault="00324271"/>
    <w:p w14:paraId="6BB7A32F" w14:textId="77777777" w:rsidR="00324271" w:rsidRDefault="00324271"/>
    <w:p w14:paraId="7EFC28CC" w14:textId="77777777" w:rsidR="00324271" w:rsidRDefault="00524BAD">
      <w:pPr>
        <w:pStyle w:val="Heading2"/>
      </w:pPr>
      <w:r>
        <w:t>Expenditure Plan</w:t>
      </w:r>
    </w:p>
    <w:p w14:paraId="2AB61B83" w14:textId="77777777" w:rsidR="00324271" w:rsidRDefault="00524BAD">
      <w:pPr>
        <w:spacing w:before="120" w:after="120"/>
        <w:rPr>
          <w:color w:val="000000"/>
        </w:rPr>
      </w:pPr>
      <w:r>
        <w:rPr>
          <w:color w:val="000000"/>
        </w:rPr>
        <w:t xml:space="preserve">The following table provides the LEA’s expenditure plan for how it will use ELO Grant funds to support the </w:t>
      </w:r>
      <w:r>
        <w:t>supplemental instruction and support strategies being implemented by the LEA</w:t>
      </w:r>
      <w:r>
        <w:rPr>
          <w:color w:val="000000"/>
        </w:rPr>
        <w:t>.</w:t>
      </w:r>
    </w:p>
    <w:tbl>
      <w:tblPr>
        <w:tblStyle w:val="a4"/>
        <w:tblW w:w="14390"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A0" w:firstRow="1" w:lastRow="0" w:firstColumn="1" w:lastColumn="0" w:noHBand="0" w:noVBand="1"/>
      </w:tblPr>
      <w:tblGrid>
        <w:gridCol w:w="8185"/>
        <w:gridCol w:w="3059"/>
        <w:gridCol w:w="3146"/>
      </w:tblGrid>
      <w:tr w:rsidR="00324271" w14:paraId="22EFC01E" w14:textId="77777777" w:rsidTr="00324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bottom w:val="nil"/>
            </w:tcBorders>
            <w:shd w:val="clear" w:color="auto" w:fill="FFFF79"/>
          </w:tcPr>
          <w:p w14:paraId="274A3EBE" w14:textId="77777777" w:rsidR="00324271" w:rsidRDefault="00524BAD">
            <w:pPr>
              <w:spacing w:before="60" w:after="60"/>
              <w:rPr>
                <w:color w:val="000000"/>
              </w:rPr>
            </w:pPr>
            <w:r>
              <w:rPr>
                <w:color w:val="000000"/>
              </w:rPr>
              <w:t>Supplemental Instruction and Support Strategies</w:t>
            </w:r>
          </w:p>
        </w:tc>
        <w:tc>
          <w:tcPr>
            <w:tcW w:w="3059" w:type="dxa"/>
            <w:tcBorders>
              <w:bottom w:val="nil"/>
            </w:tcBorders>
            <w:shd w:val="clear" w:color="auto" w:fill="FFFF79"/>
          </w:tcPr>
          <w:p w14:paraId="6655C3CE" w14:textId="77777777" w:rsidR="00324271" w:rsidRDefault="00524BAD">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Planned Expenditures</w:t>
            </w:r>
          </w:p>
        </w:tc>
        <w:tc>
          <w:tcPr>
            <w:tcW w:w="3146" w:type="dxa"/>
            <w:tcBorders>
              <w:bottom w:val="nil"/>
            </w:tcBorders>
            <w:shd w:val="clear" w:color="auto" w:fill="FFFF79"/>
          </w:tcPr>
          <w:p w14:paraId="0345AC4D" w14:textId="77777777" w:rsidR="00324271" w:rsidRDefault="00524BAD">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Actual Expenditures</w:t>
            </w:r>
          </w:p>
        </w:tc>
      </w:tr>
      <w:tr w:rsidR="00324271" w14:paraId="55E3D6DC"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tcPr>
          <w:p w14:paraId="62AA16F1" w14:textId="683DC7E8" w:rsidR="00324271" w:rsidRDefault="007F75F6">
            <w:pPr>
              <w:spacing w:before="60" w:after="60"/>
              <w:rPr>
                <w:color w:val="000000"/>
              </w:rPr>
            </w:pPr>
            <w:r>
              <w:rPr>
                <w:b w:val="0"/>
                <w:color w:val="000000"/>
              </w:rPr>
              <w:t>Additional Instructional Aides (2xSPED / 2xjunior high)</w:t>
            </w:r>
          </w:p>
        </w:tc>
        <w:tc>
          <w:tcPr>
            <w:tcW w:w="3059" w:type="dxa"/>
          </w:tcPr>
          <w:p w14:paraId="323EF671" w14:textId="29871A66"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120,000</w:t>
            </w:r>
          </w:p>
        </w:tc>
        <w:tc>
          <w:tcPr>
            <w:tcW w:w="3146" w:type="dxa"/>
          </w:tcPr>
          <w:p w14:paraId="34810D31"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bookmarkStart w:id="4" w:name="_heading=h.2et92p0" w:colFirst="0" w:colLast="0"/>
            <w:bookmarkEnd w:id="4"/>
            <w:r>
              <w:rPr>
                <w:color w:val="000000"/>
              </w:rPr>
              <w:t>[Actual expenditures will be provided when available]</w:t>
            </w:r>
          </w:p>
        </w:tc>
      </w:tr>
      <w:tr w:rsidR="00324271" w14:paraId="2370C12D"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14:paraId="20B68965" w14:textId="434DAF74" w:rsidR="00324271" w:rsidRDefault="007F75F6">
            <w:pPr>
              <w:spacing w:before="60" w:after="60"/>
              <w:rPr>
                <w:color w:val="000000"/>
              </w:rPr>
            </w:pPr>
            <w:r>
              <w:rPr>
                <w:b w:val="0"/>
                <w:color w:val="000000"/>
              </w:rPr>
              <w:t>Summer School Teachers</w:t>
            </w:r>
          </w:p>
        </w:tc>
        <w:tc>
          <w:tcPr>
            <w:tcW w:w="3059" w:type="dxa"/>
            <w:shd w:val="clear" w:color="auto" w:fill="FFFFC9"/>
          </w:tcPr>
          <w:p w14:paraId="15C1A882" w14:textId="0927E6F5"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40,000</w:t>
            </w:r>
          </w:p>
        </w:tc>
        <w:tc>
          <w:tcPr>
            <w:tcW w:w="3146" w:type="dxa"/>
            <w:shd w:val="clear" w:color="auto" w:fill="FFFFC9"/>
          </w:tcPr>
          <w:p w14:paraId="416A3B46"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324271" w14:paraId="0F92BAF1"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tcPr>
          <w:p w14:paraId="37AF9F89" w14:textId="1F93A7A5" w:rsidR="00324271" w:rsidRDefault="007F75F6">
            <w:pPr>
              <w:spacing w:before="60" w:after="60"/>
              <w:rPr>
                <w:color w:val="000000"/>
              </w:rPr>
            </w:pPr>
            <w:r>
              <w:rPr>
                <w:b w:val="0"/>
                <w:color w:val="000000"/>
              </w:rPr>
              <w:t>Integrated student supports for tutoring and Friday remediations</w:t>
            </w:r>
          </w:p>
        </w:tc>
        <w:tc>
          <w:tcPr>
            <w:tcW w:w="3059" w:type="dxa"/>
          </w:tcPr>
          <w:p w14:paraId="6788097C" w14:textId="10F69F57"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30,000</w:t>
            </w:r>
          </w:p>
        </w:tc>
        <w:tc>
          <w:tcPr>
            <w:tcW w:w="3146" w:type="dxa"/>
          </w:tcPr>
          <w:p w14:paraId="68E0B528"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324271" w14:paraId="2F91A391"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14:paraId="0B1A6940" w14:textId="3640D43C" w:rsidR="00324271" w:rsidRDefault="007F75F6">
            <w:pPr>
              <w:spacing w:before="60" w:after="60"/>
              <w:rPr>
                <w:color w:val="000000"/>
              </w:rPr>
            </w:pPr>
            <w:r>
              <w:rPr>
                <w:b w:val="0"/>
                <w:color w:val="000000"/>
              </w:rPr>
              <w:t>Counseling department internships</w:t>
            </w:r>
          </w:p>
        </w:tc>
        <w:tc>
          <w:tcPr>
            <w:tcW w:w="3059" w:type="dxa"/>
            <w:shd w:val="clear" w:color="auto" w:fill="FFFFC9"/>
          </w:tcPr>
          <w:p w14:paraId="0F446A7C" w14:textId="03747970"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120,000</w:t>
            </w:r>
          </w:p>
        </w:tc>
        <w:tc>
          <w:tcPr>
            <w:tcW w:w="3146" w:type="dxa"/>
            <w:shd w:val="clear" w:color="auto" w:fill="FFFFC9"/>
          </w:tcPr>
          <w:p w14:paraId="4EB5CD4B"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324271" w14:paraId="603E9219"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tcPr>
          <w:p w14:paraId="013CCC0B" w14:textId="4D38BF30" w:rsidR="00324271" w:rsidRDefault="007F75F6">
            <w:pPr>
              <w:spacing w:before="60" w:after="60"/>
              <w:rPr>
                <w:color w:val="000000"/>
              </w:rPr>
            </w:pPr>
            <w:r>
              <w:rPr>
                <w:b w:val="0"/>
                <w:color w:val="000000"/>
              </w:rPr>
              <w:t>Professional Development</w:t>
            </w:r>
          </w:p>
        </w:tc>
        <w:tc>
          <w:tcPr>
            <w:tcW w:w="3059" w:type="dxa"/>
          </w:tcPr>
          <w:p w14:paraId="146C77B9" w14:textId="2296C348"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40,000</w:t>
            </w:r>
          </w:p>
        </w:tc>
        <w:tc>
          <w:tcPr>
            <w:tcW w:w="3146" w:type="dxa"/>
          </w:tcPr>
          <w:p w14:paraId="2039B0C1"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324271" w14:paraId="6C7643E4"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14:paraId="5B77B132" w14:textId="376BA898" w:rsidR="00324271" w:rsidRDefault="007F75F6">
            <w:pPr>
              <w:spacing w:before="60" w:after="60"/>
              <w:rPr>
                <w:color w:val="000000"/>
              </w:rPr>
            </w:pPr>
            <w:r>
              <w:rPr>
                <w:b w:val="0"/>
                <w:color w:val="000000"/>
              </w:rPr>
              <w:t>Updated Curriculum</w:t>
            </w:r>
          </w:p>
        </w:tc>
        <w:tc>
          <w:tcPr>
            <w:tcW w:w="3059" w:type="dxa"/>
            <w:shd w:val="clear" w:color="auto" w:fill="FFFFC9"/>
          </w:tcPr>
          <w:p w14:paraId="19D5A0BC" w14:textId="23C37990" w:rsidR="00324271" w:rsidRDefault="007F75F6">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120,000</w:t>
            </w:r>
          </w:p>
        </w:tc>
        <w:tc>
          <w:tcPr>
            <w:tcW w:w="3146" w:type="dxa"/>
            <w:shd w:val="clear" w:color="auto" w:fill="FFFFC9"/>
          </w:tcPr>
          <w:p w14:paraId="33841068" w14:textId="77777777" w:rsidR="00324271" w:rsidRDefault="00524BAD">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324271" w14:paraId="53ED9694" w14:textId="77777777" w:rsidTr="00324271">
        <w:trPr>
          <w:trHeight w:val="20"/>
        </w:trPr>
        <w:tc>
          <w:tcPr>
            <w:cnfStyle w:val="001000000000" w:firstRow="0" w:lastRow="0" w:firstColumn="1" w:lastColumn="0" w:oddVBand="0" w:evenVBand="0" w:oddHBand="0" w:evenHBand="0" w:firstRowFirstColumn="0" w:firstRowLastColumn="0" w:lastRowFirstColumn="0" w:lastRowLastColumn="0"/>
            <w:tcW w:w="8185" w:type="dxa"/>
          </w:tcPr>
          <w:p w14:paraId="10176111" w14:textId="5D324C50" w:rsidR="00324271" w:rsidRDefault="00324271">
            <w:pPr>
              <w:spacing w:before="60" w:after="60"/>
              <w:rPr>
                <w:color w:val="000000"/>
              </w:rPr>
            </w:pPr>
          </w:p>
        </w:tc>
        <w:tc>
          <w:tcPr>
            <w:tcW w:w="3059" w:type="dxa"/>
          </w:tcPr>
          <w:p w14:paraId="6BF3778E" w14:textId="3C2B1E33" w:rsidR="00324271" w:rsidRDefault="00324271">
            <w:pPr>
              <w:spacing w:before="60" w:after="60"/>
              <w:cnfStyle w:val="000000000000" w:firstRow="0" w:lastRow="0" w:firstColumn="0" w:lastColumn="0" w:oddVBand="0" w:evenVBand="0" w:oddHBand="0" w:evenHBand="0" w:firstRowFirstColumn="0" w:firstRowLastColumn="0" w:lastRowFirstColumn="0" w:lastRowLastColumn="0"/>
              <w:rPr>
                <w:color w:val="000000"/>
              </w:rPr>
            </w:pPr>
          </w:p>
        </w:tc>
        <w:tc>
          <w:tcPr>
            <w:tcW w:w="3146" w:type="dxa"/>
          </w:tcPr>
          <w:p w14:paraId="763E6D22" w14:textId="1D1B5225" w:rsidR="00324271" w:rsidRDefault="00324271">
            <w:pPr>
              <w:spacing w:before="60" w:after="60"/>
              <w:cnfStyle w:val="000000000000" w:firstRow="0" w:lastRow="0" w:firstColumn="0" w:lastColumn="0" w:oddVBand="0" w:evenVBand="0" w:oddHBand="0" w:evenHBand="0" w:firstRowFirstColumn="0" w:firstRowLastColumn="0" w:lastRowFirstColumn="0" w:lastRowLastColumn="0"/>
              <w:rPr>
                <w:color w:val="000000"/>
              </w:rPr>
            </w:pPr>
          </w:p>
        </w:tc>
      </w:tr>
      <w:tr w:rsidR="00324271" w14:paraId="41AFD8FE" w14:textId="77777777" w:rsidTr="00324271">
        <w:trPr>
          <w:trHeight w:val="6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14:paraId="5CB694E3" w14:textId="055C105A" w:rsidR="00324271" w:rsidRDefault="00324271">
            <w:pPr>
              <w:rPr>
                <w:color w:val="000000"/>
              </w:rPr>
            </w:pPr>
          </w:p>
        </w:tc>
        <w:tc>
          <w:tcPr>
            <w:tcW w:w="3059" w:type="dxa"/>
            <w:shd w:val="clear" w:color="auto" w:fill="FFFFC9"/>
          </w:tcPr>
          <w:p w14:paraId="637AC299" w14:textId="2855F9C7" w:rsidR="00324271" w:rsidRDefault="00324271">
            <w:pPr>
              <w:cnfStyle w:val="000000000000" w:firstRow="0" w:lastRow="0" w:firstColumn="0" w:lastColumn="0" w:oddVBand="0" w:evenVBand="0" w:oddHBand="0" w:evenHBand="0" w:firstRowFirstColumn="0" w:firstRowLastColumn="0" w:lastRowFirstColumn="0" w:lastRowLastColumn="0"/>
              <w:rPr>
                <w:color w:val="000000"/>
              </w:rPr>
            </w:pPr>
          </w:p>
        </w:tc>
        <w:tc>
          <w:tcPr>
            <w:tcW w:w="3146" w:type="dxa"/>
            <w:shd w:val="clear" w:color="auto" w:fill="FFFFC9"/>
          </w:tcPr>
          <w:p w14:paraId="77884444" w14:textId="6DA68555" w:rsidR="00324271" w:rsidRDefault="00324271">
            <w:pPr>
              <w:cnfStyle w:val="000000000000" w:firstRow="0" w:lastRow="0" w:firstColumn="0" w:lastColumn="0" w:oddVBand="0" w:evenVBand="0" w:oddHBand="0" w:evenHBand="0" w:firstRowFirstColumn="0" w:firstRowLastColumn="0" w:lastRowFirstColumn="0" w:lastRowLastColumn="0"/>
              <w:rPr>
                <w:color w:val="000000"/>
              </w:rPr>
            </w:pPr>
          </w:p>
        </w:tc>
      </w:tr>
    </w:tbl>
    <w:p w14:paraId="12245E85" w14:textId="77777777" w:rsidR="00324271" w:rsidRDefault="00524BAD">
      <w:pPr>
        <w:spacing w:before="240" w:after="60"/>
        <w:rPr>
          <w:color w:val="000000"/>
        </w:rPr>
      </w:pPr>
      <w:bookmarkStart w:id="5" w:name="_heading=h.tyjcwt" w:colFirst="0" w:colLast="0"/>
      <w:bookmarkEnd w:id="5"/>
      <w:r>
        <w:rPr>
          <w:color w:val="000000"/>
        </w:rPr>
        <w:t>A description of how ELO Grant funds are being coordinated with other federal Elementary and Secondary School Emergency Relief Funds received by the LEA.</w:t>
      </w:r>
    </w:p>
    <w:p w14:paraId="184ACA6B" w14:textId="2A6396CD" w:rsidR="00324271" w:rsidRDefault="00130B9F">
      <w:pPr>
        <w:pBdr>
          <w:top w:val="single" w:sz="4" w:space="6" w:color="806000"/>
          <w:left w:val="single" w:sz="4" w:space="4" w:color="806000"/>
          <w:bottom w:val="single" w:sz="4" w:space="6" w:color="806000"/>
          <w:right w:val="single" w:sz="4" w:space="4" w:color="806000"/>
        </w:pBdr>
        <w:shd w:val="clear" w:color="auto" w:fill="FFFF79"/>
        <w:spacing w:after="120"/>
      </w:pPr>
      <w:r>
        <w:t>SCHOOL</w:t>
      </w:r>
      <w:r w:rsidR="00524BAD">
        <w:t xml:space="preserve"> is using its ELO Grant funds to provide </w:t>
      </w:r>
    </w:p>
    <w:p w14:paraId="084423E5" w14:textId="77777777" w:rsidR="00324271" w:rsidRDefault="00324271">
      <w:pPr>
        <w:sectPr w:rsidR="00324271">
          <w:footerReference w:type="default" r:id="rId9"/>
          <w:pgSz w:w="15840" w:h="12240" w:orient="landscape"/>
          <w:pgMar w:top="720" w:right="720" w:bottom="720" w:left="720" w:header="720" w:footer="720" w:gutter="0"/>
          <w:pgNumType w:start="1"/>
          <w:cols w:space="720"/>
        </w:sectPr>
      </w:pPr>
    </w:p>
    <w:p w14:paraId="3921C46F" w14:textId="77777777" w:rsidR="00324271" w:rsidRDefault="00524BAD">
      <w:pPr>
        <w:pStyle w:val="Heading2"/>
      </w:pPr>
      <w:bookmarkStart w:id="6" w:name="_heading=h.3dy6vkm" w:colFirst="0" w:colLast="0"/>
      <w:bookmarkEnd w:id="6"/>
      <w:r>
        <w:lastRenderedPageBreak/>
        <w:t>Expanded Learning Opportunities Grant Plan Instructions: Introduction</w:t>
      </w:r>
    </w:p>
    <w:p w14:paraId="5F79B1A9" w14:textId="77777777" w:rsidR="00324271" w:rsidRDefault="00524BAD">
      <w:pPr>
        <w:spacing w:before="120" w:after="120"/>
        <w:rPr>
          <w:color w:val="000000"/>
        </w:rPr>
      </w:pPr>
      <w:bookmarkStart w:id="7" w:name="_heading=h.1t3h5sf" w:colFirst="0" w:colLast="0"/>
      <w:bookmarkEnd w:id="7"/>
      <w:r>
        <w:rPr>
          <w:color w:val="000000"/>
        </w:rPr>
        <w:t xml:space="preserve">The Expanded Learning Opportunities Grant Plan must be completed by school districts, county offices of education, or charter schools, collectively referred to as Local Educational Agencies (LEAs), that receive Expanded Learning Opportunities (ELO) Grant </w:t>
      </w:r>
      <w:r>
        <w:t xml:space="preserve">funds under California </w:t>
      </w:r>
      <w:r>
        <w:rPr>
          <w:i/>
        </w:rPr>
        <w:t>Education Code</w:t>
      </w:r>
      <w:r>
        <w:t xml:space="preserve"> (</w:t>
      </w:r>
      <w:r>
        <w:rPr>
          <w:i/>
        </w:rPr>
        <w:t>EC</w:t>
      </w:r>
      <w:r>
        <w:t xml:space="preserve">) Section 43521(b). The plan must be adopted by the local governing board or body of the </w:t>
      </w:r>
      <w:r>
        <w:rPr>
          <w:color w:val="000000"/>
        </w:rPr>
        <w:t>LEA</w:t>
      </w:r>
      <w:r>
        <w:t xml:space="preserve"> at a public meeting on or before </w:t>
      </w:r>
      <w:proofErr w:type="gramStart"/>
      <w:r>
        <w:t>June 1, 2021, and</w:t>
      </w:r>
      <w:proofErr w:type="gramEnd"/>
      <w:r>
        <w:t xml:space="preserve"> must be submitted to the county office of education, the California Department of Education, or the chartering authority within five days of adoption, as applicable. The plan must be updated to include the actual expenditures by December 1, 2022.</w:t>
      </w:r>
    </w:p>
    <w:p w14:paraId="5AA18A58" w14:textId="77777777" w:rsidR="00324271" w:rsidRDefault="00524BAD">
      <w:pPr>
        <w:spacing w:after="200"/>
      </w:pPr>
      <w:r>
        <w:rPr>
          <w:i/>
          <w:color w:val="000000"/>
        </w:rPr>
        <w:t xml:space="preserve">For technical assistance related to the completion of the Expanded Learning Opportunities Grant Plan, please contact </w:t>
      </w:r>
      <w:hyperlink r:id="rId10">
        <w:r>
          <w:rPr>
            <w:i/>
            <w:color w:val="0563C1"/>
            <w:u w:val="single"/>
          </w:rPr>
          <w:t>ELOGrants@cde.ca.gov</w:t>
        </w:r>
      </w:hyperlink>
      <w:r>
        <w:rPr>
          <w:i/>
          <w:color w:val="000000"/>
        </w:rPr>
        <w:t>.</w:t>
      </w:r>
    </w:p>
    <w:p w14:paraId="024525AB" w14:textId="77777777" w:rsidR="00324271" w:rsidRDefault="00524BAD">
      <w:pPr>
        <w:pStyle w:val="Heading2"/>
      </w:pPr>
      <w:r>
        <w:t>Instructions: Plan Requirements</w:t>
      </w:r>
    </w:p>
    <w:p w14:paraId="31C2C07A" w14:textId="77777777" w:rsidR="00324271" w:rsidRDefault="00524BAD">
      <w:pPr>
        <w:spacing w:after="120"/>
      </w:pPr>
      <w:r>
        <w:t xml:space="preserve">An LEA receiving ELO Grant funds under </w:t>
      </w:r>
      <w:r>
        <w:rPr>
          <w:i/>
        </w:rPr>
        <w:t>EC</w:t>
      </w:r>
      <w:r>
        <w:t xml:space="preserve"> Section 43521(b) is required to implement a learning recovery program that, at a minimum, provides supplemental instruction, support for social and emotional well-being, and, to the maximum extent permissible under the guidelines of the United States Department of Agriculture, </w:t>
      </w:r>
      <w:proofErr w:type="gramStart"/>
      <w:r>
        <w:t>meals</w:t>
      </w:r>
      <w:proofErr w:type="gramEnd"/>
      <w:r>
        <w:t xml:space="preserve"> and snacks to, at a minimum, students who are</w:t>
      </w:r>
      <w:r>
        <w:rPr>
          <w:color w:val="000000"/>
        </w:rPr>
        <w:t xml:space="preserve"> included in one or more of the following groups</w:t>
      </w:r>
      <w:r>
        <w:t>:</w:t>
      </w:r>
    </w:p>
    <w:p w14:paraId="175EDA5F" w14:textId="77777777" w:rsidR="00324271" w:rsidRDefault="00524BAD">
      <w:pPr>
        <w:numPr>
          <w:ilvl w:val="0"/>
          <w:numId w:val="3"/>
        </w:numPr>
        <w:pBdr>
          <w:top w:val="nil"/>
          <w:left w:val="nil"/>
          <w:bottom w:val="nil"/>
          <w:right w:val="nil"/>
          <w:between w:val="nil"/>
        </w:pBdr>
        <w:ind w:hanging="360"/>
      </w:pPr>
      <w:r>
        <w:rPr>
          <w:color w:val="000000"/>
          <w:szCs w:val="24"/>
        </w:rPr>
        <w:t xml:space="preserve">low-income, </w:t>
      </w:r>
    </w:p>
    <w:p w14:paraId="2CEC3505" w14:textId="77777777" w:rsidR="00324271" w:rsidRDefault="00524BAD">
      <w:pPr>
        <w:numPr>
          <w:ilvl w:val="0"/>
          <w:numId w:val="3"/>
        </w:numPr>
        <w:pBdr>
          <w:top w:val="nil"/>
          <w:left w:val="nil"/>
          <w:bottom w:val="nil"/>
          <w:right w:val="nil"/>
          <w:between w:val="nil"/>
        </w:pBdr>
        <w:ind w:hanging="360"/>
      </w:pPr>
      <w:r>
        <w:rPr>
          <w:color w:val="000000"/>
          <w:szCs w:val="24"/>
        </w:rPr>
        <w:t xml:space="preserve">English learners, </w:t>
      </w:r>
    </w:p>
    <w:p w14:paraId="7CBAD7BB" w14:textId="77777777" w:rsidR="00324271" w:rsidRDefault="00524BAD">
      <w:pPr>
        <w:numPr>
          <w:ilvl w:val="0"/>
          <w:numId w:val="3"/>
        </w:numPr>
        <w:pBdr>
          <w:top w:val="nil"/>
          <w:left w:val="nil"/>
          <w:bottom w:val="nil"/>
          <w:right w:val="nil"/>
          <w:between w:val="nil"/>
        </w:pBdr>
        <w:ind w:hanging="360"/>
      </w:pPr>
      <w:r>
        <w:rPr>
          <w:color w:val="000000"/>
          <w:szCs w:val="24"/>
        </w:rPr>
        <w:t xml:space="preserve">foster youth, </w:t>
      </w:r>
    </w:p>
    <w:p w14:paraId="26F315C0" w14:textId="77777777" w:rsidR="00324271" w:rsidRDefault="00524BAD">
      <w:pPr>
        <w:numPr>
          <w:ilvl w:val="0"/>
          <w:numId w:val="3"/>
        </w:numPr>
        <w:pBdr>
          <w:top w:val="nil"/>
          <w:left w:val="nil"/>
          <w:bottom w:val="nil"/>
          <w:right w:val="nil"/>
          <w:between w:val="nil"/>
        </w:pBdr>
        <w:ind w:hanging="360"/>
      </w:pPr>
      <w:r>
        <w:rPr>
          <w:color w:val="000000"/>
          <w:szCs w:val="24"/>
        </w:rPr>
        <w:t xml:space="preserve">homeless students, </w:t>
      </w:r>
    </w:p>
    <w:p w14:paraId="5696211E" w14:textId="77777777" w:rsidR="00324271" w:rsidRDefault="00524BAD">
      <w:pPr>
        <w:numPr>
          <w:ilvl w:val="0"/>
          <w:numId w:val="3"/>
        </w:numPr>
        <w:pBdr>
          <w:top w:val="nil"/>
          <w:left w:val="nil"/>
          <w:bottom w:val="nil"/>
          <w:right w:val="nil"/>
          <w:between w:val="nil"/>
        </w:pBdr>
        <w:ind w:hanging="360"/>
      </w:pPr>
      <w:r>
        <w:rPr>
          <w:color w:val="000000"/>
          <w:szCs w:val="24"/>
        </w:rPr>
        <w:t xml:space="preserve">students with disabilities, </w:t>
      </w:r>
    </w:p>
    <w:p w14:paraId="588168D8" w14:textId="77777777" w:rsidR="00324271" w:rsidRDefault="00524BAD">
      <w:pPr>
        <w:numPr>
          <w:ilvl w:val="0"/>
          <w:numId w:val="3"/>
        </w:numPr>
        <w:pBdr>
          <w:top w:val="nil"/>
          <w:left w:val="nil"/>
          <w:bottom w:val="nil"/>
          <w:right w:val="nil"/>
          <w:between w:val="nil"/>
        </w:pBdr>
        <w:ind w:hanging="360"/>
      </w:pPr>
      <w:r>
        <w:rPr>
          <w:color w:val="000000"/>
          <w:szCs w:val="24"/>
        </w:rPr>
        <w:t xml:space="preserve">students at risk of abuse, neglect, or exploitation, </w:t>
      </w:r>
    </w:p>
    <w:p w14:paraId="77A0045A" w14:textId="77777777" w:rsidR="00324271" w:rsidRDefault="00524BAD">
      <w:pPr>
        <w:numPr>
          <w:ilvl w:val="0"/>
          <w:numId w:val="3"/>
        </w:numPr>
        <w:pBdr>
          <w:top w:val="nil"/>
          <w:left w:val="nil"/>
          <w:bottom w:val="nil"/>
          <w:right w:val="nil"/>
          <w:between w:val="nil"/>
        </w:pBdr>
        <w:ind w:hanging="360"/>
      </w:pPr>
      <w:r>
        <w:rPr>
          <w:color w:val="000000"/>
          <w:szCs w:val="24"/>
        </w:rPr>
        <w:t xml:space="preserve">disengaged students, and </w:t>
      </w:r>
    </w:p>
    <w:p w14:paraId="50D3E163" w14:textId="77777777" w:rsidR="00324271" w:rsidRDefault="00524BAD">
      <w:pPr>
        <w:numPr>
          <w:ilvl w:val="0"/>
          <w:numId w:val="3"/>
        </w:numPr>
        <w:pBdr>
          <w:top w:val="nil"/>
          <w:left w:val="nil"/>
          <w:bottom w:val="nil"/>
          <w:right w:val="nil"/>
          <w:between w:val="nil"/>
        </w:pBdr>
        <w:spacing w:after="120"/>
        <w:ind w:hanging="360"/>
      </w:pPr>
      <w:r>
        <w:rPr>
          <w:color w:val="000000"/>
          <w:szCs w:val="24"/>
        </w:rPr>
        <w:t>students who are below grade level, including, but not limited to, those who did not enroll in kindergarten in the 2020–21 school year, credit-deficient students, high school students at risk of not graduating, and other students identified by certificated staff.</w:t>
      </w:r>
    </w:p>
    <w:p w14:paraId="6B7A73FF" w14:textId="77777777" w:rsidR="00324271" w:rsidRDefault="00524BAD">
      <w:pPr>
        <w:spacing w:after="120"/>
      </w:pPr>
      <w:r>
        <w:t xml:space="preserve">For purposes of this requirement </w:t>
      </w:r>
    </w:p>
    <w:p w14:paraId="53C0E017" w14:textId="77777777" w:rsidR="00324271" w:rsidRDefault="00524BAD">
      <w:pPr>
        <w:numPr>
          <w:ilvl w:val="0"/>
          <w:numId w:val="2"/>
        </w:numPr>
        <w:pBdr>
          <w:top w:val="nil"/>
          <w:left w:val="nil"/>
          <w:bottom w:val="nil"/>
          <w:right w:val="nil"/>
          <w:between w:val="nil"/>
        </w:pBdr>
        <w:spacing w:after="120"/>
      </w:pPr>
      <w:r>
        <w:rPr>
          <w:color w:val="000000"/>
          <w:szCs w:val="24"/>
        </w:rPr>
        <w:t>“Supplemental instruction” means the instructional programs provided in addition to and complementary to the LEAs regular instructional programs, including services provided in accordance with an individualized education program (IEP).</w:t>
      </w:r>
    </w:p>
    <w:p w14:paraId="2961C645" w14:textId="77777777" w:rsidR="00324271" w:rsidRDefault="00524BAD">
      <w:pPr>
        <w:numPr>
          <w:ilvl w:val="0"/>
          <w:numId w:val="2"/>
        </w:numPr>
        <w:pBdr>
          <w:top w:val="nil"/>
          <w:left w:val="nil"/>
          <w:bottom w:val="nil"/>
          <w:right w:val="nil"/>
          <w:between w:val="nil"/>
        </w:pBdr>
        <w:spacing w:after="120"/>
      </w:pPr>
      <w:r>
        <w:rPr>
          <w:color w:val="000000"/>
          <w:szCs w:val="24"/>
        </w:rPr>
        <w:t xml:space="preserve">“Support” means interventions provided as a supplement to those regularly provided by the LEA, including services provided in accordance with an IEP, that are designed to meet students’ needs for behavioral, social, emotional, and other integrated student supports, </w:t>
      </w:r>
      <w:proofErr w:type="gramStart"/>
      <w:r>
        <w:rPr>
          <w:color w:val="000000"/>
          <w:szCs w:val="24"/>
        </w:rPr>
        <w:t>in order to</w:t>
      </w:r>
      <w:proofErr w:type="gramEnd"/>
      <w:r>
        <w:rPr>
          <w:color w:val="000000"/>
          <w:szCs w:val="24"/>
        </w:rPr>
        <w:t xml:space="preserve"> enable students to engage in, and benefit from, the supplemental instruction being provided.</w:t>
      </w:r>
    </w:p>
    <w:p w14:paraId="27001ED5" w14:textId="77777777" w:rsidR="00324271" w:rsidRDefault="00524BAD">
      <w:pPr>
        <w:numPr>
          <w:ilvl w:val="0"/>
          <w:numId w:val="2"/>
        </w:numPr>
        <w:pBdr>
          <w:top w:val="nil"/>
          <w:left w:val="nil"/>
          <w:bottom w:val="nil"/>
          <w:right w:val="nil"/>
          <w:between w:val="nil"/>
        </w:pBdr>
        <w:spacing w:after="120"/>
      </w:pPr>
      <w:r>
        <w:rPr>
          <w:color w:val="000000"/>
          <w:szCs w:val="24"/>
        </w:rPr>
        <w:lastRenderedPageBreak/>
        <w:t>“Students at risk of abuse, neglect, or exploitation” means students who are identified as being at risk of abuse, neglect, or exploitation in a written referral from a legal, medical, or social service agency, or emergency shelter.</w:t>
      </w:r>
    </w:p>
    <w:p w14:paraId="4AAB9C15" w14:textId="77777777" w:rsidR="00324271" w:rsidRDefault="00524BAD">
      <w:pPr>
        <w:spacing w:after="120"/>
      </w:pPr>
      <w:bookmarkStart w:id="8" w:name="_heading=h.4d34og8" w:colFirst="0" w:colLast="0"/>
      <w:bookmarkEnd w:id="8"/>
      <w:r>
        <w:rPr>
          <w:i/>
        </w:rPr>
        <w:t>EC</w:t>
      </w:r>
      <w:r>
        <w:t xml:space="preserve"> Section 43522(b) identifies the seven supplemental instruction and support strategies listed below as the strategies that may be supported with ELO Grant funds and requires the LEA to use the funding only for any of these purposes. LEAs are not required to implement each supplemental instruction and support strategy; rather LEAs are to work collaboratively with their community partners to identify the supplemental instruction and support strategies that will be implemented. LEAs are encouraged to engage, plan, and collaborate on program operation with community partners and expanded learning programs, and to leverage existing behavioral health partnerships and Medi-Cal billing options in the design and implementation of the supplemental instruction and support strategies being provided (</w:t>
      </w:r>
      <w:r>
        <w:rPr>
          <w:i/>
        </w:rPr>
        <w:t xml:space="preserve">EC </w:t>
      </w:r>
      <w:r>
        <w:t>Section 43522[h]).</w:t>
      </w:r>
    </w:p>
    <w:p w14:paraId="348FAF24" w14:textId="77777777" w:rsidR="00324271" w:rsidRDefault="00524BAD">
      <w:pPr>
        <w:spacing w:after="120"/>
      </w:pPr>
      <w:r>
        <w:t>The seven supplemental instruction and support strategies are:</w:t>
      </w:r>
    </w:p>
    <w:p w14:paraId="073EC5EF" w14:textId="77777777" w:rsidR="00324271" w:rsidRDefault="00524BAD">
      <w:pPr>
        <w:numPr>
          <w:ilvl w:val="0"/>
          <w:numId w:val="1"/>
        </w:numPr>
        <w:pBdr>
          <w:top w:val="nil"/>
          <w:left w:val="nil"/>
          <w:bottom w:val="nil"/>
          <w:right w:val="nil"/>
          <w:between w:val="nil"/>
        </w:pBdr>
        <w:spacing w:after="120"/>
        <w:rPr>
          <w:color w:val="000000"/>
          <w:szCs w:val="24"/>
        </w:rPr>
      </w:pPr>
      <w:r>
        <w:rPr>
          <w:color w:val="000000"/>
          <w:szCs w:val="24"/>
        </w:rPr>
        <w:t>Extending instructional learning time in addition to what is required for the school year by increasing the number of instructional days or minutes provided during the school year, providing summer school or intersessional instructional programs, or taking any other action that increases the amount of instructional time or services provided to students based on their learning needs.</w:t>
      </w:r>
    </w:p>
    <w:p w14:paraId="0E3C0ABD" w14:textId="77777777" w:rsidR="00324271" w:rsidRDefault="00524BAD">
      <w:pPr>
        <w:numPr>
          <w:ilvl w:val="0"/>
          <w:numId w:val="1"/>
        </w:numPr>
        <w:pBdr>
          <w:top w:val="nil"/>
          <w:left w:val="nil"/>
          <w:bottom w:val="nil"/>
          <w:right w:val="nil"/>
          <w:between w:val="nil"/>
        </w:pBdr>
        <w:spacing w:after="120"/>
        <w:rPr>
          <w:color w:val="000000"/>
          <w:szCs w:val="24"/>
        </w:rPr>
      </w:pPr>
      <w:r>
        <w:rPr>
          <w:color w:val="000000"/>
          <w:szCs w:val="24"/>
        </w:rPr>
        <w:t>Accelerating progress to close learning gaps through the implementation, expansion, or enhancement of learning supports including, but not limited to, any of the following:</w:t>
      </w:r>
    </w:p>
    <w:p w14:paraId="3074AEE1" w14:textId="77777777" w:rsidR="00324271" w:rsidRDefault="00524BAD">
      <w:pPr>
        <w:numPr>
          <w:ilvl w:val="1"/>
          <w:numId w:val="1"/>
        </w:numPr>
        <w:pBdr>
          <w:top w:val="nil"/>
          <w:left w:val="nil"/>
          <w:bottom w:val="nil"/>
          <w:right w:val="nil"/>
          <w:between w:val="nil"/>
        </w:pBdr>
        <w:spacing w:after="120"/>
        <w:rPr>
          <w:color w:val="000000"/>
          <w:szCs w:val="24"/>
        </w:rPr>
      </w:pPr>
      <w:r>
        <w:rPr>
          <w:color w:val="000000"/>
          <w:szCs w:val="24"/>
        </w:rPr>
        <w:t>Tutoring or other one-on-one or small group learning supports provided by certificated or classified staff.</w:t>
      </w:r>
    </w:p>
    <w:p w14:paraId="0765CCC0" w14:textId="77777777" w:rsidR="00324271" w:rsidRDefault="00524BAD">
      <w:pPr>
        <w:numPr>
          <w:ilvl w:val="1"/>
          <w:numId w:val="1"/>
        </w:numPr>
        <w:pBdr>
          <w:top w:val="nil"/>
          <w:left w:val="nil"/>
          <w:bottom w:val="nil"/>
          <w:right w:val="nil"/>
          <w:between w:val="nil"/>
        </w:pBdr>
        <w:spacing w:after="120"/>
        <w:rPr>
          <w:color w:val="000000"/>
          <w:szCs w:val="24"/>
        </w:rPr>
      </w:pPr>
      <w:r>
        <w:rPr>
          <w:color w:val="000000"/>
          <w:szCs w:val="24"/>
        </w:rPr>
        <w:t>Learning recovery programs and materials designed to accelerate student academic proficiency or English language proficiency, or both.</w:t>
      </w:r>
    </w:p>
    <w:p w14:paraId="676CA183" w14:textId="77777777" w:rsidR="00324271" w:rsidRDefault="00524BAD">
      <w:pPr>
        <w:numPr>
          <w:ilvl w:val="1"/>
          <w:numId w:val="1"/>
        </w:numPr>
        <w:pBdr>
          <w:top w:val="nil"/>
          <w:left w:val="nil"/>
          <w:bottom w:val="nil"/>
          <w:right w:val="nil"/>
          <w:between w:val="nil"/>
        </w:pBdr>
        <w:spacing w:after="120"/>
        <w:rPr>
          <w:color w:val="000000"/>
          <w:szCs w:val="24"/>
        </w:rPr>
      </w:pPr>
      <w:r>
        <w:rPr>
          <w:color w:val="000000"/>
          <w:szCs w:val="24"/>
        </w:rPr>
        <w:t>Educator training, for both certificated and classified staff, in accelerated learning strategies and effectively addressing learning gaps, including training in facilitating quality and engaging learning opportunities for all students.</w:t>
      </w:r>
    </w:p>
    <w:p w14:paraId="4D7D0E88" w14:textId="77777777" w:rsidR="00324271" w:rsidRDefault="00524BAD">
      <w:pPr>
        <w:numPr>
          <w:ilvl w:val="0"/>
          <w:numId w:val="1"/>
        </w:numPr>
        <w:pBdr>
          <w:top w:val="nil"/>
          <w:left w:val="nil"/>
          <w:bottom w:val="nil"/>
          <w:right w:val="nil"/>
          <w:between w:val="nil"/>
        </w:pBdr>
        <w:spacing w:after="120"/>
        <w:rPr>
          <w:color w:val="000000"/>
          <w:szCs w:val="24"/>
        </w:rPr>
      </w:pPr>
      <w:bookmarkStart w:id="9" w:name="_heading=h.2s8eyo1" w:colFirst="0" w:colLast="0"/>
      <w:bookmarkEnd w:id="9"/>
      <w:r>
        <w:rPr>
          <w:color w:val="000000"/>
          <w:szCs w:val="24"/>
        </w:rPr>
        <w:t>Integrated student supports to address other barriers to learning, such as the provision of health, counseling, or mental health services, access to school meal programs, before and after school programs, or programs to address student trauma and social-emotional learning, or referrals for support for family or student needs.</w:t>
      </w:r>
    </w:p>
    <w:p w14:paraId="51A35F7B" w14:textId="77777777" w:rsidR="00324271" w:rsidRDefault="00524BAD">
      <w:pPr>
        <w:numPr>
          <w:ilvl w:val="0"/>
          <w:numId w:val="1"/>
        </w:numPr>
        <w:pBdr>
          <w:top w:val="nil"/>
          <w:left w:val="nil"/>
          <w:bottom w:val="nil"/>
          <w:right w:val="nil"/>
          <w:between w:val="nil"/>
        </w:pBdr>
        <w:spacing w:after="120"/>
        <w:rPr>
          <w:color w:val="000000"/>
          <w:szCs w:val="24"/>
        </w:rPr>
      </w:pPr>
      <w:r>
        <w:rPr>
          <w:color w:val="000000"/>
          <w:szCs w:val="24"/>
        </w:rPr>
        <w:t>Community learning hubs that provide students with access to technology, high-speed internet, and other academic supports.</w:t>
      </w:r>
    </w:p>
    <w:p w14:paraId="0392D6FE" w14:textId="77777777" w:rsidR="00324271" w:rsidRDefault="00524BAD">
      <w:pPr>
        <w:numPr>
          <w:ilvl w:val="0"/>
          <w:numId w:val="1"/>
        </w:numPr>
        <w:pBdr>
          <w:top w:val="nil"/>
          <w:left w:val="nil"/>
          <w:bottom w:val="nil"/>
          <w:right w:val="nil"/>
          <w:between w:val="nil"/>
        </w:pBdr>
        <w:spacing w:after="120"/>
        <w:rPr>
          <w:color w:val="000000"/>
          <w:szCs w:val="24"/>
        </w:rPr>
      </w:pPr>
      <w:r>
        <w:rPr>
          <w:color w:val="000000"/>
          <w:szCs w:val="24"/>
        </w:rPr>
        <w:t>Supports for credit deficient students to complete graduation or grade promotion requirements and to increase or improve students’ college eligibility.</w:t>
      </w:r>
    </w:p>
    <w:p w14:paraId="334E7191" w14:textId="77777777" w:rsidR="00324271" w:rsidRDefault="00524BAD">
      <w:pPr>
        <w:numPr>
          <w:ilvl w:val="0"/>
          <w:numId w:val="1"/>
        </w:numPr>
        <w:pBdr>
          <w:top w:val="nil"/>
          <w:left w:val="nil"/>
          <w:bottom w:val="nil"/>
          <w:right w:val="nil"/>
          <w:between w:val="nil"/>
        </w:pBdr>
        <w:spacing w:after="120"/>
        <w:rPr>
          <w:color w:val="000000"/>
          <w:szCs w:val="24"/>
        </w:rPr>
      </w:pPr>
      <w:r>
        <w:rPr>
          <w:color w:val="000000"/>
          <w:szCs w:val="24"/>
        </w:rPr>
        <w:t>Additional academic services for students, such as diagnostic, progress monitoring, and benchmark assessments of student learning.</w:t>
      </w:r>
    </w:p>
    <w:p w14:paraId="6367905B" w14:textId="77777777" w:rsidR="00324271" w:rsidRDefault="00524BAD">
      <w:pPr>
        <w:numPr>
          <w:ilvl w:val="0"/>
          <w:numId w:val="1"/>
        </w:numPr>
        <w:pBdr>
          <w:top w:val="nil"/>
          <w:left w:val="nil"/>
          <w:bottom w:val="nil"/>
          <w:right w:val="nil"/>
          <w:between w:val="nil"/>
        </w:pBdr>
        <w:spacing w:after="120"/>
      </w:pPr>
      <w:r>
        <w:rPr>
          <w:color w:val="000000"/>
          <w:szCs w:val="24"/>
        </w:rPr>
        <w:t>Training for school staff on strategies, including trauma-informed practices, to engage students and families in addressing students’ social-emotional health needs and academic needs.</w:t>
      </w:r>
    </w:p>
    <w:p w14:paraId="1719D43E" w14:textId="77777777" w:rsidR="00324271" w:rsidRDefault="00524BAD">
      <w:pPr>
        <w:spacing w:before="120" w:after="120" w:line="259" w:lineRule="auto"/>
        <w:rPr>
          <w:sz w:val="22"/>
        </w:rPr>
      </w:pPr>
      <w:r>
        <w:lastRenderedPageBreak/>
        <w:t xml:space="preserve">As a reminder, </w:t>
      </w:r>
      <w:r>
        <w:rPr>
          <w:i/>
        </w:rPr>
        <w:t>EC</w:t>
      </w:r>
      <w:r>
        <w:t xml:space="preserve"> Section 43522(g) requires that all services delivered to students with disabilities be delivered in accordance with an applicable IEP.</w:t>
      </w:r>
    </w:p>
    <w:p w14:paraId="54F0188D" w14:textId="77777777" w:rsidR="00324271" w:rsidRDefault="00524BAD">
      <w:pPr>
        <w:pStyle w:val="Heading3"/>
      </w:pPr>
      <w:r>
        <w:t>Fiscal Requirements</w:t>
      </w:r>
    </w:p>
    <w:p w14:paraId="19EAC4BF" w14:textId="77777777" w:rsidR="00324271" w:rsidRDefault="00524BAD">
      <w:pPr>
        <w:spacing w:after="120"/>
      </w:pPr>
      <w:r>
        <w:t>The following fiscal requirements are requirements of the ELO grant, but they are not addressed in this plan. Adherence to these requirements will be monitored through the annual audit process.</w:t>
      </w:r>
    </w:p>
    <w:p w14:paraId="5E8A9FF6" w14:textId="77777777" w:rsidR="00324271" w:rsidRDefault="00524BAD">
      <w:pPr>
        <w:numPr>
          <w:ilvl w:val="0"/>
          <w:numId w:val="4"/>
        </w:numPr>
        <w:pBdr>
          <w:top w:val="nil"/>
          <w:left w:val="nil"/>
          <w:bottom w:val="nil"/>
          <w:right w:val="nil"/>
          <w:between w:val="nil"/>
        </w:pBdr>
        <w:spacing w:after="120"/>
      </w:pPr>
      <w:r>
        <w:rPr>
          <w:color w:val="000000"/>
          <w:szCs w:val="24"/>
        </w:rPr>
        <w:t>The LEA must use at least 85 percent (85%) of its apportionment for expenditures related to providing in-person services in any of the seven purposes described above.</w:t>
      </w:r>
    </w:p>
    <w:p w14:paraId="072792A3" w14:textId="77777777" w:rsidR="00324271" w:rsidRDefault="00524BAD">
      <w:pPr>
        <w:numPr>
          <w:ilvl w:val="0"/>
          <w:numId w:val="4"/>
        </w:numPr>
        <w:pBdr>
          <w:top w:val="nil"/>
          <w:left w:val="nil"/>
          <w:bottom w:val="nil"/>
          <w:right w:val="nil"/>
          <w:between w:val="nil"/>
        </w:pBdr>
        <w:spacing w:after="120"/>
      </w:pPr>
      <w:r>
        <w:rPr>
          <w:color w:val="000000"/>
          <w:szCs w:val="24"/>
        </w:rPr>
        <w:t>The LEA must use at least 10 percent (10%) of the funding that is received based on LCFF entitlement to hire paraprofessionals to provide supplemental instruction and support through the duration of this program, with a priority for full-time paraprofessionals. The supplemental instruction and support provided by the paraprofessionals must be prioritized for English learners and students with disabilities. Funds expended to hire paraprofessionals count towards the LEAs requirement to spend at least 85% of its apportionment to provide in-person services.</w:t>
      </w:r>
    </w:p>
    <w:p w14:paraId="14312AC5" w14:textId="77777777" w:rsidR="00324271" w:rsidRDefault="00524BAD">
      <w:pPr>
        <w:numPr>
          <w:ilvl w:val="0"/>
          <w:numId w:val="4"/>
        </w:numPr>
        <w:pBdr>
          <w:top w:val="nil"/>
          <w:left w:val="nil"/>
          <w:bottom w:val="nil"/>
          <w:right w:val="nil"/>
          <w:between w:val="nil"/>
        </w:pBdr>
        <w:spacing w:after="120"/>
      </w:pPr>
      <w:r>
        <w:rPr>
          <w:color w:val="000000"/>
          <w:szCs w:val="24"/>
        </w:rPr>
        <w:t>An LEA may use up to 15 percent (15%) of its apportionment to increase or improve services for students participating in distance learning or to support activities intended to prepare the LEA for in-person instruction, before in-person instructional services are offered.</w:t>
      </w:r>
    </w:p>
    <w:p w14:paraId="3D4279D8" w14:textId="77777777" w:rsidR="00324271" w:rsidRDefault="00524BAD">
      <w:pPr>
        <w:pStyle w:val="Heading2"/>
      </w:pPr>
      <w:r>
        <w:t>Instructions: Plan Descriptions</w:t>
      </w:r>
    </w:p>
    <w:p w14:paraId="3A4928BD" w14:textId="77777777" w:rsidR="00324271" w:rsidRDefault="00524BAD">
      <w:r>
        <w:t>Descriptions provided should include sufficient detail yet be sufficiently succinct to promote a broad understanding among the LEA’s local community.</w:t>
      </w:r>
    </w:p>
    <w:p w14:paraId="23ACA943" w14:textId="77777777" w:rsidR="00324271" w:rsidRDefault="00524BAD">
      <w:pPr>
        <w:pStyle w:val="Heading3"/>
      </w:pPr>
      <w:r>
        <w:t xml:space="preserve">A description of how parents, teachers, and school staff were involved in the development of the </w:t>
      </w:r>
      <w:proofErr w:type="gramStart"/>
      <w:r>
        <w:t>plan</w:t>
      </w:r>
      <w:proofErr w:type="gramEnd"/>
    </w:p>
    <w:p w14:paraId="31E63792" w14:textId="77777777" w:rsidR="00324271" w:rsidRDefault="00524BAD">
      <w:pPr>
        <w:spacing w:before="120"/>
      </w:pPr>
      <w:r>
        <w:t>Describe the process used by the LEA to involve, at a minimum, parents, teachers, and school staff in the development of the Expanded Learning Opportunities Grant Plan, including how the LEA and its community identified the seven supplemental instruction and support strategies that will be implemented. LEAs are encouraged to engage with community partners, expanded learning programs, and existing behavioral health partnerships in the design of the plan.</w:t>
      </w:r>
    </w:p>
    <w:p w14:paraId="67EEB9C6" w14:textId="77777777" w:rsidR="00324271" w:rsidRDefault="00524BAD">
      <w:pPr>
        <w:pStyle w:val="Heading3"/>
      </w:pPr>
      <w:r>
        <w:t>A description of how parents and guardians of students will be informed of the opportunities for supplemental instruction and support.</w:t>
      </w:r>
    </w:p>
    <w:p w14:paraId="4C59C3AF" w14:textId="77777777" w:rsidR="00324271" w:rsidRDefault="00524BAD">
      <w:r>
        <w:t>Describe the LEA’s plan for informing the parents and guardians of students identified as needing supplemental instruction and support of the availability of these opportunities, including an explanation of how the LEA will provide this information in the parents’ and guardians’ primary languages, as applicable.</w:t>
      </w:r>
    </w:p>
    <w:p w14:paraId="2AB4F9DA" w14:textId="77777777" w:rsidR="00324271" w:rsidRDefault="00524BAD">
      <w:pPr>
        <w:pStyle w:val="Heading3"/>
      </w:pPr>
      <w:bookmarkStart w:id="10" w:name="_heading=h.17dp8vu" w:colFirst="0" w:colLast="0"/>
      <w:bookmarkEnd w:id="10"/>
      <w:r>
        <w:lastRenderedPageBreak/>
        <w:t xml:space="preserve">A description of how students will be </w:t>
      </w:r>
      <w:proofErr w:type="gramStart"/>
      <w:r>
        <w:t>identified</w:t>
      </w:r>
      <w:proofErr w:type="gramEnd"/>
      <w:r>
        <w:t xml:space="preserve"> and the needs of students will be assessed</w:t>
      </w:r>
    </w:p>
    <w:p w14:paraId="7BE1DB89" w14:textId="77777777" w:rsidR="00324271" w:rsidRDefault="00524BAD">
      <w:pPr>
        <w:spacing w:after="120"/>
      </w:pPr>
      <w:bookmarkStart w:id="11" w:name="_heading=h.3rdcrjn" w:colFirst="0" w:colLast="0"/>
      <w:bookmarkEnd w:id="11"/>
      <w:r>
        <w:t>Describe the LEA’s plan for identifying students in need of academic, social-emotional, and other integrated student supports, including the LEA’s plan for assessing the needs of those students on a regular basis. The LEA’s plan for assessing the academic needs of its students may include the use of diagnostic and formative assessments.</w:t>
      </w:r>
    </w:p>
    <w:p w14:paraId="22B01194" w14:textId="77777777" w:rsidR="00324271" w:rsidRDefault="00524BAD">
      <w:r>
        <w:t>As noted above in the Plan Requirements, “other integrated student supports” are any supports intended to address barriers to learning, such as the provision of health, counseling, or mental health services, access to school meal programs, before and after school programs, or programs to address student trauma and social-emotional learning, or referrals for support for family or student needs.</w:t>
      </w:r>
    </w:p>
    <w:p w14:paraId="579F2984" w14:textId="77777777" w:rsidR="00324271" w:rsidRDefault="00524BAD">
      <w:pPr>
        <w:pStyle w:val="Heading3"/>
      </w:pPr>
      <w:r>
        <w:t xml:space="preserve">A description of the LEA’s plan to provide supplemental instruction and </w:t>
      </w:r>
      <w:proofErr w:type="gramStart"/>
      <w:r>
        <w:t>support</w:t>
      </w:r>
      <w:proofErr w:type="gramEnd"/>
      <w:r>
        <w:t xml:space="preserve"> </w:t>
      </w:r>
    </w:p>
    <w:p w14:paraId="10088320" w14:textId="77777777" w:rsidR="00324271" w:rsidRDefault="00524BAD">
      <w:pPr>
        <w:spacing w:after="120"/>
      </w:pPr>
      <w:r>
        <w:t xml:space="preserve">Describe the LEA’s plan for how it will provide supplemental instruction and support to identified students in the seven strategy areas defined in the Plan Requirements section. As a reminder, the LEA is not required to implement each of the seven strategies; rather the LEA will work collaboratively with its community to identify the strategies that will be implemented. The plan must include a description of how supplemental instruction and support will be provided in a tiered framework that bases universal, targeted, and intensive supports on students’ needs for academic, social-emotional, and other integrated student supports. The plan must also include a description of how the services will be provided through a program of engaging learning experiences in a positive school climate. </w:t>
      </w:r>
    </w:p>
    <w:p w14:paraId="319B11C2" w14:textId="77777777" w:rsidR="00324271" w:rsidRDefault="00524BAD">
      <w:r>
        <w:t xml:space="preserve">As a reminder, </w:t>
      </w:r>
      <w:r>
        <w:rPr>
          <w:i/>
        </w:rPr>
        <w:t>EC</w:t>
      </w:r>
      <w:r>
        <w:t xml:space="preserve"> Section 43522(g) requires that all services delivered to students with disabilities be delivered in accordance with an applicable individualized education program. Additionally, LEAs are encouraged to collaborate with community partners and expanded learning programs, and to leverage existing behavioral health partnerships and Medi-Cal billing options in the implementation of, this plan (</w:t>
      </w:r>
      <w:r>
        <w:rPr>
          <w:i/>
        </w:rPr>
        <w:t xml:space="preserve">EC </w:t>
      </w:r>
      <w:r>
        <w:t>Section 43522[h]).</w:t>
      </w:r>
    </w:p>
    <w:p w14:paraId="2504FC9F" w14:textId="77777777" w:rsidR="00324271" w:rsidRDefault="00524BAD">
      <w:pPr>
        <w:pStyle w:val="Heading2"/>
      </w:pPr>
      <w:r>
        <w:t>Instructions: Expenditure Plan</w:t>
      </w:r>
    </w:p>
    <w:p w14:paraId="4B5C1BA1" w14:textId="77777777" w:rsidR="00324271" w:rsidRDefault="00524BAD">
      <w:pPr>
        <w:spacing w:before="120" w:after="120"/>
      </w:pPr>
      <w:r>
        <w:t>The ‘</w:t>
      </w:r>
      <w:r>
        <w:rPr>
          <w:color w:val="000000"/>
        </w:rPr>
        <w:t>Supplemental Instruction and Support Strategies</w:t>
      </w:r>
      <w:r>
        <w:t xml:space="preserve">’ column of the Expenditure Plan data entry table lists the seven supplemental instruction and support strategies that may be supported with ELO Grant funds. </w:t>
      </w:r>
    </w:p>
    <w:p w14:paraId="279CCE59" w14:textId="77777777" w:rsidR="00324271" w:rsidRDefault="00524BAD">
      <w:pPr>
        <w:spacing w:before="120" w:after="120"/>
      </w:pPr>
      <w:r>
        <w:t>Complete the Expenditure Plan data entry table as follows:</w:t>
      </w:r>
    </w:p>
    <w:p w14:paraId="45A50486" w14:textId="77777777" w:rsidR="00324271" w:rsidRDefault="00524BAD">
      <w:pPr>
        <w:spacing w:before="120" w:after="120"/>
      </w:pPr>
      <w:r>
        <w:t>In the ‘Planned Expenditures’ column of the data entry table, specify the amount of ELO Grant funds being budgeted to support each supplemental instruction and support strategies being implemented by the LEA and the total of all ELO Grant funds being budgeted.</w:t>
      </w:r>
    </w:p>
    <w:p w14:paraId="66AB5A80" w14:textId="77777777" w:rsidR="00324271" w:rsidRDefault="00524BAD">
      <w:pPr>
        <w:spacing w:before="120" w:after="120"/>
      </w:pPr>
      <w:bookmarkStart w:id="12" w:name="_heading=h.26in1rg" w:colFirst="0" w:colLast="0"/>
      <w:bookmarkEnd w:id="12"/>
      <w:r>
        <w:t>The plan must be updated to include the actual expenditures by December 1, 2022. In the ‘</w:t>
      </w:r>
      <w:r>
        <w:rPr>
          <w:color w:val="000000"/>
        </w:rPr>
        <w:t>Actual Expenditures</w:t>
      </w:r>
      <w:r>
        <w:t xml:space="preserve">’ column of the data entry table the LEA will report the amount of ELO Grant funds that the LEA </w:t>
      </w:r>
      <w:proofErr w:type="gramStart"/>
      <w:r>
        <w:t>actually expended</w:t>
      </w:r>
      <w:proofErr w:type="gramEnd"/>
      <w:r>
        <w:t xml:space="preserve"> in support of the strategies that it implemented, as well as the total ELO Grant funds expended. </w:t>
      </w:r>
    </w:p>
    <w:p w14:paraId="56BBC7D3" w14:textId="77777777" w:rsidR="00324271" w:rsidRDefault="00524BAD">
      <w:pPr>
        <w:pStyle w:val="Heading3"/>
      </w:pPr>
      <w:r>
        <w:t xml:space="preserve">A description of how these funds </w:t>
      </w:r>
      <w:proofErr w:type="gramStart"/>
      <w:r>
        <w:t>are</w:t>
      </w:r>
      <w:proofErr w:type="gramEnd"/>
      <w:r>
        <w:t xml:space="preserve"> being coordinated with other federal Elementary and Secondary School Emergency Relief Funds received by the LEA</w:t>
      </w:r>
    </w:p>
    <w:p w14:paraId="7CEDD5FF" w14:textId="77777777" w:rsidR="00324271" w:rsidRDefault="00524BAD">
      <w:pPr>
        <w:spacing w:before="120" w:after="120"/>
        <w:rPr>
          <w:color w:val="000000"/>
        </w:rPr>
      </w:pPr>
      <w:r>
        <w:rPr>
          <w:color w:val="000000"/>
        </w:rPr>
        <w:lastRenderedPageBreak/>
        <w:t>Describe how the LEA is coordinating its ELO Grant funds with funds received from the federal Elementary and Secondary School Emergency Relief (ESSER) Fund provided through the federal Coronavirus Response and Relief Supplemental Appropriations Act of 2021 (Public Law 116-260), also known as ESSER II, to maximize support for students and staff.</w:t>
      </w:r>
    </w:p>
    <w:p w14:paraId="4B378A80" w14:textId="77777777" w:rsidR="00324271" w:rsidRDefault="00324271"/>
    <w:p w14:paraId="2CC93BE0" w14:textId="77777777" w:rsidR="00324271" w:rsidRDefault="00524BAD">
      <w:r>
        <w:t>California Department of Education</w:t>
      </w:r>
      <w:r>
        <w:br/>
        <w:t>March 2021</w:t>
      </w:r>
    </w:p>
    <w:p w14:paraId="3F0ABF04" w14:textId="77777777" w:rsidR="00324271" w:rsidRDefault="00324271">
      <w:pPr>
        <w:spacing w:after="120"/>
      </w:pPr>
    </w:p>
    <w:sectPr w:rsidR="00324271">
      <w:headerReference w:type="default" r:id="rId11"/>
      <w:footerReference w:type="default" r:id="rId12"/>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9271" w14:textId="77777777" w:rsidR="00097887" w:rsidRDefault="00097887">
      <w:r>
        <w:separator/>
      </w:r>
    </w:p>
  </w:endnote>
  <w:endnote w:type="continuationSeparator" w:id="0">
    <w:p w14:paraId="606535F2" w14:textId="77777777" w:rsidR="00097887" w:rsidRDefault="0009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98F5" w14:textId="77777777" w:rsidR="00324271" w:rsidRDefault="00524BAD">
    <w:pPr>
      <w:pBdr>
        <w:top w:val="nil"/>
        <w:left w:val="nil"/>
        <w:bottom w:val="nil"/>
        <w:right w:val="nil"/>
        <w:between w:val="nil"/>
      </w:pBdr>
      <w:tabs>
        <w:tab w:val="center" w:pos="4680"/>
        <w:tab w:val="right" w:pos="9360"/>
      </w:tabs>
      <w:jc w:val="right"/>
      <w:rPr>
        <w:color w:val="000000"/>
        <w:szCs w:val="24"/>
      </w:rPr>
    </w:pPr>
    <w:r>
      <w:rPr>
        <w:color w:val="000000"/>
        <w:szCs w:val="24"/>
      </w:rPr>
      <w:t xml:space="preserve">Page </w:t>
    </w:r>
    <w:r>
      <w:rPr>
        <w:b/>
        <w:color w:val="2B579A"/>
        <w:szCs w:val="24"/>
      </w:rPr>
      <w:fldChar w:fldCharType="begin"/>
    </w:r>
    <w:r>
      <w:rPr>
        <w:b/>
        <w:color w:val="2B579A"/>
        <w:szCs w:val="24"/>
      </w:rPr>
      <w:instrText>PAGE</w:instrText>
    </w:r>
    <w:r>
      <w:rPr>
        <w:b/>
        <w:color w:val="2B579A"/>
        <w:szCs w:val="24"/>
      </w:rPr>
      <w:fldChar w:fldCharType="separate"/>
    </w:r>
    <w:r w:rsidR="00A256CA">
      <w:rPr>
        <w:b/>
        <w:noProof/>
        <w:color w:val="2B579A"/>
        <w:szCs w:val="24"/>
      </w:rPr>
      <w:t>1</w:t>
    </w:r>
    <w:r>
      <w:rPr>
        <w:b/>
        <w:color w:val="2B579A"/>
        <w:szCs w:val="24"/>
      </w:rPr>
      <w:fldChar w:fldCharType="end"/>
    </w:r>
    <w:r>
      <w:rPr>
        <w:color w:val="000000"/>
        <w:szCs w:val="24"/>
      </w:rPr>
      <w:t xml:space="preserve"> of </w:t>
    </w:r>
    <w:r>
      <w:rPr>
        <w:b/>
        <w:color w:val="000000"/>
        <w:szCs w:val="24"/>
      </w:rPr>
      <w:t>2</w:t>
    </w:r>
  </w:p>
  <w:p w14:paraId="5111CB2A" w14:textId="77777777" w:rsidR="00324271" w:rsidRDefault="00324271">
    <w:pPr>
      <w:pBdr>
        <w:top w:val="nil"/>
        <w:left w:val="nil"/>
        <w:bottom w:val="nil"/>
        <w:right w:val="nil"/>
        <w:between w:val="nil"/>
      </w:pBdr>
      <w:tabs>
        <w:tab w:val="center" w:pos="4680"/>
        <w:tab w:val="right" w:pos="9360"/>
      </w:tabs>
      <w:jc w:val="right"/>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437C" w14:textId="06988FDD" w:rsidR="00324271" w:rsidRDefault="00524BAD">
    <w:pPr>
      <w:pBdr>
        <w:top w:val="nil"/>
        <w:left w:val="nil"/>
        <w:bottom w:val="nil"/>
        <w:right w:val="nil"/>
        <w:between w:val="nil"/>
      </w:pBdr>
      <w:tabs>
        <w:tab w:val="center" w:pos="4680"/>
        <w:tab w:val="right" w:pos="9360"/>
      </w:tabs>
      <w:jc w:val="right"/>
      <w:rPr>
        <w:b/>
        <w:color w:val="000000"/>
        <w:szCs w:val="24"/>
      </w:rPr>
    </w:pPr>
    <w:r>
      <w:rPr>
        <w:color w:val="000000"/>
        <w:szCs w:val="24"/>
      </w:rPr>
      <w:t xml:space="preserve">Page </w:t>
    </w:r>
    <w:r>
      <w:rPr>
        <w:b/>
        <w:color w:val="2B579A"/>
        <w:szCs w:val="24"/>
      </w:rPr>
      <w:fldChar w:fldCharType="begin"/>
    </w:r>
    <w:r>
      <w:rPr>
        <w:b/>
        <w:color w:val="2B579A"/>
        <w:szCs w:val="24"/>
      </w:rPr>
      <w:instrText>PAGE</w:instrText>
    </w:r>
    <w:r>
      <w:rPr>
        <w:b/>
        <w:color w:val="2B579A"/>
        <w:szCs w:val="24"/>
      </w:rPr>
      <w:fldChar w:fldCharType="separate"/>
    </w:r>
    <w:r w:rsidR="00A256CA">
      <w:rPr>
        <w:b/>
        <w:noProof/>
        <w:color w:val="2B579A"/>
        <w:szCs w:val="24"/>
      </w:rPr>
      <w:t>1</w:t>
    </w:r>
    <w:r>
      <w:rPr>
        <w:b/>
        <w:color w:val="2B579A"/>
        <w:szCs w:val="24"/>
      </w:rPr>
      <w:fldChar w:fldCharType="end"/>
    </w:r>
    <w:r>
      <w:rPr>
        <w:color w:val="000000"/>
        <w:szCs w:val="24"/>
      </w:rPr>
      <w:t xml:space="preserve"> of </w:t>
    </w:r>
    <w:r>
      <w:rPr>
        <w:b/>
        <w:color w:val="000000"/>
        <w:szCs w:val="24"/>
      </w:rPr>
      <w:t>5</w:t>
    </w:r>
  </w:p>
  <w:p w14:paraId="19839F13" w14:textId="77777777" w:rsidR="00324271" w:rsidRDefault="00324271">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9C81" w14:textId="77777777" w:rsidR="00097887" w:rsidRDefault="00097887">
      <w:r>
        <w:separator/>
      </w:r>
    </w:p>
  </w:footnote>
  <w:footnote w:type="continuationSeparator" w:id="0">
    <w:p w14:paraId="2F3FAF3E" w14:textId="77777777" w:rsidR="00097887" w:rsidRDefault="0009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8915" w14:textId="77777777" w:rsidR="00324271" w:rsidRDefault="00324271">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1FAE"/>
    <w:multiLevelType w:val="multilevel"/>
    <w:tmpl w:val="211C7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FB0A3A"/>
    <w:multiLevelType w:val="multilevel"/>
    <w:tmpl w:val="017C4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186163"/>
    <w:multiLevelType w:val="multilevel"/>
    <w:tmpl w:val="E320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4F67E7"/>
    <w:multiLevelType w:val="multilevel"/>
    <w:tmpl w:val="C33C566A"/>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71"/>
    <w:rsid w:val="00097887"/>
    <w:rsid w:val="00126A04"/>
    <w:rsid w:val="00130B9F"/>
    <w:rsid w:val="00324271"/>
    <w:rsid w:val="003507DF"/>
    <w:rsid w:val="00524BAD"/>
    <w:rsid w:val="007F75F6"/>
    <w:rsid w:val="00870824"/>
    <w:rsid w:val="00A256CA"/>
    <w:rsid w:val="00D548BF"/>
    <w:rsid w:val="00F1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68E3"/>
  <w15:docId w15:val="{C1FDB0E9-EDED-46B9-91B0-53181E78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4810E6"/>
    <w:pPr>
      <w:spacing w:before="240" w:after="60"/>
      <w:outlineLvl w:val="2"/>
    </w:pPr>
    <w:rPr>
      <w:rFonts w:eastAsia="Calibri"/>
      <w:b/>
      <w:color w:val="000000"/>
      <w:szCs w:val="24"/>
    </w:rPr>
  </w:style>
  <w:style w:type="paragraph" w:styleId="Heading4">
    <w:name w:val="heading 4"/>
    <w:basedOn w:val="Normal"/>
    <w:next w:val="Normal"/>
    <w:uiPriority w:val="9"/>
    <w:semiHidden/>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12A2B"/>
    <w:rPr>
      <w:color w:val="605E5C"/>
      <w:shd w:val="clear" w:color="auto" w:fill="E1DFDD"/>
    </w:rPr>
  </w:style>
  <w:style w:type="table" w:customStyle="1" w:styleId="a3">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4">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g@officertea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OGrants@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Xk4afossaPgVNGugyLsB9QIgfA==">AMUW2mUWfgRuFR69/bzX/DDyXdW4C0g4YbjwPy3dGidifS5SdWecLb+tJgA5xrvWiPXrFIq+Uil5csoiPV+XAzl5v8MppgMjOGDZWt+8gbX+K2UO587jcycZa7QP+bikKULIVeg+6lB9Kt8JM1Q2jDj1YPYGVKlqqv8275JgxEyps+EapPoYjFCPdv79aCIpmNQOH3Q3KlwgThbcfnzgnCa898SO0878ob9GaBPizLIxTK5QbSJ1MRTRNKY+7ShqF3h0dJKGpq7HKxXIX/esbSsHdfi4Vdpk71AQSFrJFP4QZfFaVR7ud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Agency Systems Support Office</dc:creator>
  <cp:lastModifiedBy>Denise Griffin</cp:lastModifiedBy>
  <cp:revision>4</cp:revision>
  <dcterms:created xsi:type="dcterms:W3CDTF">2021-05-27T21:02:00Z</dcterms:created>
  <dcterms:modified xsi:type="dcterms:W3CDTF">2021-05-27T22:48:00Z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0x0101009A0D3A4CE142424A8557EDFD19271124</vt:lpwstr>
  </property>
</Properties>
</file>