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6D" w:rsidRPr="004C61A2" w:rsidRDefault="00B24C6D" w:rsidP="00B24C6D">
      <w:pPr>
        <w:tabs>
          <w:tab w:val="left" w:pos="1440"/>
        </w:tabs>
        <w:spacing w:after="240" w:line="240" w:lineRule="auto"/>
        <w:rPr>
          <w:rFonts w:ascii="Times New Roman" w:eastAsia="Times New Roman" w:hAnsi="Times New Roman"/>
          <w:b/>
        </w:rPr>
      </w:pPr>
      <w:r w:rsidRPr="004C61A2">
        <w:rPr>
          <w:rFonts w:ascii="Times New Roman" w:eastAsia="Times New Roman" w:hAnsi="Times New Roman"/>
          <w:b/>
        </w:rPr>
        <w:t>136</w:t>
      </w:r>
      <w:r w:rsidRPr="004C61A2">
        <w:rPr>
          <w:rFonts w:ascii="Times New Roman" w:eastAsia="Times New Roman" w:hAnsi="Times New Roman"/>
          <w:b/>
        </w:rPr>
        <w:tab/>
        <w:t>Public Participation at Meetings</w:t>
      </w:r>
      <w:r w:rsidRPr="004C61A2">
        <w:rPr>
          <w:rFonts w:ascii="Times New Roman" w:eastAsia="Times New Roman" w:hAnsi="Times New Roman"/>
          <w:b/>
          <w:vanish/>
          <w:u w:val="single"/>
          <w:vertAlign w:val="superscript"/>
        </w:rPr>
        <w:footnoteReference w:customMarkFollows="1" w:id="1"/>
        <w:sym w:font="Symbol" w:char="F0D3"/>
      </w:r>
    </w:p>
    <w:p w:rsidR="00B24C6D" w:rsidRPr="004C61A2" w:rsidRDefault="00B24C6D" w:rsidP="00B24C6D">
      <w:pPr>
        <w:spacing w:after="240" w:line="240" w:lineRule="auto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 xml:space="preserve">Any person or group wishing to place an item on the agenda shall register their intent with </w:t>
      </w:r>
      <w:r w:rsidR="005E032A">
        <w:rPr>
          <w:rFonts w:ascii="Times New Roman" w:eastAsia="Times New Roman" w:hAnsi="Times New Roman"/>
        </w:rPr>
        <w:t xml:space="preserve">the Senior Managing Director of Operations </w:t>
      </w:r>
      <w:r w:rsidRPr="004C61A2">
        <w:rPr>
          <w:rFonts w:ascii="Times New Roman" w:eastAsia="Times New Roman" w:hAnsi="Times New Roman"/>
        </w:rPr>
        <w:t>no later than one (1) business day prior to the meeting and include:</w:t>
      </w:r>
    </w:p>
    <w:p w:rsidR="00B24C6D" w:rsidRPr="004C61A2" w:rsidRDefault="00B24C6D" w:rsidP="00B24C6D">
      <w:pPr>
        <w:numPr>
          <w:ilvl w:val="0"/>
          <w:numId w:val="3"/>
        </w:numPr>
        <w:spacing w:after="240" w:line="240" w:lineRule="auto"/>
        <w:ind w:left="720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name and contact information of the participant;</w:t>
      </w:r>
    </w:p>
    <w:p w:rsidR="00B24C6D" w:rsidRPr="004C61A2" w:rsidRDefault="00B24C6D" w:rsidP="00B24C6D">
      <w:pPr>
        <w:numPr>
          <w:ilvl w:val="0"/>
          <w:numId w:val="3"/>
        </w:numPr>
        <w:spacing w:after="240" w:line="240" w:lineRule="auto"/>
        <w:ind w:left="720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group affiliation, if and when appropriate;</w:t>
      </w:r>
    </w:p>
    <w:p w:rsidR="00B24C6D" w:rsidRPr="004C61A2" w:rsidRDefault="00B24C6D" w:rsidP="00B24C6D">
      <w:pPr>
        <w:numPr>
          <w:ilvl w:val="0"/>
          <w:numId w:val="3"/>
        </w:numPr>
        <w:spacing w:after="240" w:line="240" w:lineRule="auto"/>
        <w:ind w:left="720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topic to be addressed.</w:t>
      </w:r>
    </w:p>
    <w:p w:rsidR="00B24C6D" w:rsidRPr="004C61A2" w:rsidRDefault="00B24C6D" w:rsidP="00B24C6D">
      <w:pPr>
        <w:spacing w:after="240" w:line="240" w:lineRule="auto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In order to permit the fair and orderly expression of such comment, the Board shall provide a period for public participation at every regular meeting of the Board, and, the Board may publish rules to govern such participation in Board meetings.</w:t>
      </w:r>
    </w:p>
    <w:p w:rsidR="00B24C6D" w:rsidRPr="004C61A2" w:rsidRDefault="00B24C6D" w:rsidP="00B24C6D">
      <w:pPr>
        <w:spacing w:after="240" w:line="240" w:lineRule="auto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The presiding officer of each Board meeting at which public participation is permitted shall administer the rules of the Board for its conduct.</w:t>
      </w:r>
    </w:p>
    <w:p w:rsidR="00B24C6D" w:rsidRPr="004C61A2" w:rsidRDefault="00B24C6D" w:rsidP="00B24C6D">
      <w:pPr>
        <w:spacing w:after="240" w:line="240" w:lineRule="auto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The presiding officer shall be guided by the following rules:</w:t>
      </w:r>
    </w:p>
    <w:p w:rsidR="005A77B3" w:rsidRDefault="00B24C6D" w:rsidP="005A77B3">
      <w:pPr>
        <w:pStyle w:val="SUBSECTIONIndParaNum"/>
        <w:numPr>
          <w:ilvl w:val="0"/>
          <w:numId w:val="4"/>
        </w:numPr>
        <w:tabs>
          <w:tab w:val="clear" w:pos="2160"/>
          <w:tab w:val="left" w:pos="720"/>
        </w:tabs>
        <w:ind w:left="720"/>
        <w:rPr>
          <w:sz w:val="22"/>
          <w:szCs w:val="22"/>
        </w:rPr>
      </w:pPr>
      <w:r w:rsidRPr="004C61A2">
        <w:rPr>
          <w:sz w:val="22"/>
          <w:szCs w:val="22"/>
        </w:rPr>
        <w:t>Public participation shall be permitted as indicated on the order of business or at the discretion of the presiding officer.</w:t>
      </w:r>
    </w:p>
    <w:p w:rsidR="005A77B3" w:rsidRPr="005A77B3" w:rsidRDefault="00B24C6D" w:rsidP="005A77B3">
      <w:pPr>
        <w:pStyle w:val="SUBSECTIONIndParaNum"/>
        <w:numPr>
          <w:ilvl w:val="0"/>
          <w:numId w:val="4"/>
        </w:numPr>
        <w:tabs>
          <w:tab w:val="clear" w:pos="2160"/>
          <w:tab w:val="left" w:pos="720"/>
        </w:tabs>
        <w:ind w:left="720"/>
        <w:rPr>
          <w:sz w:val="22"/>
          <w:szCs w:val="22"/>
        </w:rPr>
      </w:pPr>
      <w:r w:rsidRPr="005A77B3">
        <w:t>Attendees must register their intention to participate in the public portion of the meeting upon their arrival at the meeting.</w:t>
      </w:r>
    </w:p>
    <w:p w:rsidR="005A77B3" w:rsidRPr="005A77B3" w:rsidRDefault="00B24C6D" w:rsidP="005A77B3">
      <w:pPr>
        <w:pStyle w:val="SUBSECTIONIndParaNum"/>
        <w:numPr>
          <w:ilvl w:val="0"/>
          <w:numId w:val="4"/>
        </w:numPr>
        <w:tabs>
          <w:tab w:val="clear" w:pos="2160"/>
          <w:tab w:val="left" w:pos="720"/>
        </w:tabs>
        <w:ind w:left="720"/>
        <w:rPr>
          <w:sz w:val="22"/>
          <w:szCs w:val="22"/>
        </w:rPr>
      </w:pPr>
      <w:r w:rsidRPr="005A77B3">
        <w:t>Participants must be recognized by the presiding officer and will be requested to preface their comments by an announcement of their name, address, and group affiliation, if and when appropriate.</w:t>
      </w:r>
    </w:p>
    <w:p w:rsidR="005A77B3" w:rsidRPr="005A77B3" w:rsidRDefault="00B24C6D" w:rsidP="005A77B3">
      <w:pPr>
        <w:pStyle w:val="SUBSECTIONIndParaNum"/>
        <w:numPr>
          <w:ilvl w:val="0"/>
          <w:numId w:val="4"/>
        </w:numPr>
        <w:tabs>
          <w:tab w:val="clear" w:pos="2160"/>
          <w:tab w:val="left" w:pos="720"/>
        </w:tabs>
        <w:ind w:left="720"/>
        <w:rPr>
          <w:sz w:val="22"/>
          <w:szCs w:val="22"/>
        </w:rPr>
      </w:pPr>
      <w:r w:rsidRPr="005A77B3">
        <w:t>Each statement made by a participant shall be limited to two (2) minutes duration.</w:t>
      </w:r>
    </w:p>
    <w:p w:rsidR="005A77B3" w:rsidRPr="005A77B3" w:rsidRDefault="00B24C6D" w:rsidP="005A77B3">
      <w:pPr>
        <w:pStyle w:val="SUBSECTIONIndParaNum"/>
        <w:numPr>
          <w:ilvl w:val="0"/>
          <w:numId w:val="4"/>
        </w:numPr>
        <w:tabs>
          <w:tab w:val="clear" w:pos="2160"/>
          <w:tab w:val="left" w:pos="720"/>
        </w:tabs>
        <w:ind w:left="720"/>
        <w:rPr>
          <w:sz w:val="22"/>
          <w:szCs w:val="22"/>
        </w:rPr>
      </w:pPr>
      <w:r w:rsidRPr="005A77B3">
        <w:t>No participant may speak more than once on the same topic unless all others who wish to speak on that topic have been heard.</w:t>
      </w:r>
    </w:p>
    <w:p w:rsidR="005A77B3" w:rsidRPr="005A77B3" w:rsidRDefault="00B24C6D" w:rsidP="005A77B3">
      <w:pPr>
        <w:pStyle w:val="SUBSECTIONIndParaNum"/>
        <w:numPr>
          <w:ilvl w:val="0"/>
          <w:numId w:val="4"/>
        </w:numPr>
        <w:tabs>
          <w:tab w:val="clear" w:pos="2160"/>
          <w:tab w:val="left" w:pos="720"/>
        </w:tabs>
        <w:ind w:left="720"/>
        <w:rPr>
          <w:sz w:val="22"/>
          <w:szCs w:val="22"/>
        </w:rPr>
      </w:pPr>
      <w:r w:rsidRPr="005A77B3">
        <w:t>All statements shall be directed to the presiding officer; no person may address or question Board members individually.</w:t>
      </w:r>
    </w:p>
    <w:p w:rsidR="00B24C6D" w:rsidRPr="005A77B3" w:rsidRDefault="00B24C6D" w:rsidP="005A77B3">
      <w:pPr>
        <w:pStyle w:val="SUBSECTIONIndParaNum"/>
        <w:numPr>
          <w:ilvl w:val="0"/>
          <w:numId w:val="4"/>
        </w:numPr>
        <w:tabs>
          <w:tab w:val="clear" w:pos="2160"/>
          <w:tab w:val="left" w:pos="720"/>
        </w:tabs>
        <w:ind w:left="720"/>
        <w:rPr>
          <w:sz w:val="22"/>
          <w:szCs w:val="22"/>
        </w:rPr>
      </w:pPr>
      <w:bookmarkStart w:id="0" w:name="_GoBack"/>
      <w:bookmarkEnd w:id="0"/>
      <w:r w:rsidRPr="005A77B3">
        <w:t>Video recordings are permitted, providing the person operating the recorder has contacted the Principal or model leader or his/her designee prior to the Board meeting to review possible placement and agrees to the placement of the equipment, and agrees to abide by the following conditions:</w:t>
      </w:r>
    </w:p>
    <w:p w:rsidR="00B24C6D" w:rsidRPr="004C61A2" w:rsidRDefault="00B24C6D" w:rsidP="00B24C6D">
      <w:pPr>
        <w:numPr>
          <w:ilvl w:val="1"/>
          <w:numId w:val="2"/>
        </w:numPr>
        <w:tabs>
          <w:tab w:val="left" w:pos="1080"/>
        </w:tabs>
        <w:spacing w:after="240" w:line="240" w:lineRule="auto"/>
        <w:ind w:left="1080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No obstructions are created between the Board and the audience.</w:t>
      </w:r>
    </w:p>
    <w:p w:rsidR="00B24C6D" w:rsidRPr="004C61A2" w:rsidRDefault="00B24C6D" w:rsidP="00B24C6D">
      <w:pPr>
        <w:numPr>
          <w:ilvl w:val="1"/>
          <w:numId w:val="2"/>
        </w:numPr>
        <w:tabs>
          <w:tab w:val="left" w:pos="1080"/>
        </w:tabs>
        <w:spacing w:after="240" w:line="240" w:lineRule="auto"/>
        <w:ind w:left="1080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No interviews are conducted in the meeting room while the Board is in session.</w:t>
      </w:r>
    </w:p>
    <w:p w:rsidR="00B24C6D" w:rsidRPr="004C61A2" w:rsidRDefault="00B24C6D" w:rsidP="00B24C6D">
      <w:pPr>
        <w:numPr>
          <w:ilvl w:val="0"/>
          <w:numId w:val="2"/>
        </w:numPr>
        <w:tabs>
          <w:tab w:val="num" w:pos="720"/>
        </w:tabs>
        <w:spacing w:after="240" w:line="240" w:lineRule="auto"/>
        <w:ind w:left="720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lastRenderedPageBreak/>
        <w:t>The presiding officer may:</w:t>
      </w:r>
    </w:p>
    <w:p w:rsidR="00B24C6D" w:rsidRPr="004C61A2" w:rsidRDefault="00B24C6D" w:rsidP="00B24C6D">
      <w:pPr>
        <w:numPr>
          <w:ilvl w:val="1"/>
          <w:numId w:val="1"/>
        </w:numPr>
        <w:tabs>
          <w:tab w:val="num" w:pos="1080"/>
        </w:tabs>
        <w:spacing w:after="240" w:line="240" w:lineRule="auto"/>
        <w:ind w:left="1080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interrupt, warn, or terminate a participant's statement when the statement is too lengthy, personally directed, abusive, obscene, or irrelevant;</w:t>
      </w:r>
    </w:p>
    <w:p w:rsidR="00B24C6D" w:rsidRPr="004C61A2" w:rsidRDefault="00B24C6D" w:rsidP="00B24C6D">
      <w:pPr>
        <w:numPr>
          <w:ilvl w:val="1"/>
          <w:numId w:val="1"/>
        </w:numPr>
        <w:tabs>
          <w:tab w:val="num" w:pos="1080"/>
        </w:tabs>
        <w:spacing w:after="240" w:line="240" w:lineRule="auto"/>
        <w:ind w:left="1080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request any individual to leave the meeting when that person does not observe reasonable decorum;</w:t>
      </w:r>
    </w:p>
    <w:p w:rsidR="00B24C6D" w:rsidRPr="004C61A2" w:rsidRDefault="00B24C6D" w:rsidP="00B24C6D">
      <w:pPr>
        <w:numPr>
          <w:ilvl w:val="1"/>
          <w:numId w:val="1"/>
        </w:numPr>
        <w:tabs>
          <w:tab w:val="num" w:pos="1080"/>
        </w:tabs>
        <w:spacing w:after="240" w:line="240" w:lineRule="auto"/>
        <w:ind w:left="1080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request the assistance of law enforcement officers in the removal of a disorderly person when that person's conduct interferes with the orderly progress of the meeting;</w:t>
      </w:r>
    </w:p>
    <w:p w:rsidR="00B24C6D" w:rsidRPr="004C61A2" w:rsidRDefault="00B24C6D" w:rsidP="00B24C6D">
      <w:pPr>
        <w:numPr>
          <w:ilvl w:val="1"/>
          <w:numId w:val="1"/>
        </w:numPr>
        <w:tabs>
          <w:tab w:val="num" w:pos="1080"/>
        </w:tabs>
        <w:spacing w:after="240" w:line="240" w:lineRule="auto"/>
        <w:ind w:left="1080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call for a recess or an adjournment to another time when the lack of public decorum so interferes with the orderly conduct of the meeting as to warrant such action;</w:t>
      </w:r>
    </w:p>
    <w:p w:rsidR="00B24C6D" w:rsidRPr="004C61A2" w:rsidRDefault="004C61A2" w:rsidP="00B24C6D">
      <w:pPr>
        <w:numPr>
          <w:ilvl w:val="1"/>
          <w:numId w:val="1"/>
        </w:numPr>
        <w:tabs>
          <w:tab w:val="num" w:pos="1080"/>
        </w:tabs>
        <w:spacing w:after="240" w:line="240" w:lineRule="auto"/>
        <w:ind w:left="10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w</w:t>
      </w:r>
      <w:r w:rsidRPr="004C61A2">
        <w:rPr>
          <w:rFonts w:ascii="Times New Roman" w:eastAsia="Times New Roman" w:hAnsi="Times New Roman"/>
        </w:rPr>
        <w:t>aive</w:t>
      </w:r>
      <w:proofErr w:type="gramEnd"/>
      <w:r w:rsidR="00B24C6D" w:rsidRPr="004C61A2">
        <w:rPr>
          <w:rFonts w:ascii="Times New Roman" w:eastAsia="Times New Roman" w:hAnsi="Times New Roman"/>
        </w:rPr>
        <w:t xml:space="preserve"> these rules.</w:t>
      </w:r>
    </w:p>
    <w:p w:rsidR="003D3775" w:rsidRPr="004C61A2" w:rsidRDefault="00B24C6D" w:rsidP="00B24C6D">
      <w:pPr>
        <w:spacing w:after="240" w:line="240" w:lineRule="auto"/>
        <w:jc w:val="both"/>
        <w:rPr>
          <w:rFonts w:ascii="Times New Roman" w:eastAsia="Times New Roman" w:hAnsi="Times New Roman"/>
        </w:rPr>
      </w:pPr>
      <w:r w:rsidRPr="004C61A2">
        <w:rPr>
          <w:rFonts w:ascii="Times New Roman" w:eastAsia="Times New Roman" w:hAnsi="Times New Roman"/>
        </w:rPr>
        <w:t>The portion of the meeting during which the participation of the public is invited shall be limited to twenty (20) minutes.</w:t>
      </w:r>
    </w:p>
    <w:sectPr w:rsidR="003D3775" w:rsidRPr="004C61A2" w:rsidSect="003D3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3E" w:rsidRDefault="00BE4B3E" w:rsidP="00B24C6D">
      <w:pPr>
        <w:spacing w:after="0" w:line="240" w:lineRule="auto"/>
      </w:pPr>
      <w:r>
        <w:separator/>
      </w:r>
    </w:p>
  </w:endnote>
  <w:endnote w:type="continuationSeparator" w:id="0">
    <w:p w:rsidR="00BE4B3E" w:rsidRDefault="00BE4B3E" w:rsidP="00B2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3E" w:rsidRDefault="00BE4B3E" w:rsidP="00B24C6D">
      <w:pPr>
        <w:spacing w:after="0" w:line="240" w:lineRule="auto"/>
      </w:pPr>
      <w:r>
        <w:separator/>
      </w:r>
    </w:p>
  </w:footnote>
  <w:footnote w:type="continuationSeparator" w:id="0">
    <w:p w:rsidR="00BE4B3E" w:rsidRDefault="00BE4B3E" w:rsidP="00B24C6D">
      <w:pPr>
        <w:spacing w:after="0" w:line="240" w:lineRule="auto"/>
      </w:pPr>
      <w:r>
        <w:continuationSeparator/>
      </w:r>
    </w:p>
  </w:footnote>
  <w:footnote w:id="1">
    <w:p w:rsidR="00B24C6D" w:rsidRPr="00A264B9" w:rsidRDefault="00B24C6D" w:rsidP="00B24C6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A264B9">
        <w:rPr>
          <w:rFonts w:ascii="Times New Roman" w:hAnsi="Times New Roman"/>
          <w:sz w:val="12"/>
          <w:szCs w:val="12"/>
        </w:rPr>
        <w:sym w:font="Symbol" w:char="F0D3"/>
      </w:r>
      <w:r w:rsidRPr="00A264B9">
        <w:rPr>
          <w:rFonts w:ascii="Times New Roman" w:hAnsi="Times New Roman"/>
          <w:sz w:val="12"/>
          <w:szCs w:val="12"/>
        </w:rPr>
        <w:t>© 1999 Amy J. Borman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275"/>
    <w:multiLevelType w:val="multilevel"/>
    <w:tmpl w:val="0266854A"/>
    <w:name w:val="SUBSECTION Ind Para Num"/>
    <w:lvl w:ilvl="0">
      <w:start w:val="1"/>
      <w:numFmt w:val="upperLetter"/>
      <w:pStyle w:val="SUBSECTIONIndParaNum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610"/>
        </w:tabs>
        <w:ind w:left="275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87C1FE4"/>
    <w:multiLevelType w:val="multilevel"/>
    <w:tmpl w:val="4162AEF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41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D"/>
    <w:rsid w:val="003D3775"/>
    <w:rsid w:val="004C61A2"/>
    <w:rsid w:val="005A77B3"/>
    <w:rsid w:val="005E032A"/>
    <w:rsid w:val="00705202"/>
    <w:rsid w:val="00942F61"/>
    <w:rsid w:val="00B24C6D"/>
    <w:rsid w:val="00BE4B3E"/>
    <w:rsid w:val="00E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IndParaNum">
    <w:name w:val="SUBSECTION Ind Para Num"/>
    <w:basedOn w:val="Normal"/>
    <w:link w:val="SUBSECTIONIndParaNumChar"/>
    <w:rsid w:val="00B24C6D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UBSECTIONIndParaNumChar">
    <w:name w:val="SUBSECTION Ind Para Num Char"/>
    <w:link w:val="SUBSECTIONIndParaNum"/>
    <w:rsid w:val="00B24C6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A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A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IndParaNum">
    <w:name w:val="SUBSECTION Ind Para Num"/>
    <w:basedOn w:val="Normal"/>
    <w:link w:val="SUBSECTIONIndParaNumChar"/>
    <w:rsid w:val="00B24C6D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UBSECTIONIndParaNumChar">
    <w:name w:val="SUBSECTION Ind Para Num Char"/>
    <w:link w:val="SUBSECTIONIndParaNum"/>
    <w:rsid w:val="00B24C6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A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A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4990-145F-4989-BEA1-15E79A02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Nelson</dc:creator>
  <cp:lastModifiedBy>Tyler Thornton</cp:lastModifiedBy>
  <cp:revision>4</cp:revision>
  <dcterms:created xsi:type="dcterms:W3CDTF">2020-08-18T16:20:00Z</dcterms:created>
  <dcterms:modified xsi:type="dcterms:W3CDTF">2020-08-19T01:04:00Z</dcterms:modified>
</cp:coreProperties>
</file>